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auto"/>
          <w:kern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0"/>
          <w:sz w:val="44"/>
          <w:szCs w:val="44"/>
          <w:lang w:eastAsia="zh-CN"/>
        </w:rPr>
        <w:t>鹤岗市省级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0"/>
          <w:sz w:val="44"/>
          <w:szCs w:val="44"/>
          <w:lang w:val="en-US" w:eastAsia="zh-CN"/>
        </w:rPr>
        <w:t>生态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0"/>
          <w:sz w:val="44"/>
          <w:szCs w:val="44"/>
          <w:lang w:eastAsia="zh-CN"/>
        </w:rPr>
        <w:t>环境保护督察整改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0"/>
          <w:sz w:val="44"/>
          <w:szCs w:val="44"/>
          <w:lang w:val="en-US" w:eastAsia="zh-CN"/>
        </w:rPr>
        <w:t>销号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兴安区</w:t>
      </w:r>
      <w:r>
        <w:rPr>
          <w:rFonts w:hint="eastAsia" w:ascii="仿宋_GB2312" w:hAnsi="仿宋_GB2312" w:cs="仿宋_GB2312"/>
          <w:color w:val="000000" w:themeColor="text1"/>
          <w:kern w:val="0"/>
          <w:lang w:eastAsia="zh-CN"/>
          <w14:textFill>
            <w14:solidFill>
              <w14:schemeClr w14:val="tx1"/>
            </w14:solidFill>
          </w14:textFill>
        </w:rPr>
        <w:t>委、区政府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14:textFill>
            <w14:solidFill>
              <w14:schemeClr w14:val="tx1"/>
            </w14:solidFill>
          </w14:textFill>
        </w:rPr>
        <w:t>已完成省级生态环境保护督察</w:t>
      </w:r>
      <w:r>
        <w:rPr>
          <w:rFonts w:hint="eastAsia" w:ascii="仿宋_GB2312" w:hAnsi="仿宋_GB2312" w:cs="仿宋_GB2312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  <w:t>2020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lang w:eastAsia="zh-CN"/>
          <w14:textFill>
            <w14:solidFill>
              <w14:schemeClr w14:val="tx1"/>
            </w14:solidFill>
          </w14:textFill>
        </w:rPr>
        <w:t>第一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14:textFill>
            <w14:solidFill>
              <w14:schemeClr w14:val="tx1"/>
            </w14:solidFill>
          </w14:textFill>
        </w:rPr>
        <w:t>项问题整改。按照</w:t>
      </w: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《鹤岗市省级生态环境保护督察整改任务验收销号办法（试行）》规定，向</w:t>
      </w:r>
      <w:r>
        <w:rPr>
          <w:rFonts w:hint="eastAsia" w:ascii="仿宋_GB2312" w:hAnsi="仿宋_GB2312" w:eastAsia="仿宋_GB2312" w:cs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鹤岗市生态环境保护督察整改工作领导小组办公室</w:t>
      </w: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报送了验收销号申请，</w:t>
      </w:r>
      <w:r>
        <w:rPr>
          <w:rFonts w:hint="eastAsia" w:ascii="仿宋_GB2312" w:hAnsi="仿宋_GB2312" w:eastAsia="仿宋_GB2312" w:cs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鹤岗市生态环境保护督察整改工作领导小组办公室</w:t>
      </w:r>
      <w:r>
        <w:rPr>
          <w:rFonts w:hint="eastAsia" w:ascii="仿宋_GB2312" w:hAnsi="仿宋_GB2312" w:cs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开展了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14:textFill>
            <w14:solidFill>
              <w14:schemeClr w14:val="tx1"/>
            </w14:solidFill>
          </w14:textFill>
        </w:rPr>
        <w:t>验收，</w:t>
      </w:r>
      <w:r>
        <w:rPr>
          <w:rFonts w:hint="eastAsia" w:ascii="仿宋_GB2312" w:hAnsi="仿宋_GB2312" w:eastAsia="仿宋_GB2312" w:cs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鹤岗市生态环境保护督察整改工作领导小组</w:t>
      </w: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进行了审核，该项整改任务拟销号，现将整改验收销号情况向社会公示：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一、整改任务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一些县区和部门对生态环境保护“守土有责，守土尽责，分工协作，共同发力”的要求落实不力，在履行生态环境保护职责时市县之间互相推诿，城管、水务、林草等市直部门仅调度研究市本级工作情况，对各县区林地草地湿地监管、散煤污染治理、一河三沟小开荒、垃圾污染治理、石墨产业管理等情况掌握不清，日常监管缺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二、整改目标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：</w:t>
      </w:r>
      <w:r>
        <w:rPr>
          <w:rFonts w:hint="default" w:ascii="仿宋_GB2312" w:hAnsi="仿宋_GB2312" w:eastAsia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加强理论学习，提高政治站位，全面落实生态环境保护“党政同责”“一岗双责”；强化监督管理，密切协调配合，形成工作合力</w:t>
      </w:r>
      <w:r>
        <w:rPr>
          <w:rFonts w:hint="eastAsia" w:ascii="仿宋_GB2312" w:hAnsi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三、整改措施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一是</w:t>
      </w:r>
      <w:r>
        <w:rPr>
          <w:rFonts w:hint="eastAsia" w:ascii="仿宋_GB2312" w:hAnsi="仿宋_GB2312" w:eastAsia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加强理论学习，提高政治站位。召开区委常委会、政府常务会及时传达学习落实中央关于生态环境保护的会议、文件及中央领导关于生态环境保护的重要讲话、重要指示批示精神和环保法律法规，深入学习领会习近平生态文明思想，深化对生态文明建设和环境保护重要性认识，将生态环境保护摆上重要位置，党政“一把手”亲自研究部署，亲自推动落实。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二是</w:t>
      </w:r>
      <w:r>
        <w:rPr>
          <w:rFonts w:hint="eastAsia" w:ascii="仿宋_GB2312" w:hAnsi="仿宋_GB2312" w:eastAsia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加强研究部署，强化责任担当。各相关单位、部门严格落实“党政同责”，坚决扛起生态文明建设和生态环境保护政治责任，对本地区生态环境保护工作及生态环境质量负总责。切实发挥生态环境保护委员会作用，落实网格化管理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四、整改主要工作及成效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：</w:t>
      </w:r>
      <w:r>
        <w:rPr>
          <w:rFonts w:hint="default" w:ascii="仿宋_GB2312" w:hAnsi="仿宋_GB2312" w:eastAsia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区委、区政府先后召开区委常委会、政府常务会、区长办公会等专项会议研究部署生态环境保护工作。区委、区政府主要负责同志深入一线，实地督导问题整改工作。分管负责同志现场督办，协调解决整改工作中存在的难点问题。成立了《兴安区生态环境保护委员会》、《兴安区水污染防治行动联席会》、《兴安区污染防治攻坚战联席会》、《兴安区生态环境损赔偿制度改革工作领导小组》等议事协调机构，印发了《生态文明建设领导小组工作规则》、《兴安区生态环境保护委员会工作规则》、《兴安区有关部门生态环境保护责任清单》明确了乡镇街道等有关部门生态环境保护责任分工，做到了各司其职、各尽其责，协调运转、协同发力，形成区、镇（办事处）、村（社区）生态环境保护网格化管理工作强大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五、验收结论：</w:t>
      </w:r>
      <w:r>
        <w:rPr>
          <w:rFonts w:hint="default" w:ascii="仿宋_GB2312" w:hAnsi="仿宋_GB2312" w:eastAsia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2023年2月16日至5月31日，市整改办成立验收组，对该问题完成情况和相关佐证材料进行了验收。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六、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公示时间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2023年7月2</w:t>
      </w:r>
      <w:r>
        <w:rPr>
          <w:rFonts w:hint="eastAsia" w:ascii="仿宋_GB2312" w:hAnsi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_GB2312" w:eastAsia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日至 2023年</w:t>
      </w:r>
      <w:r>
        <w:rPr>
          <w:rFonts w:hint="eastAsia" w:ascii="仿宋_GB2312" w:hAnsi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月2日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七、受理部门：</w:t>
      </w:r>
      <w:r>
        <w:rPr>
          <w:rFonts w:hint="eastAsia" w:ascii="仿宋_GB2312" w:hAnsi="仿宋_GB2312" w:eastAsia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市生态环境保护督察整改工作领导小组办公室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八、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受理电话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68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3854157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九、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受理地址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鹤岗市工农区东解放路29号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以上整改验收销号情况向社会公示，如有异议，请以书面或电话形式，向市生态环境保护督察整改工作领导小组办公室反映。邮寄的以邮戳为准，直接送达的以送达日期为准。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wordWrap w:val="0"/>
        <w:spacing w:line="600" w:lineRule="exact"/>
        <w:ind w:firstLine="640" w:firstLineChars="200"/>
        <w:jc w:val="center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 xml:space="preserve">  中共兴安区委员会 兴安区人民政府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hint="eastAsia" w:ascii="仿宋_GB2312" w:hAnsi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仿宋_GB2312" w:hAnsi="仿宋_GB2312" w:eastAsia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仿宋_GB2312" w:eastAsia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日</w:t>
      </w:r>
      <w:r>
        <w:rPr>
          <w:rFonts w:hint="default" w:ascii="仿宋_GB2312" w:hAnsi="仿宋_GB2312" w:eastAsia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wYWY3YTA0NWNkNzhmYmVjZTFiMjlhZTQ2ZGVjZGEifQ=="/>
  </w:docVars>
  <w:rsids>
    <w:rsidRoot w:val="345132C6"/>
    <w:rsid w:val="053A3784"/>
    <w:rsid w:val="13D935A5"/>
    <w:rsid w:val="1C0056DC"/>
    <w:rsid w:val="21B06A11"/>
    <w:rsid w:val="345132C6"/>
    <w:rsid w:val="350E3869"/>
    <w:rsid w:val="40E762AC"/>
    <w:rsid w:val="4D771F49"/>
    <w:rsid w:val="4DA746F5"/>
    <w:rsid w:val="502C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after="120" w:afterLines="0" w:afterAutospacing="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1241</Words>
  <Characters>1271</Characters>
  <Lines>0</Lines>
  <Paragraphs>0</Paragraphs>
  <TotalTime>14</TotalTime>
  <ScaleCrop>false</ScaleCrop>
  <LinksUpToDate>false</LinksUpToDate>
  <CharactersWithSpaces>1299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2023-07-17T02:02:00Z</dcterms:created>
  <dc:creator>Administrator</dc:creator>
  <cp:lastModifiedBy>Administrator</cp:lastModifiedBy>
  <dcterms:modified xsi:type="dcterms:W3CDTF">2023-07-25T01:43:38Z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09EAF7ED644F47EF8698F7F39F4B869F_11</vt:lpwstr>
  </property>
</Properties>
</file>