
<file path=[Content_Types].xml><?xml version="1.0" encoding="utf-8"?>
<Types xmlns="http://schemas.openxmlformats.org/package/2006/content-types">
  <Default Extension="xml" ContentType="application/xml"/>
  <Default Extension="bin" ContentType="application/vnd.openxmlformats-officedocument.oleObject"/>
  <Default Extension="jpeg" ContentType="image/jpeg"/>
  <Default Extension="JPG" ContentType="image/.jpg"/>
  <Default Extension="png" ContentType="image/png"/>
  <Default Extension="emf" ContentType="image/x-emf"/>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C490FEC">
      <w:pPr>
        <w:rPr>
          <w:color w:val="auto"/>
          <w:sz w:val="36"/>
          <w:szCs w:val="36"/>
        </w:rPr>
      </w:pPr>
    </w:p>
    <w:p w14:paraId="43D2783E">
      <w:pPr>
        <w:rPr>
          <w:color w:val="auto"/>
          <w:sz w:val="36"/>
          <w:szCs w:val="36"/>
        </w:rPr>
      </w:pPr>
    </w:p>
    <w:p w14:paraId="2863031B">
      <w:pPr>
        <w:rPr>
          <w:color w:val="auto"/>
          <w:sz w:val="36"/>
          <w:szCs w:val="36"/>
        </w:rPr>
      </w:pPr>
    </w:p>
    <w:p w14:paraId="5706FC22">
      <w:pPr>
        <w:rPr>
          <w:color w:val="auto"/>
          <w:sz w:val="36"/>
          <w:szCs w:val="36"/>
        </w:rPr>
      </w:pPr>
    </w:p>
    <w:p w14:paraId="4BD6528C">
      <w:pPr>
        <w:rPr>
          <w:color w:val="auto"/>
          <w:sz w:val="36"/>
          <w:szCs w:val="36"/>
        </w:rPr>
      </w:pPr>
    </w:p>
    <w:p w14:paraId="3AEFA6EF">
      <w:pPr>
        <w:adjustRightInd w:val="0"/>
        <w:snapToGrid w:val="0"/>
        <w:jc w:val="center"/>
        <w:outlineLvl w:val="0"/>
        <w:rPr>
          <w:bCs/>
          <w:color w:val="auto"/>
          <w:sz w:val="72"/>
          <w:szCs w:val="72"/>
        </w:rPr>
      </w:pPr>
      <w:bookmarkStart w:id="0" w:name="_Toc83393929"/>
      <w:r>
        <w:rPr>
          <w:bCs/>
          <w:color w:val="auto"/>
          <w:sz w:val="72"/>
          <w:szCs w:val="72"/>
        </w:rPr>
        <w:t>建设项目环境影响报告表</w:t>
      </w:r>
      <w:bookmarkEnd w:id="0"/>
    </w:p>
    <w:p w14:paraId="072ADCCA">
      <w:pPr>
        <w:adjustRightInd w:val="0"/>
        <w:snapToGrid w:val="0"/>
        <w:spacing w:before="192" w:beforeLines="80"/>
        <w:jc w:val="center"/>
        <w:rPr>
          <w:bCs/>
          <w:color w:val="auto"/>
          <w:sz w:val="48"/>
          <w:szCs w:val="48"/>
        </w:rPr>
      </w:pPr>
      <w:r>
        <w:rPr>
          <w:bCs/>
          <w:color w:val="auto"/>
          <w:sz w:val="48"/>
          <w:szCs w:val="48"/>
        </w:rPr>
        <w:t>（污染影响类）</w:t>
      </w:r>
    </w:p>
    <w:p w14:paraId="0F91D523">
      <w:pPr>
        <w:adjustRightInd w:val="0"/>
        <w:snapToGrid w:val="0"/>
        <w:spacing w:line="288" w:lineRule="auto"/>
        <w:jc w:val="center"/>
        <w:outlineLvl w:val="0"/>
        <w:rPr>
          <w:color w:val="auto"/>
          <w:kern w:val="44"/>
          <w:sz w:val="44"/>
          <w:szCs w:val="44"/>
        </w:rPr>
      </w:pPr>
    </w:p>
    <w:p w14:paraId="331C49CA">
      <w:pPr>
        <w:jc w:val="center"/>
        <w:rPr>
          <w:color w:val="auto"/>
          <w:sz w:val="52"/>
          <w:szCs w:val="52"/>
        </w:rPr>
      </w:pPr>
    </w:p>
    <w:p w14:paraId="33592982">
      <w:pPr>
        <w:ind w:firstLine="1040"/>
        <w:rPr>
          <w:color w:val="auto"/>
          <w:sz w:val="44"/>
          <w:szCs w:val="44"/>
        </w:rPr>
      </w:pPr>
    </w:p>
    <w:p w14:paraId="043DF9B6">
      <w:pPr>
        <w:ind w:firstLine="1040"/>
        <w:rPr>
          <w:color w:val="auto"/>
          <w:sz w:val="44"/>
          <w:szCs w:val="44"/>
        </w:rPr>
      </w:pPr>
    </w:p>
    <w:p w14:paraId="42BABA20">
      <w:pPr>
        <w:ind w:firstLine="1040"/>
        <w:rPr>
          <w:color w:val="auto"/>
          <w:sz w:val="44"/>
          <w:szCs w:val="44"/>
        </w:rPr>
      </w:pPr>
    </w:p>
    <w:p w14:paraId="490D3DA9">
      <w:pPr>
        <w:ind w:firstLine="1040"/>
        <w:rPr>
          <w:color w:val="auto"/>
          <w:sz w:val="44"/>
          <w:szCs w:val="44"/>
        </w:rPr>
      </w:pPr>
    </w:p>
    <w:p w14:paraId="0A476E7F">
      <w:pPr>
        <w:adjustRightInd w:val="0"/>
        <w:snapToGrid w:val="0"/>
        <w:spacing w:line="360" w:lineRule="auto"/>
        <w:ind w:firstLine="425" w:firstLineChars="133"/>
        <w:rPr>
          <w:rFonts w:hint="eastAsia"/>
          <w:color w:val="auto"/>
          <w:sz w:val="32"/>
          <w:szCs w:val="36"/>
          <w:lang w:eastAsia="zh-CN"/>
        </w:rPr>
      </w:pPr>
      <w:r>
        <w:rPr>
          <w:color w:val="auto"/>
          <w:sz w:val="32"/>
          <w:szCs w:val="36"/>
        </w:rPr>
        <w:t>项目名称：</w:t>
      </w:r>
      <w:r>
        <w:rPr>
          <w:rFonts w:hint="eastAsia"/>
          <w:color w:val="auto"/>
          <w:sz w:val="32"/>
          <w:szCs w:val="36"/>
          <w:u w:val="single"/>
          <w:lang w:eastAsia="zh-CN"/>
        </w:rPr>
        <w:t>长安工贸公司岩煤体加固材料生产项目</w:t>
      </w:r>
    </w:p>
    <w:p w14:paraId="189A148F">
      <w:pPr>
        <w:adjustRightInd w:val="0"/>
        <w:snapToGrid w:val="0"/>
        <w:spacing w:line="360" w:lineRule="auto"/>
        <w:ind w:firstLine="425" w:firstLineChars="133"/>
        <w:rPr>
          <w:rFonts w:hint="eastAsia"/>
          <w:color w:val="auto"/>
          <w:sz w:val="32"/>
          <w:szCs w:val="36"/>
          <w:lang w:eastAsia="zh-CN"/>
        </w:rPr>
      </w:pPr>
      <w:r>
        <w:rPr>
          <w:color w:val="auto"/>
          <w:sz w:val="32"/>
          <w:szCs w:val="36"/>
        </w:rPr>
        <w:t>建设单位（盖章）：</w:t>
      </w:r>
      <w:r>
        <w:rPr>
          <w:rFonts w:hint="eastAsia"/>
          <w:color w:val="auto"/>
          <w:sz w:val="32"/>
          <w:szCs w:val="36"/>
          <w:u w:val="single"/>
          <w:lang w:eastAsia="zh-CN"/>
        </w:rPr>
        <w:t>鹤岗长安工贸有限责任公司</w:t>
      </w:r>
    </w:p>
    <w:p w14:paraId="4E9C8BDC">
      <w:pPr>
        <w:adjustRightInd w:val="0"/>
        <w:snapToGrid w:val="0"/>
        <w:spacing w:line="360" w:lineRule="auto"/>
        <w:ind w:firstLine="425" w:firstLineChars="133"/>
        <w:rPr>
          <w:color w:val="auto"/>
          <w:sz w:val="32"/>
          <w:szCs w:val="36"/>
          <w:u w:val="single"/>
        </w:rPr>
      </w:pPr>
      <w:r>
        <w:rPr>
          <w:color w:val="auto"/>
          <w:sz w:val="32"/>
          <w:szCs w:val="36"/>
        </w:rPr>
        <w:t>编制日期：</w:t>
      </w:r>
      <w:r>
        <w:rPr>
          <w:color w:val="auto"/>
          <w:sz w:val="32"/>
          <w:szCs w:val="36"/>
          <w:u w:val="single"/>
        </w:rPr>
        <w:t>202</w:t>
      </w:r>
      <w:r>
        <w:rPr>
          <w:rFonts w:hint="eastAsia"/>
          <w:color w:val="auto"/>
          <w:sz w:val="32"/>
          <w:szCs w:val="36"/>
          <w:u w:val="single"/>
          <w:lang w:val="en-US" w:eastAsia="zh-CN"/>
        </w:rPr>
        <w:t>5</w:t>
      </w:r>
      <w:r>
        <w:rPr>
          <w:color w:val="auto"/>
          <w:sz w:val="32"/>
          <w:szCs w:val="36"/>
          <w:u w:val="single"/>
        </w:rPr>
        <w:t>年</w:t>
      </w:r>
      <w:r>
        <w:rPr>
          <w:rFonts w:hint="eastAsia"/>
          <w:color w:val="auto"/>
          <w:sz w:val="32"/>
          <w:szCs w:val="36"/>
          <w:u w:val="single"/>
          <w:lang w:val="en-US" w:eastAsia="zh-CN"/>
        </w:rPr>
        <w:t>4</w:t>
      </w:r>
      <w:r>
        <w:rPr>
          <w:color w:val="auto"/>
          <w:sz w:val="32"/>
          <w:szCs w:val="36"/>
          <w:u w:val="single"/>
        </w:rPr>
        <w:t xml:space="preserve">月 </w:t>
      </w:r>
    </w:p>
    <w:p w14:paraId="7917B1EE">
      <w:pPr>
        <w:rPr>
          <w:color w:val="auto"/>
        </w:rPr>
      </w:pPr>
      <w:bookmarkStart w:id="1" w:name="_Hlk57884087"/>
    </w:p>
    <w:p w14:paraId="24427522">
      <w:pPr>
        <w:rPr>
          <w:color w:val="auto"/>
        </w:rPr>
      </w:pPr>
    </w:p>
    <w:p w14:paraId="6D692771">
      <w:pPr>
        <w:rPr>
          <w:color w:val="auto"/>
        </w:rPr>
      </w:pPr>
    </w:p>
    <w:p w14:paraId="7B0FB51A">
      <w:pPr>
        <w:rPr>
          <w:color w:val="auto"/>
        </w:rPr>
      </w:pPr>
    </w:p>
    <w:p w14:paraId="59D0BF90">
      <w:pPr>
        <w:adjustRightInd w:val="0"/>
        <w:snapToGrid w:val="0"/>
        <w:spacing w:line="288" w:lineRule="auto"/>
        <w:ind w:firstLine="1040"/>
        <w:rPr>
          <w:color w:val="auto"/>
          <w:sz w:val="36"/>
          <w:szCs w:val="36"/>
        </w:rPr>
      </w:pPr>
    </w:p>
    <w:p w14:paraId="441EFCFA">
      <w:pPr>
        <w:adjustRightInd w:val="0"/>
        <w:snapToGrid w:val="0"/>
        <w:spacing w:line="288" w:lineRule="auto"/>
        <w:ind w:firstLine="1040"/>
        <w:rPr>
          <w:color w:val="auto"/>
          <w:sz w:val="36"/>
          <w:szCs w:val="36"/>
        </w:rPr>
      </w:pPr>
    </w:p>
    <w:p w14:paraId="0A3EFA37">
      <w:pPr>
        <w:adjustRightInd w:val="0"/>
        <w:snapToGrid w:val="0"/>
        <w:spacing w:line="288" w:lineRule="auto"/>
        <w:ind w:firstLine="1040"/>
        <w:rPr>
          <w:color w:val="auto"/>
          <w:sz w:val="36"/>
          <w:szCs w:val="36"/>
        </w:rPr>
      </w:pPr>
    </w:p>
    <w:p w14:paraId="7A1608B5">
      <w:pPr>
        <w:adjustRightInd w:val="0"/>
        <w:snapToGrid w:val="0"/>
        <w:spacing w:line="288" w:lineRule="auto"/>
        <w:ind w:firstLine="1040"/>
        <w:rPr>
          <w:color w:val="auto"/>
          <w:sz w:val="36"/>
          <w:szCs w:val="36"/>
        </w:rPr>
      </w:pPr>
    </w:p>
    <w:bookmarkEnd w:id="1"/>
    <w:p w14:paraId="00501328">
      <w:pPr>
        <w:adjustRightInd w:val="0"/>
        <w:snapToGrid w:val="0"/>
        <w:spacing w:line="288" w:lineRule="auto"/>
        <w:jc w:val="center"/>
        <w:rPr>
          <w:color w:val="auto"/>
          <w:sz w:val="36"/>
          <w:szCs w:val="36"/>
        </w:rPr>
      </w:pPr>
      <w:r>
        <w:rPr>
          <w:color w:val="auto"/>
          <w:sz w:val="36"/>
          <w:szCs w:val="36"/>
        </w:rPr>
        <w:t>中华人民共和国生态环境部制</w:t>
      </w:r>
    </w:p>
    <w:p w14:paraId="107C248E">
      <w:pPr>
        <w:adjustRightInd w:val="0"/>
        <w:snapToGrid w:val="0"/>
        <w:spacing w:line="288" w:lineRule="auto"/>
        <w:jc w:val="center"/>
        <w:rPr>
          <w:color w:val="auto"/>
          <w:sz w:val="36"/>
          <w:szCs w:val="36"/>
        </w:rPr>
        <w:sectPr>
          <w:footerReference r:id="rId3" w:type="default"/>
          <w:footerReference r:id="rId4" w:type="even"/>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p>
    <w:p w14:paraId="0F9F9AE8">
      <w:pPr>
        <w:adjustRightInd w:val="0"/>
        <w:snapToGrid w:val="0"/>
        <w:spacing w:line="288" w:lineRule="auto"/>
        <w:jc w:val="center"/>
        <w:rPr>
          <w:rFonts w:hint="eastAsia" w:eastAsia="宋体"/>
          <w:color w:val="auto"/>
          <w:sz w:val="36"/>
          <w:szCs w:val="36"/>
          <w:lang w:eastAsia="zh-CN"/>
        </w:rPr>
        <w:sectPr>
          <w:pgSz w:w="11906" w:h="16838"/>
          <w:pgMar w:top="1701" w:right="1531" w:bottom="1701" w:left="1531" w:header="851" w:footer="1077" w:gutter="0"/>
          <w:pgBorders>
            <w:top w:val="none" w:sz="0" w:space="0"/>
            <w:left w:val="none" w:sz="0" w:space="0"/>
            <w:bottom w:val="none" w:sz="0" w:space="0"/>
            <w:right w:val="none" w:sz="0" w:space="0"/>
          </w:pgBorders>
          <w:pgNumType w:start="3"/>
          <w:cols w:space="720" w:num="1"/>
          <w:docGrid w:linePitch="312" w:charSpace="0"/>
        </w:sectPr>
      </w:pPr>
      <w:r>
        <w:rPr>
          <w:rFonts w:hint="eastAsia" w:eastAsia="宋体"/>
          <w:color w:val="auto"/>
          <w:sz w:val="36"/>
          <w:szCs w:val="36"/>
          <w:lang w:eastAsia="zh-CN"/>
        </w:rPr>
        <w:drawing>
          <wp:inline distT="0" distB="0" distL="114300" distR="114300">
            <wp:extent cx="5610860" cy="7934960"/>
            <wp:effectExtent l="0" t="0" r="8890" b="8890"/>
            <wp:docPr id="49" name="图片 49" descr="20250417212223239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49" descr="20250417212223239_00"/>
                    <pic:cNvPicPr>
                      <a:picLocks noChangeAspect="1"/>
                    </pic:cNvPicPr>
                  </pic:nvPicPr>
                  <pic:blipFill>
                    <a:blip r:embed="rId9"/>
                    <a:stretch>
                      <a:fillRect/>
                    </a:stretch>
                  </pic:blipFill>
                  <pic:spPr>
                    <a:xfrm>
                      <a:off x="0" y="0"/>
                      <a:ext cx="5610860" cy="7934960"/>
                    </a:xfrm>
                    <a:prstGeom prst="rect">
                      <a:avLst/>
                    </a:prstGeom>
                  </pic:spPr>
                </pic:pic>
              </a:graphicData>
            </a:graphic>
          </wp:inline>
        </w:drawing>
      </w:r>
    </w:p>
    <w:p w14:paraId="64CA6AFB">
      <w:pPr>
        <w:pStyle w:val="38"/>
        <w:jc w:val="center"/>
        <w:outlineLvl w:val="0"/>
        <w:rPr>
          <w:rFonts w:ascii="Times New Roman" w:hAnsi="Times New Roman"/>
          <w:snapToGrid w:val="0"/>
          <w:color w:val="auto"/>
          <w:sz w:val="30"/>
          <w:szCs w:val="30"/>
        </w:rPr>
      </w:pPr>
      <w:bookmarkStart w:id="2" w:name="_Toc83393930"/>
      <w:r>
        <w:rPr>
          <w:rFonts w:ascii="Times New Roman" w:hAnsi="Times New Roman"/>
          <w:snapToGrid w:val="0"/>
          <w:color w:val="auto"/>
          <w:sz w:val="30"/>
          <w:szCs w:val="30"/>
        </w:rPr>
        <w:t>一、建设项目基本情况</w:t>
      </w:r>
      <w:bookmarkEnd w:id="2"/>
    </w:p>
    <w:tbl>
      <w:tblPr>
        <w:tblStyle w:val="4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0" w:type="dxa"/>
          <w:bottom w:w="0" w:type="dxa"/>
          <w:right w:w="0" w:type="dxa"/>
        </w:tblCellMar>
      </w:tblPr>
      <w:tblGrid>
        <w:gridCol w:w="1998"/>
        <w:gridCol w:w="2021"/>
        <w:gridCol w:w="2212"/>
        <w:gridCol w:w="2639"/>
      </w:tblGrid>
      <w:tr w14:paraId="638220E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998" w:type="dxa"/>
            <w:tcMar>
              <w:top w:w="16" w:type="dxa"/>
              <w:left w:w="16" w:type="dxa"/>
              <w:right w:w="16" w:type="dxa"/>
            </w:tcMar>
            <w:vAlign w:val="center"/>
          </w:tcPr>
          <w:p w14:paraId="66A82CE6">
            <w:pPr>
              <w:adjustRightInd w:val="0"/>
              <w:snapToGrid w:val="0"/>
              <w:jc w:val="center"/>
              <w:rPr>
                <w:color w:val="auto"/>
                <w:szCs w:val="21"/>
              </w:rPr>
            </w:pPr>
            <w:r>
              <w:rPr>
                <w:color w:val="auto"/>
                <w:szCs w:val="21"/>
              </w:rPr>
              <w:t>建设项目名称</w:t>
            </w:r>
          </w:p>
        </w:tc>
        <w:tc>
          <w:tcPr>
            <w:tcW w:w="6872" w:type="dxa"/>
            <w:gridSpan w:val="3"/>
            <w:vAlign w:val="center"/>
          </w:tcPr>
          <w:p w14:paraId="6818672B">
            <w:pPr>
              <w:adjustRightInd w:val="0"/>
              <w:snapToGrid w:val="0"/>
              <w:jc w:val="center"/>
              <w:rPr>
                <w:rFonts w:hint="eastAsia" w:eastAsia="宋体"/>
                <w:color w:val="auto"/>
                <w:szCs w:val="21"/>
                <w:lang w:eastAsia="zh-CN"/>
              </w:rPr>
            </w:pPr>
            <w:r>
              <w:rPr>
                <w:rFonts w:hint="eastAsia"/>
                <w:color w:val="auto"/>
                <w:szCs w:val="21"/>
                <w:lang w:eastAsia="zh-CN"/>
              </w:rPr>
              <w:t>长安工贸公司岩煤体加固材料生产项目</w:t>
            </w:r>
          </w:p>
        </w:tc>
      </w:tr>
      <w:tr w14:paraId="48221E8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998" w:type="dxa"/>
            <w:tcMar>
              <w:top w:w="16" w:type="dxa"/>
              <w:left w:w="16" w:type="dxa"/>
              <w:right w:w="16" w:type="dxa"/>
            </w:tcMar>
            <w:vAlign w:val="center"/>
          </w:tcPr>
          <w:p w14:paraId="432E8AD8">
            <w:pPr>
              <w:adjustRightInd w:val="0"/>
              <w:snapToGrid w:val="0"/>
              <w:jc w:val="center"/>
              <w:rPr>
                <w:color w:val="auto"/>
                <w:szCs w:val="21"/>
              </w:rPr>
            </w:pPr>
            <w:r>
              <w:rPr>
                <w:color w:val="auto"/>
                <w:szCs w:val="21"/>
              </w:rPr>
              <w:t>项目代码</w:t>
            </w:r>
          </w:p>
        </w:tc>
        <w:tc>
          <w:tcPr>
            <w:tcW w:w="6872" w:type="dxa"/>
            <w:gridSpan w:val="3"/>
            <w:vAlign w:val="center"/>
          </w:tcPr>
          <w:p w14:paraId="2B829727">
            <w:pPr>
              <w:adjustRightInd w:val="0"/>
              <w:snapToGrid w:val="0"/>
              <w:jc w:val="center"/>
              <w:rPr>
                <w:color w:val="auto"/>
                <w:szCs w:val="21"/>
              </w:rPr>
            </w:pPr>
            <w:r>
              <w:rPr>
                <w:color w:val="auto"/>
                <w:szCs w:val="21"/>
              </w:rPr>
              <w:t>无</w:t>
            </w:r>
          </w:p>
        </w:tc>
      </w:tr>
      <w:tr w14:paraId="16459D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998" w:type="dxa"/>
            <w:tcMar>
              <w:top w:w="16" w:type="dxa"/>
              <w:left w:w="16" w:type="dxa"/>
              <w:right w:w="16" w:type="dxa"/>
            </w:tcMar>
            <w:vAlign w:val="center"/>
          </w:tcPr>
          <w:p w14:paraId="08EAFFAD">
            <w:pPr>
              <w:pStyle w:val="101"/>
              <w:rPr>
                <w:color w:val="auto"/>
              </w:rPr>
            </w:pPr>
            <w:r>
              <w:rPr>
                <w:color w:val="auto"/>
              </w:rPr>
              <w:t>建设单位联系人</w:t>
            </w:r>
          </w:p>
        </w:tc>
        <w:tc>
          <w:tcPr>
            <w:tcW w:w="2021" w:type="dxa"/>
            <w:vAlign w:val="center"/>
          </w:tcPr>
          <w:p w14:paraId="35DCC9DF">
            <w:pPr>
              <w:pStyle w:val="101"/>
              <w:rPr>
                <w:color w:val="auto"/>
              </w:rPr>
            </w:pPr>
            <w:r>
              <w:rPr>
                <w:rFonts w:hint="eastAsia"/>
                <w:color w:val="auto"/>
                <w:lang w:eastAsia="zh-CN"/>
              </w:rPr>
              <w:t>李政</w:t>
            </w:r>
          </w:p>
        </w:tc>
        <w:tc>
          <w:tcPr>
            <w:tcW w:w="2212" w:type="dxa"/>
            <w:vAlign w:val="center"/>
          </w:tcPr>
          <w:p w14:paraId="460802AF">
            <w:pPr>
              <w:pStyle w:val="101"/>
              <w:rPr>
                <w:color w:val="auto"/>
              </w:rPr>
            </w:pPr>
            <w:r>
              <w:rPr>
                <w:color w:val="auto"/>
              </w:rPr>
              <w:t>联系方式</w:t>
            </w:r>
          </w:p>
        </w:tc>
        <w:tc>
          <w:tcPr>
            <w:tcW w:w="2639" w:type="dxa"/>
            <w:vAlign w:val="center"/>
          </w:tcPr>
          <w:p w14:paraId="6F9142E9">
            <w:pPr>
              <w:pStyle w:val="101"/>
              <w:rPr>
                <w:color w:val="auto"/>
              </w:rPr>
            </w:pPr>
            <w:r>
              <w:rPr>
                <w:rFonts w:hint="eastAsia"/>
                <w:color w:val="auto"/>
                <w:lang w:val="en-US" w:eastAsia="zh-CN"/>
              </w:rPr>
              <w:t>13846870058</w:t>
            </w:r>
          </w:p>
        </w:tc>
      </w:tr>
      <w:tr w14:paraId="0DBCB1A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998" w:type="dxa"/>
            <w:tcMar>
              <w:top w:w="16" w:type="dxa"/>
              <w:left w:w="16" w:type="dxa"/>
              <w:right w:w="16" w:type="dxa"/>
            </w:tcMar>
            <w:vAlign w:val="center"/>
          </w:tcPr>
          <w:p w14:paraId="05AC3E06">
            <w:pPr>
              <w:adjustRightInd w:val="0"/>
              <w:snapToGrid w:val="0"/>
              <w:jc w:val="center"/>
              <w:rPr>
                <w:color w:val="auto"/>
                <w:szCs w:val="21"/>
              </w:rPr>
            </w:pPr>
            <w:r>
              <w:rPr>
                <w:color w:val="auto"/>
                <w:szCs w:val="21"/>
              </w:rPr>
              <w:t>建设地点</w:t>
            </w:r>
          </w:p>
        </w:tc>
        <w:tc>
          <w:tcPr>
            <w:tcW w:w="6872" w:type="dxa"/>
            <w:gridSpan w:val="3"/>
            <w:vAlign w:val="center"/>
          </w:tcPr>
          <w:p w14:paraId="2403BC5A">
            <w:pPr>
              <w:adjustRightInd w:val="0"/>
              <w:snapToGrid w:val="0"/>
              <w:jc w:val="center"/>
              <w:rPr>
                <w:rFonts w:hint="eastAsia" w:eastAsia="宋体"/>
                <w:color w:val="auto"/>
                <w:szCs w:val="21"/>
                <w:lang w:eastAsia="zh-CN"/>
              </w:rPr>
            </w:pPr>
            <w:r>
              <w:rPr>
                <w:rFonts w:hint="eastAsia"/>
                <w:color w:val="auto"/>
                <w:szCs w:val="21"/>
                <w:lang w:eastAsia="zh-CN"/>
              </w:rPr>
              <w:t>黑龙江省鹤岗市南山区五委十三组南山煤矿院内</w:t>
            </w:r>
          </w:p>
        </w:tc>
      </w:tr>
      <w:tr w14:paraId="46654F0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998" w:type="dxa"/>
            <w:tcMar>
              <w:top w:w="16" w:type="dxa"/>
              <w:left w:w="16" w:type="dxa"/>
              <w:right w:w="16" w:type="dxa"/>
            </w:tcMar>
            <w:vAlign w:val="center"/>
          </w:tcPr>
          <w:p w14:paraId="0AC5D185">
            <w:pPr>
              <w:adjustRightInd w:val="0"/>
              <w:snapToGrid w:val="0"/>
              <w:jc w:val="center"/>
              <w:rPr>
                <w:color w:val="auto"/>
                <w:szCs w:val="21"/>
              </w:rPr>
            </w:pPr>
            <w:r>
              <w:rPr>
                <w:color w:val="auto"/>
                <w:szCs w:val="21"/>
              </w:rPr>
              <w:t>地理坐标</w:t>
            </w:r>
          </w:p>
        </w:tc>
        <w:tc>
          <w:tcPr>
            <w:tcW w:w="6872" w:type="dxa"/>
            <w:gridSpan w:val="3"/>
            <w:vAlign w:val="center"/>
          </w:tcPr>
          <w:p w14:paraId="7CBF396A">
            <w:pPr>
              <w:jc w:val="center"/>
              <w:rPr>
                <w:color w:val="auto"/>
                <w:szCs w:val="21"/>
              </w:rPr>
            </w:pPr>
            <w:r>
              <w:rPr>
                <w:color w:val="auto"/>
                <w:szCs w:val="21"/>
                <w:highlight w:val="none"/>
              </w:rPr>
              <w:t>（</w:t>
            </w:r>
            <w:r>
              <w:rPr>
                <w:color w:val="auto"/>
                <w:szCs w:val="21"/>
                <w:highlight w:val="none"/>
                <w:u w:val="single"/>
              </w:rPr>
              <w:t xml:space="preserve"> 13</w:t>
            </w:r>
            <w:r>
              <w:rPr>
                <w:rFonts w:hint="eastAsia"/>
                <w:color w:val="auto"/>
                <w:szCs w:val="21"/>
                <w:highlight w:val="none"/>
                <w:u w:val="single"/>
                <w:lang w:val="en-US" w:eastAsia="zh-CN"/>
              </w:rPr>
              <w:t>0</w:t>
            </w:r>
            <w:r>
              <w:rPr>
                <w:color w:val="auto"/>
                <w:szCs w:val="21"/>
                <w:highlight w:val="none"/>
                <w:u w:val="single"/>
              </w:rPr>
              <w:t xml:space="preserve"> </w:t>
            </w:r>
            <w:r>
              <w:rPr>
                <w:color w:val="auto"/>
                <w:szCs w:val="21"/>
                <w:highlight w:val="none"/>
              </w:rPr>
              <w:t>度</w:t>
            </w:r>
            <w:r>
              <w:rPr>
                <w:color w:val="auto"/>
                <w:szCs w:val="21"/>
                <w:highlight w:val="none"/>
                <w:u w:val="single"/>
              </w:rPr>
              <w:t xml:space="preserve"> </w:t>
            </w:r>
            <w:r>
              <w:rPr>
                <w:rFonts w:hint="eastAsia"/>
                <w:color w:val="auto"/>
                <w:szCs w:val="21"/>
                <w:highlight w:val="none"/>
                <w:u w:val="single"/>
                <w:lang w:val="en-US" w:eastAsia="zh-CN"/>
              </w:rPr>
              <w:t>17</w:t>
            </w:r>
            <w:r>
              <w:rPr>
                <w:color w:val="auto"/>
                <w:szCs w:val="21"/>
                <w:highlight w:val="none"/>
                <w:u w:val="single"/>
              </w:rPr>
              <w:t xml:space="preserve"> </w:t>
            </w:r>
            <w:r>
              <w:rPr>
                <w:color w:val="auto"/>
                <w:szCs w:val="21"/>
                <w:highlight w:val="none"/>
              </w:rPr>
              <w:t>分</w:t>
            </w:r>
            <w:r>
              <w:rPr>
                <w:color w:val="auto"/>
                <w:szCs w:val="21"/>
                <w:highlight w:val="none"/>
                <w:u w:val="single"/>
              </w:rPr>
              <w:t xml:space="preserve"> </w:t>
            </w:r>
            <w:r>
              <w:rPr>
                <w:rFonts w:hint="eastAsia"/>
                <w:color w:val="auto"/>
                <w:szCs w:val="21"/>
                <w:highlight w:val="none"/>
                <w:u w:val="single"/>
                <w:lang w:val="en-US" w:eastAsia="zh-CN"/>
              </w:rPr>
              <w:t>1.336</w:t>
            </w:r>
            <w:r>
              <w:rPr>
                <w:color w:val="auto"/>
                <w:szCs w:val="21"/>
                <w:highlight w:val="none"/>
                <w:u w:val="single"/>
              </w:rPr>
              <w:t xml:space="preserve"> </w:t>
            </w:r>
            <w:r>
              <w:rPr>
                <w:color w:val="auto"/>
                <w:szCs w:val="21"/>
                <w:highlight w:val="none"/>
              </w:rPr>
              <w:t>秒</w:t>
            </w:r>
            <w:r>
              <w:rPr>
                <w:rFonts w:hint="eastAsia"/>
                <w:color w:val="auto"/>
                <w:szCs w:val="21"/>
                <w:highlight w:val="none"/>
                <w:lang w:eastAsia="zh-CN"/>
              </w:rPr>
              <w:t>，</w:t>
            </w:r>
            <w:r>
              <w:rPr>
                <w:color w:val="auto"/>
                <w:szCs w:val="21"/>
                <w:highlight w:val="none"/>
                <w:u w:val="single"/>
              </w:rPr>
              <w:t xml:space="preserve"> 4</w:t>
            </w:r>
            <w:r>
              <w:rPr>
                <w:rFonts w:hint="eastAsia"/>
                <w:color w:val="auto"/>
                <w:szCs w:val="21"/>
                <w:highlight w:val="none"/>
                <w:u w:val="single"/>
                <w:lang w:val="en-US" w:eastAsia="zh-CN"/>
              </w:rPr>
              <w:t>7</w:t>
            </w:r>
            <w:r>
              <w:rPr>
                <w:color w:val="auto"/>
                <w:szCs w:val="21"/>
                <w:highlight w:val="none"/>
                <w:u w:val="single"/>
              </w:rPr>
              <w:t xml:space="preserve"> </w:t>
            </w:r>
            <w:r>
              <w:rPr>
                <w:color w:val="auto"/>
                <w:szCs w:val="21"/>
                <w:highlight w:val="none"/>
              </w:rPr>
              <w:t>度</w:t>
            </w:r>
            <w:r>
              <w:rPr>
                <w:rFonts w:hint="eastAsia"/>
                <w:color w:val="auto"/>
                <w:szCs w:val="21"/>
                <w:highlight w:val="none"/>
                <w:u w:val="single"/>
                <w:lang w:val="en-US" w:eastAsia="zh-CN"/>
              </w:rPr>
              <w:t>18</w:t>
            </w:r>
            <w:r>
              <w:rPr>
                <w:color w:val="auto"/>
                <w:szCs w:val="21"/>
                <w:highlight w:val="none"/>
                <w:u w:val="single"/>
              </w:rPr>
              <w:t xml:space="preserve"> </w:t>
            </w:r>
            <w:r>
              <w:rPr>
                <w:color w:val="auto"/>
                <w:szCs w:val="21"/>
                <w:highlight w:val="none"/>
              </w:rPr>
              <w:t>分</w:t>
            </w:r>
            <w:r>
              <w:rPr>
                <w:color w:val="auto"/>
                <w:szCs w:val="21"/>
                <w:highlight w:val="none"/>
                <w:u w:val="single"/>
              </w:rPr>
              <w:t xml:space="preserve"> </w:t>
            </w:r>
            <w:r>
              <w:rPr>
                <w:rFonts w:hint="eastAsia"/>
                <w:color w:val="auto"/>
                <w:szCs w:val="21"/>
                <w:highlight w:val="none"/>
                <w:u w:val="single"/>
                <w:lang w:val="en-US" w:eastAsia="zh-CN"/>
              </w:rPr>
              <w:t>1.341</w:t>
            </w:r>
            <w:r>
              <w:rPr>
                <w:color w:val="auto"/>
                <w:szCs w:val="21"/>
                <w:highlight w:val="none"/>
                <w:u w:val="single"/>
              </w:rPr>
              <w:t xml:space="preserve"> </w:t>
            </w:r>
            <w:r>
              <w:rPr>
                <w:color w:val="auto"/>
                <w:szCs w:val="21"/>
                <w:highlight w:val="none"/>
              </w:rPr>
              <w:t>秒）</w:t>
            </w:r>
          </w:p>
        </w:tc>
      </w:tr>
      <w:tr w14:paraId="31BF730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998" w:type="dxa"/>
            <w:tcMar>
              <w:top w:w="16" w:type="dxa"/>
              <w:left w:w="16" w:type="dxa"/>
              <w:right w:w="16" w:type="dxa"/>
            </w:tcMar>
            <w:vAlign w:val="center"/>
          </w:tcPr>
          <w:p w14:paraId="0C188B26">
            <w:pPr>
              <w:adjustRightInd w:val="0"/>
              <w:snapToGrid w:val="0"/>
              <w:jc w:val="center"/>
              <w:rPr>
                <w:color w:val="auto"/>
                <w:szCs w:val="21"/>
              </w:rPr>
            </w:pPr>
            <w:r>
              <w:rPr>
                <w:color w:val="auto"/>
                <w:szCs w:val="21"/>
              </w:rPr>
              <w:t>国民经济</w:t>
            </w:r>
          </w:p>
          <w:p w14:paraId="205641A1">
            <w:pPr>
              <w:adjustRightInd w:val="0"/>
              <w:snapToGrid w:val="0"/>
              <w:jc w:val="center"/>
              <w:rPr>
                <w:color w:val="auto"/>
                <w:szCs w:val="21"/>
              </w:rPr>
            </w:pPr>
            <w:r>
              <w:rPr>
                <w:color w:val="auto"/>
                <w:szCs w:val="21"/>
              </w:rPr>
              <w:t>行业类别</w:t>
            </w:r>
          </w:p>
        </w:tc>
        <w:tc>
          <w:tcPr>
            <w:tcW w:w="2021" w:type="dxa"/>
            <w:vAlign w:val="center"/>
          </w:tcPr>
          <w:p w14:paraId="3433C3E5">
            <w:pPr>
              <w:adjustRightInd w:val="0"/>
              <w:snapToGrid w:val="0"/>
              <w:jc w:val="center"/>
              <w:rPr>
                <w:color w:val="auto"/>
                <w:szCs w:val="21"/>
              </w:rPr>
            </w:pPr>
            <w:r>
              <w:rPr>
                <w:rFonts w:hint="eastAsia"/>
                <w:color w:val="auto"/>
                <w:szCs w:val="21"/>
              </w:rPr>
              <w:t>2</w:t>
            </w:r>
            <w:r>
              <w:rPr>
                <w:color w:val="auto"/>
                <w:szCs w:val="21"/>
              </w:rPr>
              <w:t>669</w:t>
            </w:r>
            <w:r>
              <w:rPr>
                <w:rFonts w:hint="eastAsia"/>
                <w:color w:val="auto"/>
                <w:szCs w:val="21"/>
              </w:rPr>
              <w:t>其他专用化学产品制造</w:t>
            </w:r>
          </w:p>
        </w:tc>
        <w:tc>
          <w:tcPr>
            <w:tcW w:w="2212" w:type="dxa"/>
            <w:vAlign w:val="center"/>
          </w:tcPr>
          <w:p w14:paraId="436D6476">
            <w:pPr>
              <w:adjustRightInd w:val="0"/>
              <w:snapToGrid w:val="0"/>
              <w:jc w:val="center"/>
              <w:rPr>
                <w:color w:val="auto"/>
                <w:szCs w:val="21"/>
              </w:rPr>
            </w:pPr>
            <w:bookmarkStart w:id="3" w:name="_Hlk49843745"/>
            <w:r>
              <w:rPr>
                <w:color w:val="auto"/>
                <w:szCs w:val="21"/>
              </w:rPr>
              <w:t>建设项目</w:t>
            </w:r>
          </w:p>
          <w:p w14:paraId="6B3C0CB3">
            <w:pPr>
              <w:adjustRightInd w:val="0"/>
              <w:snapToGrid w:val="0"/>
              <w:jc w:val="center"/>
              <w:rPr>
                <w:color w:val="auto"/>
                <w:szCs w:val="21"/>
              </w:rPr>
            </w:pPr>
            <w:r>
              <w:rPr>
                <w:color w:val="auto"/>
                <w:szCs w:val="21"/>
              </w:rPr>
              <w:t>行业类别</w:t>
            </w:r>
            <w:bookmarkEnd w:id="3"/>
          </w:p>
        </w:tc>
        <w:tc>
          <w:tcPr>
            <w:tcW w:w="2639" w:type="dxa"/>
            <w:vAlign w:val="center"/>
          </w:tcPr>
          <w:p w14:paraId="44A12E67">
            <w:pPr>
              <w:adjustRightInd w:val="0"/>
              <w:snapToGrid w:val="0"/>
              <w:rPr>
                <w:color w:val="auto"/>
                <w:szCs w:val="21"/>
              </w:rPr>
            </w:pPr>
            <w:r>
              <w:rPr>
                <w:color w:val="auto"/>
                <w:szCs w:val="21"/>
              </w:rPr>
              <w:t>4</w:t>
            </w:r>
            <w:r>
              <w:rPr>
                <w:rFonts w:hint="eastAsia"/>
                <w:color w:val="auto"/>
                <w:szCs w:val="21"/>
              </w:rPr>
              <w:t>4基础化学原料制造；农药制造；涂料、油墨、颜料及类似产品制造；合成材料制造；专用化学产品制造；炸药、火工及焰火产品制造——单纯物理分离、物理提纯、混合、分装的（不产生废水或挥发性有机物的除外）</w:t>
            </w:r>
          </w:p>
        </w:tc>
      </w:tr>
      <w:tr w14:paraId="44B327A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998" w:type="dxa"/>
            <w:tcMar>
              <w:top w:w="16" w:type="dxa"/>
              <w:left w:w="16" w:type="dxa"/>
              <w:right w:w="16" w:type="dxa"/>
            </w:tcMar>
            <w:vAlign w:val="center"/>
          </w:tcPr>
          <w:p w14:paraId="6BD338FB">
            <w:pPr>
              <w:adjustRightInd w:val="0"/>
              <w:snapToGrid w:val="0"/>
              <w:jc w:val="center"/>
              <w:rPr>
                <w:color w:val="auto"/>
                <w:szCs w:val="21"/>
              </w:rPr>
            </w:pPr>
            <w:r>
              <w:rPr>
                <w:color w:val="auto"/>
                <w:szCs w:val="21"/>
              </w:rPr>
              <w:t>建设性质</w:t>
            </w:r>
          </w:p>
        </w:tc>
        <w:tc>
          <w:tcPr>
            <w:tcW w:w="2021" w:type="dxa"/>
            <w:vAlign w:val="center"/>
          </w:tcPr>
          <w:p w14:paraId="1CFE822C">
            <w:pPr>
              <w:jc w:val="left"/>
              <w:rPr>
                <w:color w:val="auto"/>
                <w:szCs w:val="21"/>
              </w:rPr>
            </w:pPr>
            <w:r>
              <w:rPr>
                <w:color w:val="auto"/>
                <w:szCs w:val="21"/>
              </w:rPr>
              <w:sym w:font="Wingdings" w:char="F0FE"/>
            </w:r>
            <w:r>
              <w:rPr>
                <w:color w:val="auto"/>
                <w:szCs w:val="21"/>
              </w:rPr>
              <w:t>新建（迁建）</w:t>
            </w:r>
          </w:p>
          <w:p w14:paraId="0B1FD43B">
            <w:pPr>
              <w:jc w:val="left"/>
              <w:rPr>
                <w:color w:val="auto"/>
                <w:szCs w:val="21"/>
              </w:rPr>
            </w:pPr>
            <w:r>
              <w:rPr>
                <w:color w:val="auto"/>
                <w:szCs w:val="21"/>
              </w:rPr>
              <w:sym w:font="Wingdings 2" w:char="00A3"/>
            </w:r>
            <w:r>
              <w:rPr>
                <w:color w:val="auto"/>
                <w:szCs w:val="21"/>
              </w:rPr>
              <w:t>改建</w:t>
            </w:r>
          </w:p>
          <w:p w14:paraId="4B008E3B">
            <w:pPr>
              <w:jc w:val="left"/>
              <w:rPr>
                <w:color w:val="auto"/>
                <w:szCs w:val="21"/>
              </w:rPr>
            </w:pPr>
            <w:r>
              <w:rPr>
                <w:color w:val="auto"/>
                <w:szCs w:val="21"/>
              </w:rPr>
              <w:sym w:font="Wingdings 2" w:char="00A3"/>
            </w:r>
            <w:r>
              <w:rPr>
                <w:color w:val="auto"/>
                <w:szCs w:val="21"/>
              </w:rPr>
              <w:t>扩建</w:t>
            </w:r>
          </w:p>
          <w:p w14:paraId="7A784C57">
            <w:pPr>
              <w:jc w:val="left"/>
              <w:rPr>
                <w:color w:val="auto"/>
                <w:szCs w:val="21"/>
              </w:rPr>
            </w:pPr>
            <w:r>
              <w:rPr>
                <w:color w:val="auto"/>
                <w:szCs w:val="21"/>
              </w:rPr>
              <w:sym w:font="Wingdings 2" w:char="00A3"/>
            </w:r>
            <w:r>
              <w:rPr>
                <w:color w:val="auto"/>
                <w:szCs w:val="21"/>
              </w:rPr>
              <w:t>技术改造</w:t>
            </w:r>
          </w:p>
        </w:tc>
        <w:tc>
          <w:tcPr>
            <w:tcW w:w="2212" w:type="dxa"/>
            <w:vAlign w:val="center"/>
          </w:tcPr>
          <w:p w14:paraId="33F35786">
            <w:pPr>
              <w:adjustRightInd w:val="0"/>
              <w:snapToGrid w:val="0"/>
              <w:jc w:val="center"/>
              <w:rPr>
                <w:color w:val="auto"/>
                <w:szCs w:val="21"/>
              </w:rPr>
            </w:pPr>
            <w:r>
              <w:rPr>
                <w:color w:val="auto"/>
                <w:szCs w:val="21"/>
              </w:rPr>
              <w:t>建设项目</w:t>
            </w:r>
          </w:p>
          <w:p w14:paraId="2794FA4A">
            <w:pPr>
              <w:adjustRightInd w:val="0"/>
              <w:snapToGrid w:val="0"/>
              <w:jc w:val="center"/>
              <w:rPr>
                <w:color w:val="auto"/>
                <w:szCs w:val="21"/>
              </w:rPr>
            </w:pPr>
            <w:r>
              <w:rPr>
                <w:color w:val="auto"/>
                <w:szCs w:val="21"/>
              </w:rPr>
              <w:t>申报情形</w:t>
            </w:r>
          </w:p>
        </w:tc>
        <w:tc>
          <w:tcPr>
            <w:tcW w:w="2639" w:type="dxa"/>
            <w:vAlign w:val="center"/>
          </w:tcPr>
          <w:p w14:paraId="50DB6652">
            <w:pPr>
              <w:jc w:val="left"/>
              <w:rPr>
                <w:color w:val="auto"/>
                <w:szCs w:val="21"/>
              </w:rPr>
            </w:pPr>
            <w:r>
              <w:rPr>
                <w:color w:val="auto"/>
                <w:szCs w:val="21"/>
              </w:rPr>
              <w:sym w:font="Wingdings" w:char="F0FE"/>
            </w:r>
            <w:r>
              <w:rPr>
                <w:color w:val="auto"/>
                <w:szCs w:val="21"/>
              </w:rPr>
              <w:t>首次申报项目</w:t>
            </w:r>
          </w:p>
          <w:p w14:paraId="772912DF">
            <w:pPr>
              <w:jc w:val="left"/>
              <w:rPr>
                <w:color w:val="auto"/>
                <w:szCs w:val="21"/>
              </w:rPr>
            </w:pPr>
            <w:r>
              <w:rPr>
                <w:color w:val="auto"/>
                <w:szCs w:val="21"/>
              </w:rPr>
              <w:sym w:font="Wingdings 2" w:char="00A3"/>
            </w:r>
            <w:r>
              <w:rPr>
                <w:color w:val="auto"/>
                <w:szCs w:val="21"/>
              </w:rPr>
              <w:t>不予批准后再次申报项目</w:t>
            </w:r>
          </w:p>
          <w:p w14:paraId="65D7138B">
            <w:pPr>
              <w:jc w:val="left"/>
              <w:rPr>
                <w:color w:val="auto"/>
                <w:szCs w:val="21"/>
              </w:rPr>
            </w:pPr>
            <w:r>
              <w:rPr>
                <w:color w:val="auto"/>
                <w:szCs w:val="21"/>
              </w:rPr>
              <w:sym w:font="Wingdings 2" w:char="00A3"/>
            </w:r>
            <w:r>
              <w:rPr>
                <w:color w:val="auto"/>
                <w:szCs w:val="21"/>
              </w:rPr>
              <w:t>超五年重新审核项目</w:t>
            </w:r>
          </w:p>
          <w:p w14:paraId="34963FED">
            <w:pPr>
              <w:jc w:val="left"/>
              <w:rPr>
                <w:color w:val="auto"/>
                <w:szCs w:val="21"/>
              </w:rPr>
            </w:pPr>
            <w:r>
              <w:rPr>
                <w:color w:val="auto"/>
                <w:szCs w:val="21"/>
              </w:rPr>
              <w:sym w:font="Wingdings 2" w:char="00A3"/>
            </w:r>
            <w:r>
              <w:rPr>
                <w:color w:val="auto"/>
                <w:szCs w:val="21"/>
              </w:rPr>
              <w:t>重大变动重新报批项目</w:t>
            </w:r>
          </w:p>
        </w:tc>
      </w:tr>
      <w:tr w14:paraId="01D6FB8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998" w:type="dxa"/>
            <w:tcMar>
              <w:top w:w="16" w:type="dxa"/>
              <w:left w:w="16" w:type="dxa"/>
              <w:right w:w="16" w:type="dxa"/>
            </w:tcMar>
            <w:vAlign w:val="center"/>
          </w:tcPr>
          <w:p w14:paraId="207F92B4">
            <w:pPr>
              <w:adjustRightInd w:val="0"/>
              <w:snapToGrid w:val="0"/>
              <w:jc w:val="center"/>
              <w:rPr>
                <w:color w:val="auto"/>
                <w:szCs w:val="21"/>
              </w:rPr>
            </w:pPr>
            <w:r>
              <w:rPr>
                <w:color w:val="auto"/>
                <w:szCs w:val="21"/>
              </w:rPr>
              <w:t>项目审批（核准/</w:t>
            </w:r>
          </w:p>
          <w:p w14:paraId="7520E5EA">
            <w:pPr>
              <w:adjustRightInd w:val="0"/>
              <w:snapToGrid w:val="0"/>
              <w:jc w:val="center"/>
              <w:rPr>
                <w:color w:val="auto"/>
                <w:szCs w:val="21"/>
              </w:rPr>
            </w:pPr>
            <w:r>
              <w:rPr>
                <w:color w:val="auto"/>
                <w:szCs w:val="21"/>
              </w:rPr>
              <w:t>备案）部门（选填）</w:t>
            </w:r>
          </w:p>
        </w:tc>
        <w:tc>
          <w:tcPr>
            <w:tcW w:w="2021" w:type="dxa"/>
            <w:vAlign w:val="center"/>
          </w:tcPr>
          <w:p w14:paraId="4A6A93DE">
            <w:pPr>
              <w:adjustRightInd w:val="0"/>
              <w:snapToGrid w:val="0"/>
              <w:jc w:val="center"/>
              <w:rPr>
                <w:color w:val="auto"/>
                <w:szCs w:val="21"/>
              </w:rPr>
            </w:pPr>
            <w:r>
              <w:rPr>
                <w:color w:val="auto"/>
                <w:szCs w:val="21"/>
              </w:rPr>
              <w:t>无</w:t>
            </w:r>
          </w:p>
        </w:tc>
        <w:tc>
          <w:tcPr>
            <w:tcW w:w="2212" w:type="dxa"/>
            <w:vAlign w:val="center"/>
          </w:tcPr>
          <w:p w14:paraId="7DBCACE1">
            <w:pPr>
              <w:adjustRightInd w:val="0"/>
              <w:snapToGrid w:val="0"/>
              <w:jc w:val="center"/>
              <w:rPr>
                <w:color w:val="auto"/>
                <w:szCs w:val="21"/>
              </w:rPr>
            </w:pPr>
            <w:r>
              <w:rPr>
                <w:color w:val="auto"/>
                <w:szCs w:val="21"/>
              </w:rPr>
              <w:t>项目审批（核准/</w:t>
            </w:r>
          </w:p>
          <w:p w14:paraId="2CF67EDA">
            <w:pPr>
              <w:adjustRightInd w:val="0"/>
              <w:snapToGrid w:val="0"/>
              <w:jc w:val="center"/>
              <w:rPr>
                <w:color w:val="auto"/>
                <w:szCs w:val="21"/>
              </w:rPr>
            </w:pPr>
            <w:r>
              <w:rPr>
                <w:color w:val="auto"/>
                <w:szCs w:val="21"/>
              </w:rPr>
              <w:t>备案）文号（选填）</w:t>
            </w:r>
          </w:p>
        </w:tc>
        <w:tc>
          <w:tcPr>
            <w:tcW w:w="2639" w:type="dxa"/>
            <w:vAlign w:val="center"/>
          </w:tcPr>
          <w:p w14:paraId="4592489F">
            <w:pPr>
              <w:adjustRightInd w:val="0"/>
              <w:snapToGrid w:val="0"/>
              <w:jc w:val="center"/>
              <w:rPr>
                <w:color w:val="auto"/>
                <w:szCs w:val="21"/>
              </w:rPr>
            </w:pPr>
            <w:r>
              <w:rPr>
                <w:color w:val="auto"/>
                <w:szCs w:val="21"/>
              </w:rPr>
              <w:t>无</w:t>
            </w:r>
          </w:p>
        </w:tc>
      </w:tr>
      <w:tr w14:paraId="700520E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998" w:type="dxa"/>
            <w:tcMar>
              <w:top w:w="16" w:type="dxa"/>
              <w:left w:w="16" w:type="dxa"/>
              <w:right w:w="16" w:type="dxa"/>
            </w:tcMar>
            <w:vAlign w:val="center"/>
          </w:tcPr>
          <w:p w14:paraId="4B5066C4">
            <w:pPr>
              <w:adjustRightInd w:val="0"/>
              <w:snapToGrid w:val="0"/>
              <w:jc w:val="center"/>
              <w:rPr>
                <w:color w:val="auto"/>
                <w:szCs w:val="21"/>
              </w:rPr>
            </w:pPr>
            <w:r>
              <w:rPr>
                <w:color w:val="auto"/>
                <w:szCs w:val="21"/>
              </w:rPr>
              <w:t>总投资（万元）</w:t>
            </w:r>
          </w:p>
        </w:tc>
        <w:tc>
          <w:tcPr>
            <w:tcW w:w="2021" w:type="dxa"/>
            <w:vAlign w:val="center"/>
          </w:tcPr>
          <w:p w14:paraId="72A03C2B">
            <w:pPr>
              <w:adjustRightInd w:val="0"/>
              <w:snapToGrid w:val="0"/>
              <w:jc w:val="center"/>
              <w:rPr>
                <w:color w:val="auto"/>
                <w:szCs w:val="21"/>
                <w:highlight w:val="none"/>
              </w:rPr>
            </w:pPr>
            <w:r>
              <w:rPr>
                <w:rFonts w:hint="eastAsia"/>
                <w:color w:val="auto"/>
                <w:szCs w:val="21"/>
                <w:highlight w:val="none"/>
                <w:lang w:val="en-US" w:eastAsia="zh-CN"/>
              </w:rPr>
              <w:t>2</w:t>
            </w:r>
            <w:r>
              <w:rPr>
                <w:color w:val="auto"/>
                <w:szCs w:val="21"/>
                <w:highlight w:val="none"/>
              </w:rPr>
              <w:t>00</w:t>
            </w:r>
          </w:p>
        </w:tc>
        <w:tc>
          <w:tcPr>
            <w:tcW w:w="2212" w:type="dxa"/>
            <w:tcMar>
              <w:top w:w="16" w:type="dxa"/>
              <w:left w:w="16" w:type="dxa"/>
              <w:right w:w="16" w:type="dxa"/>
            </w:tcMar>
            <w:vAlign w:val="center"/>
          </w:tcPr>
          <w:p w14:paraId="775BB847">
            <w:pPr>
              <w:adjustRightInd w:val="0"/>
              <w:snapToGrid w:val="0"/>
              <w:jc w:val="center"/>
              <w:rPr>
                <w:color w:val="auto"/>
                <w:szCs w:val="21"/>
                <w:highlight w:val="none"/>
              </w:rPr>
            </w:pPr>
            <w:r>
              <w:rPr>
                <w:color w:val="auto"/>
                <w:szCs w:val="21"/>
                <w:highlight w:val="none"/>
              </w:rPr>
              <w:t>环保投资（万元）</w:t>
            </w:r>
          </w:p>
        </w:tc>
        <w:tc>
          <w:tcPr>
            <w:tcW w:w="2639" w:type="dxa"/>
            <w:vAlign w:val="center"/>
          </w:tcPr>
          <w:p w14:paraId="674648F5">
            <w:pPr>
              <w:adjustRightInd w:val="0"/>
              <w:snapToGrid w:val="0"/>
              <w:jc w:val="center"/>
              <w:rPr>
                <w:rFonts w:hint="default" w:eastAsia="宋体"/>
                <w:color w:val="auto"/>
                <w:szCs w:val="21"/>
                <w:highlight w:val="none"/>
                <w:lang w:val="en-US" w:eastAsia="zh-CN"/>
              </w:rPr>
            </w:pPr>
            <w:r>
              <w:rPr>
                <w:color w:val="auto"/>
                <w:szCs w:val="21"/>
                <w:highlight w:val="none"/>
              </w:rPr>
              <w:t>29.5</w:t>
            </w:r>
          </w:p>
        </w:tc>
      </w:tr>
      <w:tr w14:paraId="1106312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998" w:type="dxa"/>
            <w:tcMar>
              <w:top w:w="16" w:type="dxa"/>
              <w:left w:w="16" w:type="dxa"/>
              <w:right w:w="16" w:type="dxa"/>
            </w:tcMar>
            <w:vAlign w:val="center"/>
          </w:tcPr>
          <w:p w14:paraId="6E00013B">
            <w:pPr>
              <w:adjustRightInd w:val="0"/>
              <w:snapToGrid w:val="0"/>
              <w:jc w:val="center"/>
              <w:rPr>
                <w:color w:val="auto"/>
                <w:szCs w:val="21"/>
              </w:rPr>
            </w:pPr>
            <w:r>
              <w:rPr>
                <w:color w:val="auto"/>
                <w:szCs w:val="21"/>
              </w:rPr>
              <w:t>环保投资占比（%）</w:t>
            </w:r>
          </w:p>
        </w:tc>
        <w:tc>
          <w:tcPr>
            <w:tcW w:w="2021" w:type="dxa"/>
            <w:vAlign w:val="center"/>
          </w:tcPr>
          <w:p w14:paraId="1ABCAE93">
            <w:pPr>
              <w:adjustRightInd w:val="0"/>
              <w:snapToGrid w:val="0"/>
              <w:jc w:val="center"/>
              <w:rPr>
                <w:color w:val="auto"/>
                <w:szCs w:val="21"/>
                <w:highlight w:val="none"/>
              </w:rPr>
            </w:pPr>
            <w:r>
              <w:rPr>
                <w:rFonts w:hint="eastAsia"/>
                <w:color w:val="auto"/>
                <w:szCs w:val="21"/>
                <w:highlight w:val="none"/>
                <w:lang w:val="en-US" w:eastAsia="zh-CN"/>
              </w:rPr>
              <w:t>14.8</w:t>
            </w:r>
          </w:p>
        </w:tc>
        <w:tc>
          <w:tcPr>
            <w:tcW w:w="2212" w:type="dxa"/>
            <w:tcMar>
              <w:top w:w="16" w:type="dxa"/>
              <w:left w:w="16" w:type="dxa"/>
              <w:right w:w="16" w:type="dxa"/>
            </w:tcMar>
            <w:vAlign w:val="center"/>
          </w:tcPr>
          <w:p w14:paraId="7DC228B2">
            <w:pPr>
              <w:adjustRightInd w:val="0"/>
              <w:snapToGrid w:val="0"/>
              <w:jc w:val="center"/>
              <w:rPr>
                <w:color w:val="auto"/>
                <w:szCs w:val="21"/>
                <w:highlight w:val="none"/>
              </w:rPr>
            </w:pPr>
            <w:r>
              <w:rPr>
                <w:color w:val="auto"/>
                <w:szCs w:val="21"/>
                <w:highlight w:val="none"/>
              </w:rPr>
              <w:t>施工工期</w:t>
            </w:r>
          </w:p>
        </w:tc>
        <w:tc>
          <w:tcPr>
            <w:tcW w:w="2639" w:type="dxa"/>
            <w:vAlign w:val="center"/>
          </w:tcPr>
          <w:p w14:paraId="6ACD9950">
            <w:pPr>
              <w:adjustRightInd w:val="0"/>
              <w:snapToGrid w:val="0"/>
              <w:jc w:val="center"/>
              <w:rPr>
                <w:color w:val="auto"/>
                <w:szCs w:val="21"/>
                <w:highlight w:val="none"/>
              </w:rPr>
            </w:pPr>
            <w:r>
              <w:rPr>
                <w:color w:val="auto"/>
                <w:szCs w:val="21"/>
                <w:highlight w:val="none"/>
              </w:rPr>
              <w:t>202</w:t>
            </w:r>
            <w:r>
              <w:rPr>
                <w:rFonts w:hint="eastAsia"/>
                <w:color w:val="auto"/>
                <w:szCs w:val="21"/>
                <w:highlight w:val="none"/>
                <w:lang w:val="en-US" w:eastAsia="zh-CN"/>
              </w:rPr>
              <w:t>5</w:t>
            </w:r>
            <w:r>
              <w:rPr>
                <w:rFonts w:hint="eastAsia"/>
                <w:color w:val="auto"/>
                <w:szCs w:val="21"/>
                <w:highlight w:val="none"/>
              </w:rPr>
              <w:t>年</w:t>
            </w:r>
            <w:r>
              <w:rPr>
                <w:rFonts w:hint="eastAsia"/>
                <w:color w:val="auto"/>
                <w:szCs w:val="21"/>
                <w:highlight w:val="none"/>
                <w:lang w:val="en-US" w:eastAsia="zh-CN"/>
              </w:rPr>
              <w:t>5</w:t>
            </w:r>
            <w:r>
              <w:rPr>
                <w:rFonts w:hint="eastAsia"/>
                <w:color w:val="auto"/>
                <w:szCs w:val="21"/>
                <w:highlight w:val="none"/>
              </w:rPr>
              <w:t>月—2</w:t>
            </w:r>
            <w:r>
              <w:rPr>
                <w:color w:val="auto"/>
                <w:szCs w:val="21"/>
                <w:highlight w:val="none"/>
              </w:rPr>
              <w:t>02</w:t>
            </w:r>
            <w:r>
              <w:rPr>
                <w:rFonts w:hint="eastAsia"/>
                <w:color w:val="auto"/>
                <w:szCs w:val="21"/>
                <w:highlight w:val="none"/>
                <w:lang w:val="en-US" w:eastAsia="zh-CN"/>
              </w:rPr>
              <w:t>5</w:t>
            </w:r>
            <w:r>
              <w:rPr>
                <w:rFonts w:hint="eastAsia"/>
                <w:color w:val="auto"/>
                <w:szCs w:val="21"/>
                <w:highlight w:val="none"/>
              </w:rPr>
              <w:t>年</w:t>
            </w:r>
            <w:r>
              <w:rPr>
                <w:rFonts w:hint="eastAsia"/>
                <w:color w:val="auto"/>
                <w:szCs w:val="21"/>
                <w:highlight w:val="none"/>
                <w:lang w:val="en-US" w:eastAsia="zh-CN"/>
              </w:rPr>
              <w:t>7</w:t>
            </w:r>
            <w:r>
              <w:rPr>
                <w:color w:val="auto"/>
                <w:szCs w:val="21"/>
                <w:highlight w:val="none"/>
              </w:rPr>
              <w:t>月</w:t>
            </w:r>
            <w:r>
              <w:rPr>
                <w:rFonts w:hint="eastAsia"/>
                <w:color w:val="auto"/>
                <w:szCs w:val="21"/>
                <w:highlight w:val="none"/>
                <w:lang w:eastAsia="zh-CN"/>
              </w:rPr>
              <w:t>，</w:t>
            </w:r>
            <w:r>
              <w:rPr>
                <w:rFonts w:hint="eastAsia"/>
                <w:color w:val="auto"/>
                <w:szCs w:val="21"/>
                <w:highlight w:val="none"/>
                <w:lang w:val="en-US" w:eastAsia="zh-CN"/>
              </w:rPr>
              <w:t>3</w:t>
            </w:r>
            <w:r>
              <w:rPr>
                <w:rFonts w:hint="eastAsia"/>
                <w:color w:val="auto"/>
                <w:szCs w:val="21"/>
                <w:highlight w:val="none"/>
              </w:rPr>
              <w:t>个月</w:t>
            </w:r>
          </w:p>
        </w:tc>
      </w:tr>
      <w:tr w14:paraId="267095DD">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0" w:type="dxa"/>
            <w:bottom w:w="0" w:type="dxa"/>
            <w:right w:w="0" w:type="dxa"/>
          </w:tblCellMar>
        </w:tblPrEx>
        <w:trPr>
          <w:trHeight w:val="624" w:hRule="atLeast"/>
          <w:jc w:val="center"/>
        </w:trPr>
        <w:tc>
          <w:tcPr>
            <w:tcW w:w="1998" w:type="dxa"/>
            <w:tcMar>
              <w:top w:w="16" w:type="dxa"/>
              <w:left w:w="16" w:type="dxa"/>
              <w:right w:w="16" w:type="dxa"/>
            </w:tcMar>
            <w:vAlign w:val="center"/>
          </w:tcPr>
          <w:p w14:paraId="49ABE3FF">
            <w:pPr>
              <w:adjustRightInd w:val="0"/>
              <w:snapToGrid w:val="0"/>
              <w:jc w:val="center"/>
              <w:rPr>
                <w:color w:val="auto"/>
                <w:szCs w:val="21"/>
              </w:rPr>
            </w:pPr>
            <w:r>
              <w:rPr>
                <w:color w:val="auto"/>
                <w:szCs w:val="21"/>
              </w:rPr>
              <w:t>是否开工建设</w:t>
            </w:r>
          </w:p>
        </w:tc>
        <w:tc>
          <w:tcPr>
            <w:tcW w:w="2021" w:type="dxa"/>
            <w:vAlign w:val="center"/>
          </w:tcPr>
          <w:p w14:paraId="25423F89">
            <w:pPr>
              <w:adjustRightInd w:val="0"/>
              <w:snapToGrid w:val="0"/>
              <w:rPr>
                <w:color w:val="auto"/>
                <w:szCs w:val="21"/>
              </w:rPr>
            </w:pPr>
            <w:r>
              <w:rPr>
                <w:color w:val="auto"/>
                <w:szCs w:val="21"/>
              </w:rPr>
              <w:sym w:font="Wingdings" w:char="F0FE"/>
            </w:r>
            <w:r>
              <w:rPr>
                <w:color w:val="auto"/>
                <w:szCs w:val="21"/>
              </w:rPr>
              <w:t>否</w:t>
            </w:r>
          </w:p>
          <w:p w14:paraId="7065D425">
            <w:pPr>
              <w:adjustRightInd w:val="0"/>
              <w:snapToGrid w:val="0"/>
              <w:rPr>
                <w:color w:val="auto"/>
                <w:szCs w:val="21"/>
              </w:rPr>
            </w:pPr>
            <w:r>
              <w:rPr>
                <w:color w:val="auto"/>
                <w:szCs w:val="21"/>
              </w:rPr>
              <w:sym w:font="Wingdings 2" w:char="00A3"/>
            </w:r>
            <w:r>
              <w:rPr>
                <w:color w:val="auto"/>
                <w:szCs w:val="21"/>
              </w:rPr>
              <w:t>是：</w:t>
            </w:r>
            <w:r>
              <w:rPr>
                <w:color w:val="auto"/>
                <w:szCs w:val="21"/>
                <w:u w:val="single"/>
              </w:rPr>
              <w:t xml:space="preserve">             </w:t>
            </w:r>
          </w:p>
        </w:tc>
        <w:tc>
          <w:tcPr>
            <w:tcW w:w="2212" w:type="dxa"/>
            <w:tcMar>
              <w:top w:w="16" w:type="dxa"/>
              <w:left w:w="16" w:type="dxa"/>
              <w:right w:w="16" w:type="dxa"/>
            </w:tcMar>
            <w:vAlign w:val="center"/>
          </w:tcPr>
          <w:p w14:paraId="22055E35">
            <w:pPr>
              <w:adjustRightInd w:val="0"/>
              <w:snapToGrid w:val="0"/>
              <w:jc w:val="center"/>
              <w:rPr>
                <w:color w:val="auto"/>
                <w:szCs w:val="21"/>
              </w:rPr>
            </w:pPr>
            <w:r>
              <w:rPr>
                <w:color w:val="auto"/>
                <w:spacing w:val="-6"/>
                <w:szCs w:val="21"/>
              </w:rPr>
              <w:t>用地面积（m</w:t>
            </w:r>
            <w:r>
              <w:rPr>
                <w:color w:val="auto"/>
                <w:spacing w:val="-6"/>
                <w:szCs w:val="21"/>
                <w:vertAlign w:val="superscript"/>
              </w:rPr>
              <w:t>2</w:t>
            </w:r>
            <w:r>
              <w:rPr>
                <w:color w:val="auto"/>
                <w:spacing w:val="-6"/>
                <w:szCs w:val="21"/>
              </w:rPr>
              <w:t>）</w:t>
            </w:r>
          </w:p>
        </w:tc>
        <w:tc>
          <w:tcPr>
            <w:tcW w:w="2639" w:type="dxa"/>
            <w:vAlign w:val="center"/>
          </w:tcPr>
          <w:p w14:paraId="70DE3453">
            <w:pPr>
              <w:adjustRightInd w:val="0"/>
              <w:snapToGrid w:val="0"/>
              <w:jc w:val="center"/>
              <w:rPr>
                <w:rFonts w:hint="default" w:eastAsia="宋体"/>
                <w:color w:val="auto"/>
                <w:szCs w:val="21"/>
                <w:lang w:val="en-US" w:eastAsia="zh-CN"/>
              </w:rPr>
            </w:pPr>
            <w:r>
              <w:rPr>
                <w:rFonts w:hint="eastAsia"/>
                <w:color w:val="auto"/>
                <w:szCs w:val="21"/>
                <w:lang w:val="en-US" w:eastAsia="zh-CN"/>
              </w:rPr>
              <w:t>1000</w:t>
            </w:r>
          </w:p>
        </w:tc>
      </w:tr>
      <w:tr w14:paraId="521C08B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998" w:type="dxa"/>
            <w:vAlign w:val="center"/>
          </w:tcPr>
          <w:p w14:paraId="2C4A1400">
            <w:pPr>
              <w:autoSpaceDE w:val="0"/>
              <w:autoSpaceDN w:val="0"/>
              <w:adjustRightInd w:val="0"/>
              <w:snapToGrid w:val="0"/>
              <w:jc w:val="center"/>
              <w:rPr>
                <w:color w:val="auto"/>
                <w:kern w:val="0"/>
                <w:szCs w:val="21"/>
              </w:rPr>
            </w:pPr>
            <w:r>
              <w:rPr>
                <w:color w:val="auto"/>
                <w:kern w:val="0"/>
                <w:szCs w:val="21"/>
              </w:rPr>
              <w:t>专项评价设置情况</w:t>
            </w:r>
          </w:p>
        </w:tc>
        <w:tc>
          <w:tcPr>
            <w:tcW w:w="6872" w:type="dxa"/>
            <w:gridSpan w:val="3"/>
            <w:vAlign w:val="center"/>
          </w:tcPr>
          <w:p w14:paraId="03FB95E4">
            <w:pPr>
              <w:autoSpaceDE w:val="0"/>
              <w:autoSpaceDN w:val="0"/>
              <w:adjustRightInd w:val="0"/>
              <w:snapToGrid w:val="0"/>
              <w:jc w:val="center"/>
              <w:rPr>
                <w:color w:val="auto"/>
                <w:kern w:val="0"/>
                <w:szCs w:val="21"/>
                <w:highlight w:val="none"/>
              </w:rPr>
            </w:pPr>
            <w:r>
              <w:rPr>
                <w:rFonts w:hint="eastAsia"/>
                <w:color w:val="auto"/>
                <w:kern w:val="0"/>
                <w:szCs w:val="21"/>
                <w:highlight w:val="none"/>
              </w:rPr>
              <w:t>本项目风险物质存储量大于临界量</w:t>
            </w:r>
            <w:r>
              <w:rPr>
                <w:rFonts w:hint="eastAsia"/>
                <w:color w:val="auto"/>
                <w:kern w:val="0"/>
                <w:szCs w:val="21"/>
                <w:highlight w:val="none"/>
                <w:lang w:eastAsia="zh-CN"/>
              </w:rPr>
              <w:t>，</w:t>
            </w:r>
            <w:r>
              <w:rPr>
                <w:rFonts w:hint="eastAsia"/>
                <w:color w:val="auto"/>
                <w:kern w:val="0"/>
                <w:szCs w:val="21"/>
                <w:highlight w:val="none"/>
              </w:rPr>
              <w:t>开展环境风险专项评价</w:t>
            </w:r>
          </w:p>
        </w:tc>
      </w:tr>
      <w:tr w14:paraId="58AB6A7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998" w:type="dxa"/>
            <w:vAlign w:val="center"/>
          </w:tcPr>
          <w:p w14:paraId="4F781240">
            <w:pPr>
              <w:autoSpaceDE w:val="0"/>
              <w:autoSpaceDN w:val="0"/>
              <w:adjustRightInd w:val="0"/>
              <w:snapToGrid w:val="0"/>
              <w:jc w:val="center"/>
              <w:rPr>
                <w:color w:val="auto"/>
                <w:kern w:val="0"/>
                <w:szCs w:val="21"/>
              </w:rPr>
            </w:pPr>
            <w:r>
              <w:rPr>
                <w:color w:val="auto"/>
                <w:szCs w:val="21"/>
              </w:rPr>
              <w:t>规划情况</w:t>
            </w:r>
          </w:p>
        </w:tc>
        <w:tc>
          <w:tcPr>
            <w:tcW w:w="6872" w:type="dxa"/>
            <w:gridSpan w:val="3"/>
            <w:vAlign w:val="center"/>
          </w:tcPr>
          <w:p w14:paraId="50EA1E8A">
            <w:pPr>
              <w:autoSpaceDE w:val="0"/>
              <w:autoSpaceDN w:val="0"/>
              <w:adjustRightInd w:val="0"/>
              <w:snapToGrid w:val="0"/>
              <w:jc w:val="center"/>
              <w:rPr>
                <w:color w:val="auto"/>
                <w:kern w:val="0"/>
                <w:szCs w:val="21"/>
              </w:rPr>
            </w:pPr>
            <w:r>
              <w:rPr>
                <w:color w:val="auto"/>
                <w:kern w:val="0"/>
                <w:szCs w:val="21"/>
              </w:rPr>
              <w:t>无</w:t>
            </w:r>
          </w:p>
        </w:tc>
      </w:tr>
      <w:tr w14:paraId="566C126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998" w:type="dxa"/>
            <w:vAlign w:val="center"/>
          </w:tcPr>
          <w:p w14:paraId="1D61D9FB">
            <w:pPr>
              <w:adjustRightInd w:val="0"/>
              <w:snapToGrid w:val="0"/>
              <w:jc w:val="center"/>
              <w:rPr>
                <w:color w:val="auto"/>
                <w:szCs w:val="21"/>
              </w:rPr>
            </w:pPr>
            <w:r>
              <w:rPr>
                <w:color w:val="auto"/>
                <w:szCs w:val="21"/>
              </w:rPr>
              <w:t>规划环境影响</w:t>
            </w:r>
          </w:p>
          <w:p w14:paraId="2BFB2E72">
            <w:pPr>
              <w:adjustRightInd w:val="0"/>
              <w:snapToGrid w:val="0"/>
              <w:jc w:val="center"/>
              <w:rPr>
                <w:color w:val="auto"/>
                <w:kern w:val="0"/>
                <w:szCs w:val="21"/>
              </w:rPr>
            </w:pPr>
            <w:r>
              <w:rPr>
                <w:color w:val="auto"/>
                <w:szCs w:val="21"/>
              </w:rPr>
              <w:t>评价情况</w:t>
            </w:r>
          </w:p>
        </w:tc>
        <w:tc>
          <w:tcPr>
            <w:tcW w:w="6872" w:type="dxa"/>
            <w:gridSpan w:val="3"/>
            <w:vAlign w:val="center"/>
          </w:tcPr>
          <w:p w14:paraId="2CCE8FD4">
            <w:pPr>
              <w:autoSpaceDE w:val="0"/>
              <w:autoSpaceDN w:val="0"/>
              <w:adjustRightInd w:val="0"/>
              <w:snapToGrid w:val="0"/>
              <w:jc w:val="center"/>
              <w:rPr>
                <w:color w:val="auto"/>
                <w:kern w:val="0"/>
                <w:szCs w:val="21"/>
              </w:rPr>
            </w:pPr>
            <w:r>
              <w:rPr>
                <w:color w:val="auto"/>
                <w:kern w:val="0"/>
                <w:szCs w:val="21"/>
              </w:rPr>
              <w:t>无</w:t>
            </w:r>
          </w:p>
        </w:tc>
      </w:tr>
      <w:tr w14:paraId="369B26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624" w:hRule="atLeast"/>
          <w:jc w:val="center"/>
        </w:trPr>
        <w:tc>
          <w:tcPr>
            <w:tcW w:w="1998" w:type="dxa"/>
            <w:vAlign w:val="center"/>
          </w:tcPr>
          <w:p w14:paraId="3218FC22">
            <w:pPr>
              <w:autoSpaceDE w:val="0"/>
              <w:autoSpaceDN w:val="0"/>
              <w:adjustRightInd w:val="0"/>
              <w:snapToGrid w:val="0"/>
              <w:jc w:val="center"/>
              <w:rPr>
                <w:color w:val="auto"/>
                <w:kern w:val="0"/>
                <w:szCs w:val="21"/>
              </w:rPr>
            </w:pPr>
            <w:r>
              <w:rPr>
                <w:color w:val="auto"/>
                <w:kern w:val="0"/>
                <w:szCs w:val="21"/>
              </w:rPr>
              <w:t>规划及规划环境</w:t>
            </w:r>
          </w:p>
          <w:p w14:paraId="73F90965">
            <w:pPr>
              <w:autoSpaceDE w:val="0"/>
              <w:autoSpaceDN w:val="0"/>
              <w:adjustRightInd w:val="0"/>
              <w:snapToGrid w:val="0"/>
              <w:jc w:val="center"/>
              <w:rPr>
                <w:color w:val="auto"/>
                <w:kern w:val="0"/>
                <w:szCs w:val="21"/>
              </w:rPr>
            </w:pPr>
            <w:r>
              <w:rPr>
                <w:color w:val="auto"/>
                <w:kern w:val="0"/>
                <w:szCs w:val="21"/>
              </w:rPr>
              <w:t>影响评价符合性分析</w:t>
            </w:r>
          </w:p>
        </w:tc>
        <w:tc>
          <w:tcPr>
            <w:tcW w:w="6872" w:type="dxa"/>
            <w:gridSpan w:val="3"/>
            <w:vAlign w:val="center"/>
          </w:tcPr>
          <w:p w14:paraId="279ECC62">
            <w:pPr>
              <w:pStyle w:val="101"/>
              <w:rPr>
                <w:color w:val="auto"/>
              </w:rPr>
            </w:pPr>
            <w:r>
              <w:rPr>
                <w:color w:val="auto"/>
              </w:rPr>
              <w:t>无</w:t>
            </w:r>
          </w:p>
        </w:tc>
      </w:tr>
    </w:tbl>
    <w:p w14:paraId="342E783F">
      <w:pPr>
        <w:rPr>
          <w:color w:val="auto"/>
        </w:rPr>
      </w:pPr>
    </w:p>
    <w:tbl>
      <w:tblPr>
        <w:tblStyle w:val="4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3"/>
        <w:gridCol w:w="8637"/>
      </w:tblGrid>
      <w:tr w14:paraId="0092B2B9">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722" w:type="dxa"/>
            <w:vAlign w:val="center"/>
          </w:tcPr>
          <w:p w14:paraId="08DDAB51">
            <w:pPr>
              <w:autoSpaceDE w:val="0"/>
              <w:autoSpaceDN w:val="0"/>
              <w:adjustRightInd w:val="0"/>
              <w:snapToGrid w:val="0"/>
              <w:jc w:val="center"/>
              <w:rPr>
                <w:color w:val="auto"/>
                <w:kern w:val="0"/>
                <w:szCs w:val="21"/>
              </w:rPr>
            </w:pPr>
            <w:r>
              <w:rPr>
                <w:color w:val="auto"/>
                <w:kern w:val="0"/>
                <w:szCs w:val="21"/>
              </w:rPr>
              <w:t>其他符合性分析</w:t>
            </w:r>
          </w:p>
        </w:tc>
        <w:tc>
          <w:tcPr>
            <w:tcW w:w="8148" w:type="dxa"/>
          </w:tcPr>
          <w:p w14:paraId="09589FB3">
            <w:pPr>
              <w:pStyle w:val="102"/>
              <w:ind w:firstLine="480"/>
              <w:rPr>
                <w:b/>
                <w:bCs/>
                <w:color w:val="auto"/>
              </w:rPr>
            </w:pPr>
            <w:r>
              <w:rPr>
                <w:b/>
                <w:bCs/>
                <w:color w:val="auto"/>
              </w:rPr>
              <w:t>1、“三线一单”符合性分析</w:t>
            </w:r>
          </w:p>
          <w:p w14:paraId="6744F55A">
            <w:pPr>
              <w:pStyle w:val="102"/>
              <w:ind w:firstLine="480"/>
              <w:rPr>
                <w:rFonts w:hint="default" w:ascii="宋体" w:hAnsi="宋体" w:eastAsia="宋体" w:cs="宋体"/>
                <w:color w:val="auto"/>
                <w:sz w:val="24"/>
                <w:highlight w:val="none"/>
                <w:lang w:val="en-US" w:eastAsia="zh-CN" w:bidi="ar-SA"/>
              </w:rPr>
            </w:pPr>
            <w:r>
              <w:rPr>
                <w:rFonts w:hint="eastAsia"/>
                <w:color w:val="auto"/>
                <w:lang w:bidi="ar"/>
              </w:rPr>
              <w:t>根据《鹤岗市人民政府关于实施“三线一单”生态环境分区管控的意见》（鹤政发〔2021〕6号）及《鹤岗市生态环境准入清单（202</w:t>
            </w:r>
            <w:r>
              <w:rPr>
                <w:rFonts w:hint="eastAsia"/>
                <w:color w:val="auto"/>
                <w:lang w:val="en-US" w:eastAsia="zh-CN" w:bidi="ar"/>
              </w:rPr>
              <w:t>3</w:t>
            </w:r>
            <w:r>
              <w:rPr>
                <w:rFonts w:hint="eastAsia"/>
                <w:color w:val="auto"/>
                <w:lang w:bidi="ar"/>
              </w:rPr>
              <w:t>年版）》规定</w:t>
            </w:r>
            <w:r>
              <w:rPr>
                <w:rFonts w:hint="eastAsia"/>
                <w:color w:val="auto"/>
                <w:lang w:eastAsia="zh-CN" w:bidi="ar"/>
              </w:rPr>
              <w:t>，</w:t>
            </w:r>
            <w:r>
              <w:rPr>
                <w:rFonts w:hint="eastAsia"/>
                <w:color w:val="auto"/>
                <w:lang w:bidi="ar"/>
              </w:rPr>
              <w:t>环境管控单元包括优先保护单元、重点管控单元和一般管控单元三类。本项目位于</w:t>
            </w:r>
            <w:r>
              <w:rPr>
                <w:rFonts w:hint="eastAsia"/>
                <w:color w:val="auto"/>
                <w:szCs w:val="21"/>
                <w:lang w:eastAsia="zh-CN"/>
              </w:rPr>
              <w:t>黑龙江省鹤岗市南山区五委十三组南山煤矿院内</w:t>
            </w:r>
            <w:r>
              <w:rPr>
                <w:color w:val="auto"/>
                <w:sz w:val="24"/>
                <w:highlight w:val="none"/>
              </w:rPr>
              <mc:AlternateContent>
                <mc:Choice Requires="wps">
                  <w:drawing>
                    <wp:anchor distT="0" distB="0" distL="114300" distR="114300" simplePos="0" relativeHeight="251662336" behindDoc="0" locked="0" layoutInCell="1" allowOverlap="1">
                      <wp:simplePos x="0" y="0"/>
                      <wp:positionH relativeFrom="column">
                        <wp:posOffset>558165</wp:posOffset>
                      </wp:positionH>
                      <wp:positionV relativeFrom="paragraph">
                        <wp:posOffset>2432050</wp:posOffset>
                      </wp:positionV>
                      <wp:extent cx="623570" cy="460375"/>
                      <wp:effectExtent l="0" t="0" r="0" b="0"/>
                      <wp:wrapNone/>
                      <wp:docPr id="146" name="直接连接符 146"/>
                      <wp:cNvGraphicFramePr/>
                      <a:graphic xmlns:a="http://schemas.openxmlformats.org/drawingml/2006/main">
                        <a:graphicData uri="http://schemas.microsoft.com/office/word/2010/wordprocessingShape">
                          <wps:wsp>
                            <wps:cNvCnPr/>
                            <wps:spPr>
                              <a:xfrm>
                                <a:off x="0" y="0"/>
                                <a:ext cx="623570" cy="460375"/>
                              </a:xfrm>
                              <a:prstGeom prst="line">
                                <a:avLst/>
                              </a:prstGeom>
                              <a:ln>
                                <a:noFill/>
                              </a:ln>
                            </wps:spPr>
                            <wps:bodyPr upright="1"/>
                          </wps:wsp>
                        </a:graphicData>
                      </a:graphic>
                    </wp:anchor>
                  </w:drawing>
                </mc:Choice>
                <mc:Fallback>
                  <w:pict>
                    <v:line id="_x0000_s1026" o:spid="_x0000_s1026" o:spt="20" style="position:absolute;left:0pt;margin-left:43.95pt;margin-top:191.5pt;height:36.25pt;width:49.1pt;z-index:251662336;mso-width-relative:page;mso-height-relative:page;" filled="f" stroked="f" coordsize="21600,21600" o:gfxdata="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">
                      <v:fill on="f" focussize="0,0"/>
                      <v:stroke on="f"/>
                      <v:imagedata o:title=""/>
                      <o:lock v:ext="edit" aspectratio="f"/>
                    </v:line>
                  </w:pict>
                </mc:Fallback>
              </mc:AlternateContent>
            </w:r>
            <w:r>
              <w:rPr>
                <w:rFonts w:hint="eastAsia"/>
                <w:color w:val="auto"/>
                <w:lang w:eastAsia="zh-CN" w:bidi="ar"/>
              </w:rPr>
              <w:t>，</w:t>
            </w:r>
            <w:r>
              <w:rPr>
                <w:rFonts w:hint="default" w:ascii="宋体" w:hAnsi="宋体" w:eastAsia="宋体" w:cs="宋体"/>
                <w:color w:val="auto"/>
                <w:sz w:val="24"/>
                <w:highlight w:val="none"/>
                <w:lang w:val="en-US" w:eastAsia="zh-CN" w:bidi="ar-SA"/>
              </w:rPr>
              <w:t>根据《</w:t>
            </w:r>
            <w:r>
              <w:rPr>
                <w:rFonts w:hint="eastAsia" w:ascii="宋体" w:hAnsi="宋体" w:cs="宋体"/>
                <w:color w:val="auto"/>
                <w:sz w:val="24"/>
                <w:highlight w:val="none"/>
                <w:lang w:val="en-US" w:eastAsia="zh-CN" w:bidi="ar-SA"/>
              </w:rPr>
              <w:t>长安工贸公司岩煤体加固材料生产项目</w:t>
            </w:r>
            <w:r>
              <w:rPr>
                <w:rFonts w:hint="default" w:ascii="宋体" w:hAnsi="宋体" w:eastAsia="宋体" w:cs="宋体"/>
                <w:color w:val="auto"/>
                <w:sz w:val="24"/>
                <w:highlight w:val="none"/>
                <w:lang w:val="en-US" w:eastAsia="zh-CN" w:bidi="ar-SA"/>
              </w:rPr>
              <w:t>生态环境分区管控分析报告》</w:t>
            </w:r>
            <w:r>
              <w:rPr>
                <w:rFonts w:hint="eastAsia" w:ascii="宋体" w:hAnsi="宋体" w:cs="宋体"/>
                <w:color w:val="auto"/>
                <w:sz w:val="24"/>
                <w:highlight w:val="none"/>
                <w:lang w:val="en-US" w:eastAsia="zh-CN" w:bidi="ar-SA"/>
              </w:rPr>
              <w:t>，</w:t>
            </w:r>
            <w:r>
              <w:rPr>
                <w:rFonts w:hint="default" w:ascii="宋体" w:hAnsi="宋体" w:eastAsia="宋体" w:cs="宋体"/>
                <w:color w:val="auto"/>
                <w:sz w:val="24"/>
                <w:highlight w:val="none"/>
                <w:lang w:val="en-US" w:eastAsia="zh-CN" w:bidi="ar-SA"/>
              </w:rPr>
              <w:t>本次评价开展了生态环境分区管控分析。本项目</w:t>
            </w:r>
            <w:r>
              <w:rPr>
                <w:rFonts w:hint="eastAsia" w:ascii="宋体" w:hAnsi="宋体" w:cs="宋体"/>
                <w:color w:val="auto"/>
                <w:sz w:val="24"/>
                <w:highlight w:val="none"/>
                <w:lang w:val="en-US" w:eastAsia="zh-CN" w:bidi="ar-SA"/>
              </w:rPr>
              <w:t>用地范围</w:t>
            </w:r>
            <w:r>
              <w:rPr>
                <w:rFonts w:hint="default" w:ascii="宋体" w:hAnsi="宋体" w:eastAsia="宋体" w:cs="宋体"/>
                <w:color w:val="auto"/>
                <w:sz w:val="24"/>
                <w:highlight w:val="none"/>
                <w:lang w:val="en-US" w:eastAsia="zh-CN" w:bidi="ar-SA"/>
              </w:rPr>
              <w:t>与环境管控单元叠加图</w:t>
            </w:r>
            <w:r>
              <w:rPr>
                <w:rFonts w:hint="default" w:ascii="Times New Roman" w:hAnsi="Times New Roman" w:eastAsia="宋体" w:cs="Times New Roman"/>
                <w:color w:val="auto"/>
                <w:sz w:val="24"/>
                <w:highlight w:val="none"/>
                <w:lang w:val="en-US" w:eastAsia="zh-CN" w:bidi="ar-SA"/>
              </w:rPr>
              <w:t>见图1-1。</w:t>
            </w:r>
          </w:p>
          <w:p w14:paraId="73F16E03">
            <w:pPr>
              <w:keepNext w:val="0"/>
              <w:keepLines w:val="0"/>
              <w:widowControl/>
              <w:suppressLineNumbers w:val="0"/>
              <w:ind w:left="0" w:leftChars="0" w:firstLine="0" w:firstLineChars="0"/>
              <w:jc w:val="center"/>
              <w:rPr>
                <w:rFonts w:hint="default" w:ascii="宋体" w:hAnsi="宋体" w:eastAsia="宋体" w:cs="宋体"/>
                <w:color w:val="auto"/>
                <w:sz w:val="24"/>
                <w:highlight w:val="none"/>
                <w:lang w:val="en-US" w:eastAsia="zh-CN" w:bidi="ar-SA"/>
              </w:rPr>
            </w:pPr>
            <w:r>
              <w:rPr>
                <w:color w:val="auto"/>
              </w:rPr>
              <w:drawing>
                <wp:inline distT="0" distB="0" distL="114300" distR="114300">
                  <wp:extent cx="5420360" cy="2900680"/>
                  <wp:effectExtent l="0" t="0" r="8890" b="13970"/>
                  <wp:docPr id="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4"/>
                          <pic:cNvPicPr>
                            <a:picLocks noChangeAspect="1"/>
                          </pic:cNvPicPr>
                        </pic:nvPicPr>
                        <pic:blipFill>
                          <a:blip r:embed="rId10"/>
                          <a:stretch>
                            <a:fillRect/>
                          </a:stretch>
                        </pic:blipFill>
                        <pic:spPr>
                          <a:xfrm>
                            <a:off x="0" y="0"/>
                            <a:ext cx="5420360" cy="2900680"/>
                          </a:xfrm>
                          <a:prstGeom prst="rect">
                            <a:avLst/>
                          </a:prstGeom>
                          <a:noFill/>
                          <a:ln>
                            <a:noFill/>
                          </a:ln>
                        </pic:spPr>
                      </pic:pic>
                    </a:graphicData>
                  </a:graphic>
                </wp:inline>
              </w:drawing>
            </w:r>
          </w:p>
          <w:p w14:paraId="231EFB3E">
            <w:pPr>
              <w:keepNext w:val="0"/>
              <w:keepLines w:val="0"/>
              <w:widowControl/>
              <w:suppressLineNumbers w:val="0"/>
              <w:ind w:left="0" w:leftChars="0" w:firstLine="0" w:firstLineChars="0"/>
              <w:jc w:val="center"/>
              <w:rPr>
                <w:rFonts w:hint="default" w:ascii="Times New Roman" w:hAnsi="Times New Roman" w:eastAsia="宋体" w:cs="Times New Roman"/>
                <w:b/>
                <w:bCs/>
                <w:color w:val="auto"/>
                <w:kern w:val="0"/>
                <w:sz w:val="24"/>
                <w:szCs w:val="24"/>
                <w:highlight w:val="none"/>
                <w:lang w:val="en-US" w:eastAsia="zh-CN" w:bidi="ar"/>
              </w:rPr>
            </w:pPr>
            <w:r>
              <w:rPr>
                <w:rFonts w:hint="default" w:ascii="Times New Roman" w:hAnsi="Times New Roman" w:cs="Times New Roman"/>
                <w:b/>
                <w:bCs/>
                <w:color w:val="auto"/>
                <w:highlight w:val="none"/>
                <w:lang w:eastAsia="zh-CN"/>
              </w:rPr>
              <w:t>图</w:t>
            </w:r>
            <w:r>
              <w:rPr>
                <w:rFonts w:hint="default" w:ascii="Times New Roman" w:hAnsi="Times New Roman" w:cs="Times New Roman"/>
                <w:b/>
                <w:bCs/>
                <w:color w:val="auto"/>
                <w:highlight w:val="none"/>
                <w:lang w:val="en-US" w:eastAsia="zh-CN"/>
              </w:rPr>
              <w:t xml:space="preserve">1-1 </w:t>
            </w:r>
            <w:r>
              <w:rPr>
                <w:rFonts w:hint="eastAsia" w:cs="Times New Roman"/>
                <w:b/>
                <w:bCs/>
                <w:color w:val="auto"/>
                <w:highlight w:val="none"/>
                <w:lang w:val="en-US" w:eastAsia="zh-CN"/>
              </w:rPr>
              <w:t xml:space="preserve"> </w:t>
            </w:r>
            <w:r>
              <w:rPr>
                <w:rFonts w:hint="eastAsia" w:ascii="Times New Roman" w:hAnsi="Times New Roman" w:cs="Times New Roman"/>
                <w:b/>
                <w:bCs/>
                <w:color w:val="auto"/>
                <w:highlight w:val="none"/>
                <w:lang w:val="en-US" w:eastAsia="zh-CN"/>
              </w:rPr>
              <w:t>项目</w:t>
            </w:r>
            <w:r>
              <w:rPr>
                <w:rFonts w:hint="default" w:ascii="Times New Roman" w:hAnsi="Times New Roman" w:eastAsia="宋体" w:cs="Times New Roman"/>
                <w:b/>
                <w:bCs/>
                <w:color w:val="auto"/>
                <w:kern w:val="0"/>
                <w:sz w:val="24"/>
                <w:szCs w:val="24"/>
                <w:highlight w:val="none"/>
                <w:lang w:val="en-US" w:eastAsia="zh-CN" w:bidi="ar"/>
              </w:rPr>
              <w:t>与环境管控单元叠加图</w:t>
            </w:r>
          </w:p>
          <w:p w14:paraId="4A932A22">
            <w:pPr>
              <w:keepNext w:val="0"/>
              <w:keepLines w:val="0"/>
              <w:pageBreakBefore w:val="0"/>
              <w:widowControl w:val="0"/>
              <w:kinsoku/>
              <w:wordWrap/>
              <w:overflowPunct/>
              <w:topLinePunct w:val="0"/>
              <w:autoSpaceDE/>
              <w:autoSpaceDN/>
              <w:bidi w:val="0"/>
              <w:adjustRightInd/>
              <w:snapToGrid/>
              <w:spacing w:line="480" w:lineRule="exact"/>
              <w:ind w:firstLine="0" w:firstLineChars="0"/>
              <w:jc w:val="center"/>
              <w:textAlignment w:val="auto"/>
              <w:rPr>
                <w:rFonts w:hint="default" w:ascii="Times New Roman" w:hAnsi="Times New Roman" w:eastAsia="宋体" w:cs="Times New Roman"/>
                <w:b/>
                <w:bCs/>
                <w:color w:val="auto"/>
                <w:sz w:val="21"/>
                <w:szCs w:val="21"/>
                <w:highlight w:val="none"/>
                <w:lang w:val="en-US" w:eastAsia="zh-CN" w:bidi="ar-SA"/>
              </w:rPr>
            </w:pPr>
            <w:r>
              <w:rPr>
                <w:color w:val="auto"/>
                <w:sz w:val="21"/>
                <w:szCs w:val="21"/>
                <w:highlight w:val="none"/>
              </w:rPr>
              <mc:AlternateContent>
                <mc:Choice Requires="wps">
                  <w:drawing>
                    <wp:anchor distT="0" distB="0" distL="114300" distR="114300" simplePos="0" relativeHeight="251663360" behindDoc="0" locked="0" layoutInCell="1" allowOverlap="1">
                      <wp:simplePos x="0" y="0"/>
                      <wp:positionH relativeFrom="column">
                        <wp:posOffset>4350385</wp:posOffset>
                      </wp:positionH>
                      <wp:positionV relativeFrom="paragraph">
                        <wp:posOffset>2398395</wp:posOffset>
                      </wp:positionV>
                      <wp:extent cx="268605" cy="635"/>
                      <wp:effectExtent l="0" t="0" r="0" b="0"/>
                      <wp:wrapNone/>
                      <wp:docPr id="149" name="直接连接符 149"/>
                      <wp:cNvGraphicFramePr/>
                      <a:graphic xmlns:a="http://schemas.openxmlformats.org/drawingml/2006/main">
                        <a:graphicData uri="http://schemas.microsoft.com/office/word/2010/wordprocessingShape">
                          <wps:wsp>
                            <wps:cNvCnPr/>
                            <wps:spPr>
                              <a:xfrm>
                                <a:off x="0" y="0"/>
                                <a:ext cx="268605" cy="635"/>
                              </a:xfrm>
                              <a:prstGeom prst="line">
                                <a:avLst/>
                              </a:prstGeom>
                              <a:ln>
                                <a:noFill/>
                              </a:ln>
                            </wps:spPr>
                            <wps:bodyPr upright="1"/>
                          </wps:wsp>
                        </a:graphicData>
                      </a:graphic>
                    </wp:anchor>
                  </w:drawing>
                </mc:Choice>
                <mc:Fallback>
                  <w:pict>
                    <v:line id="_x0000_s1026" o:spid="_x0000_s1026" o:spt="20" style="position:absolute;left:0pt;margin-left:342.55pt;margin-top:188.85pt;height:0.05pt;width:21.15pt;z-index:251663360;mso-width-relative:page;mso-height-relative:page;" filled="f" stroked="f" coordsize="21600,21600" o:gfxdata="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">
                      <v:fill on="f" focussize="0,0"/>
                      <v:stroke on="f"/>
                      <v:imagedata o:title=""/>
                      <o:lock v:ext="edit" aspectratio="f"/>
                    </v:line>
                  </w:pict>
                </mc:Fallback>
              </mc:AlternateContent>
            </w:r>
            <w:r>
              <w:rPr>
                <w:rFonts w:hint="eastAsia" w:ascii="Times New Roman" w:hAnsi="Times New Roman" w:eastAsia="宋体" w:cs="Times New Roman"/>
                <w:b/>
                <w:bCs/>
                <w:color w:val="auto"/>
                <w:sz w:val="21"/>
                <w:szCs w:val="21"/>
                <w:highlight w:val="none"/>
                <w:lang w:val="en-US" w:eastAsia="zh-CN" w:bidi="ar-SA"/>
              </w:rPr>
              <w:t xml:space="preserve">表1-1 </w:t>
            </w:r>
            <w:r>
              <w:rPr>
                <w:rFonts w:hint="eastAsia" w:cs="Times New Roman"/>
                <w:b/>
                <w:bCs/>
                <w:color w:val="auto"/>
                <w:sz w:val="21"/>
                <w:szCs w:val="21"/>
                <w:highlight w:val="none"/>
                <w:lang w:val="en-US" w:eastAsia="zh-CN" w:bidi="ar-SA"/>
              </w:rPr>
              <w:t xml:space="preserve"> </w:t>
            </w:r>
            <w:r>
              <w:rPr>
                <w:rFonts w:hint="eastAsia" w:ascii="Times New Roman" w:hAnsi="Times New Roman" w:eastAsia="宋体" w:cs="Times New Roman"/>
                <w:b/>
                <w:bCs/>
                <w:color w:val="auto"/>
                <w:sz w:val="21"/>
                <w:szCs w:val="21"/>
                <w:highlight w:val="none"/>
                <w:lang w:val="en-US" w:eastAsia="zh-CN" w:bidi="ar-SA"/>
              </w:rPr>
              <w:t>项目</w:t>
            </w:r>
            <w:r>
              <w:rPr>
                <w:rFonts w:hint="default" w:ascii="Times New Roman" w:hAnsi="Times New Roman" w:eastAsia="宋体" w:cs="Times New Roman"/>
                <w:b/>
                <w:bCs/>
                <w:color w:val="auto"/>
                <w:sz w:val="21"/>
                <w:szCs w:val="21"/>
                <w:highlight w:val="none"/>
                <w:lang w:val="en-US" w:eastAsia="zh-CN" w:bidi="ar-SA"/>
              </w:rPr>
              <w:t>与“三线一单”符合性分析</w:t>
            </w:r>
            <w:r>
              <w:rPr>
                <w:rFonts w:hint="eastAsia" w:ascii="Times New Roman" w:hAnsi="Times New Roman" w:eastAsia="宋体" w:cs="Times New Roman"/>
                <w:b/>
                <w:bCs/>
                <w:color w:val="auto"/>
                <w:sz w:val="21"/>
                <w:szCs w:val="21"/>
                <w:highlight w:val="none"/>
                <w:lang w:val="en-US" w:eastAsia="zh-CN" w:bidi="ar-SA"/>
              </w:rPr>
              <w:t>表</w:t>
            </w:r>
          </w:p>
          <w:tbl>
            <w:tblPr>
              <w:tblStyle w:val="43"/>
              <w:tblW w:w="8472" w:type="dxa"/>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946"/>
              <w:gridCol w:w="4040"/>
              <w:gridCol w:w="3486"/>
            </w:tblGrid>
            <w:tr w14:paraId="689744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472" w:type="dxa"/>
                  <w:gridSpan w:val="3"/>
                  <w:tcBorders>
                    <w:tl2br w:val="nil"/>
                    <w:tr2bl w:val="nil"/>
                  </w:tcBorders>
                  <w:noWrap w:val="0"/>
                  <w:vAlign w:val="center"/>
                </w:tcPr>
                <w:p w14:paraId="58696850">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一、生态保护红线</w:t>
                  </w:r>
                </w:p>
              </w:tc>
            </w:tr>
            <w:tr w14:paraId="1435CF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46" w:type="dxa"/>
                  <w:tcBorders>
                    <w:tl2br w:val="nil"/>
                    <w:tr2bl w:val="nil"/>
                  </w:tcBorders>
                  <w:noWrap w:val="0"/>
                  <w:vAlign w:val="center"/>
                </w:tcPr>
                <w:p w14:paraId="4020C3F6">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管控单元类别</w:t>
                  </w:r>
                </w:p>
              </w:tc>
              <w:tc>
                <w:tcPr>
                  <w:tcW w:w="7526" w:type="dxa"/>
                  <w:gridSpan w:val="2"/>
                  <w:tcBorders>
                    <w:tl2br w:val="nil"/>
                    <w:tr2bl w:val="nil"/>
                  </w:tcBorders>
                  <w:noWrap w:val="0"/>
                  <w:vAlign w:val="center"/>
                </w:tcPr>
                <w:p w14:paraId="5218D1A1">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一般管控区</w:t>
                  </w:r>
                </w:p>
              </w:tc>
            </w:tr>
            <w:tr w14:paraId="3ED906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46" w:type="dxa"/>
                  <w:tcBorders>
                    <w:tl2br w:val="nil"/>
                    <w:tr2bl w:val="nil"/>
                  </w:tcBorders>
                  <w:noWrap w:val="0"/>
                  <w:vAlign w:val="center"/>
                </w:tcPr>
                <w:p w14:paraId="1905AF13">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管控要求</w:t>
                  </w:r>
                </w:p>
              </w:tc>
              <w:tc>
                <w:tcPr>
                  <w:tcW w:w="7526" w:type="dxa"/>
                  <w:gridSpan w:val="2"/>
                  <w:tcBorders>
                    <w:tl2br w:val="nil"/>
                    <w:tr2bl w:val="nil"/>
                  </w:tcBorders>
                  <w:noWrap w:val="0"/>
                  <w:vAlign w:val="center"/>
                </w:tcPr>
                <w:p w14:paraId="17F431AE">
                  <w:pPr>
                    <w:keepNext w:val="0"/>
                    <w:keepLines w:val="0"/>
                    <w:pageBreakBefore w:val="0"/>
                    <w:kinsoku/>
                    <w:wordWrap/>
                    <w:overflowPunct/>
                    <w:topLinePunct w:val="0"/>
                    <w:autoSpaceDE/>
                    <w:autoSpaceDN/>
                    <w:bidi w:val="0"/>
                    <w:adjustRightInd w:val="0"/>
                    <w:snapToGrid/>
                    <w:spacing w:line="240" w:lineRule="auto"/>
                    <w:ind w:firstLine="0" w:firstLineChars="0"/>
                    <w:jc w:val="left"/>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生态空间包括生态保护红线和一般生态空间</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生态保护红线及一般生态空间均属于优先保护区</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其余区域属于一般管控区。</w:t>
                  </w:r>
                </w:p>
              </w:tc>
            </w:tr>
            <w:tr w14:paraId="4C229D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9" w:hRule="atLeast"/>
                <w:jc w:val="center"/>
              </w:trPr>
              <w:tc>
                <w:tcPr>
                  <w:tcW w:w="946" w:type="dxa"/>
                  <w:tcBorders>
                    <w:tl2br w:val="nil"/>
                    <w:tr2bl w:val="nil"/>
                  </w:tcBorders>
                  <w:noWrap w:val="0"/>
                  <w:vAlign w:val="center"/>
                </w:tcPr>
                <w:p w14:paraId="5BAD409D">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符合性分析</w:t>
                  </w:r>
                </w:p>
              </w:tc>
              <w:tc>
                <w:tcPr>
                  <w:tcW w:w="7526" w:type="dxa"/>
                  <w:gridSpan w:val="2"/>
                  <w:tcBorders>
                    <w:tl2br w:val="nil"/>
                    <w:tr2bl w:val="nil"/>
                  </w:tcBorders>
                  <w:noWrap w:val="0"/>
                  <w:vAlign w:val="center"/>
                </w:tcPr>
                <w:p w14:paraId="56CD66C1">
                  <w:pPr>
                    <w:keepNext w:val="0"/>
                    <w:keepLines w:val="0"/>
                    <w:pageBreakBefore w:val="0"/>
                    <w:kinsoku/>
                    <w:wordWrap/>
                    <w:overflowPunct/>
                    <w:topLinePunct w:val="0"/>
                    <w:autoSpaceDE/>
                    <w:autoSpaceDN/>
                    <w:bidi w:val="0"/>
                    <w:adjustRightInd w:val="0"/>
                    <w:snapToGrid/>
                    <w:spacing w:line="240" w:lineRule="auto"/>
                    <w:ind w:firstLine="0" w:firstLineChars="0"/>
                    <w:jc w:val="left"/>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本项目位于本项目位于</w:t>
                  </w:r>
                  <w:r>
                    <w:rPr>
                      <w:rFonts w:hint="eastAsia" w:cs="Times New Roman"/>
                      <w:color w:val="auto"/>
                      <w:sz w:val="21"/>
                      <w:szCs w:val="21"/>
                      <w:highlight w:val="none"/>
                      <w:lang w:eastAsia="zh-CN"/>
                    </w:rPr>
                    <w:t>黑龙江省鹤岗市南山区五委十三组南山煤矿院内，</w:t>
                  </w:r>
                  <w:r>
                    <w:rPr>
                      <w:rFonts w:hint="default" w:ascii="Times New Roman" w:hAnsi="Times New Roman" w:eastAsia="宋体" w:cs="Times New Roman"/>
                      <w:color w:val="auto"/>
                      <w:sz w:val="21"/>
                      <w:szCs w:val="21"/>
                      <w:highlight w:val="none"/>
                    </w:rPr>
                    <w:t>占地不在国家、省、市级自然保护区、风景名胜区、世界文化和自然遗产地、海洋特别保护区、基本农田保护区、基本草原、森林公园、地质公园、重要湿地、天然林、野生动物重要栖息地、重点保护野生植物生长繁殖地、重要水生生物的自然产卵场、索饵场、越冬场和洄游通道、天然渔场、沙化土地封禁保护区、封闭及半封闭海域等环境敏感区内。根据《</w:t>
                  </w:r>
                  <w:r>
                    <w:rPr>
                      <w:rFonts w:hint="eastAsia" w:cs="Times New Roman"/>
                      <w:color w:val="auto"/>
                      <w:sz w:val="21"/>
                      <w:szCs w:val="21"/>
                      <w:highlight w:val="none"/>
                      <w:lang w:eastAsia="zh-CN"/>
                    </w:rPr>
                    <w:t>长安工贸公司岩煤体加固材料生产项目</w:t>
                  </w:r>
                  <w:r>
                    <w:rPr>
                      <w:rFonts w:hint="default" w:ascii="Times New Roman" w:hAnsi="Times New Roman" w:eastAsia="宋体" w:cs="Times New Roman"/>
                      <w:color w:val="auto"/>
                      <w:sz w:val="21"/>
                      <w:szCs w:val="21"/>
                      <w:highlight w:val="none"/>
                    </w:rPr>
                    <w:t>生态环境分区管控分析报告》</w:t>
                  </w:r>
                  <w:r>
                    <w:rPr>
                      <w:rFonts w:hint="eastAsia" w:cs="Times New Roman"/>
                      <w:color w:val="auto"/>
                      <w:sz w:val="21"/>
                      <w:szCs w:val="21"/>
                      <w:highlight w:val="none"/>
                      <w:lang w:eastAsia="zh-CN"/>
                    </w:rPr>
                    <w:t>，鹤岗市</w:t>
                  </w:r>
                  <w:r>
                    <w:rPr>
                      <w:rFonts w:hint="default" w:ascii="Times New Roman" w:hAnsi="Times New Roman" w:eastAsia="宋体" w:cs="Times New Roman"/>
                      <w:color w:val="auto"/>
                      <w:sz w:val="21"/>
                      <w:szCs w:val="21"/>
                      <w:highlight w:val="none"/>
                    </w:rPr>
                    <w:t>生态保护红线分布及本项目所处位置</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本项目地不属于生态红线区域。因此本项目符合生态保护红线要求。</w:t>
                  </w:r>
                </w:p>
              </w:tc>
            </w:tr>
            <w:tr w14:paraId="3D1255B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2" w:hRule="atLeast"/>
                <w:jc w:val="center"/>
              </w:trPr>
              <w:tc>
                <w:tcPr>
                  <w:tcW w:w="8472" w:type="dxa"/>
                  <w:gridSpan w:val="3"/>
                  <w:tcBorders>
                    <w:tl2br w:val="nil"/>
                    <w:tr2bl w:val="nil"/>
                  </w:tcBorders>
                  <w:noWrap w:val="0"/>
                  <w:vAlign w:val="center"/>
                </w:tcPr>
                <w:p w14:paraId="0E3D05CF">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二、环境质量底线</w:t>
                  </w:r>
                </w:p>
              </w:tc>
            </w:tr>
            <w:tr w14:paraId="340D82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08" w:hRule="atLeast"/>
                <w:jc w:val="center"/>
              </w:trPr>
              <w:tc>
                <w:tcPr>
                  <w:tcW w:w="8472" w:type="dxa"/>
                  <w:gridSpan w:val="3"/>
                  <w:tcBorders>
                    <w:tl2br w:val="nil"/>
                    <w:tr2bl w:val="nil"/>
                  </w:tcBorders>
                  <w:noWrap w:val="0"/>
                  <w:vAlign w:val="center"/>
                </w:tcPr>
                <w:p w14:paraId="09CE3C0F">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大气环境</w:t>
                  </w:r>
                </w:p>
              </w:tc>
            </w:tr>
            <w:tr w14:paraId="723D9F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35" w:hRule="atLeast"/>
                <w:jc w:val="center"/>
              </w:trPr>
              <w:tc>
                <w:tcPr>
                  <w:tcW w:w="946" w:type="dxa"/>
                  <w:tcBorders>
                    <w:tl2br w:val="nil"/>
                    <w:tr2bl w:val="nil"/>
                  </w:tcBorders>
                  <w:noWrap w:val="0"/>
                  <w:vAlign w:val="center"/>
                </w:tcPr>
                <w:p w14:paraId="4FE2119C">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管控单元类别</w:t>
                  </w:r>
                </w:p>
              </w:tc>
              <w:tc>
                <w:tcPr>
                  <w:tcW w:w="7526" w:type="dxa"/>
                  <w:gridSpan w:val="2"/>
                  <w:tcBorders>
                    <w:tl2br w:val="nil"/>
                    <w:tr2bl w:val="nil"/>
                  </w:tcBorders>
                  <w:noWrap w:val="0"/>
                  <w:vAlign w:val="center"/>
                </w:tcPr>
                <w:p w14:paraId="02491620">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大气环境布局敏感重点管控区</w:t>
                  </w:r>
                </w:p>
              </w:tc>
            </w:tr>
            <w:tr w14:paraId="70AFEA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75" w:hRule="atLeast"/>
                <w:jc w:val="center"/>
              </w:trPr>
              <w:tc>
                <w:tcPr>
                  <w:tcW w:w="4986" w:type="dxa"/>
                  <w:gridSpan w:val="2"/>
                  <w:tcBorders>
                    <w:tl2br w:val="nil"/>
                    <w:tr2bl w:val="nil"/>
                  </w:tcBorders>
                  <w:noWrap w:val="0"/>
                  <w:vAlign w:val="center"/>
                </w:tcPr>
                <w:p w14:paraId="648790EF">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管控要求</w:t>
                  </w:r>
                </w:p>
              </w:tc>
              <w:tc>
                <w:tcPr>
                  <w:tcW w:w="3486" w:type="dxa"/>
                  <w:tcBorders>
                    <w:tl2br w:val="nil"/>
                    <w:tr2bl w:val="nil"/>
                  </w:tcBorders>
                  <w:noWrap w:val="0"/>
                  <w:vAlign w:val="center"/>
                </w:tcPr>
                <w:p w14:paraId="1FF82DE8">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符合性分析</w:t>
                  </w:r>
                </w:p>
              </w:tc>
            </w:tr>
            <w:tr w14:paraId="37F43B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46" w:type="dxa"/>
                  <w:tcBorders>
                    <w:tl2br w:val="nil"/>
                    <w:tr2bl w:val="nil"/>
                  </w:tcBorders>
                  <w:noWrap w:val="0"/>
                  <w:vAlign w:val="center"/>
                </w:tcPr>
                <w:p w14:paraId="1D13A196">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空间布局约束</w:t>
                  </w:r>
                </w:p>
              </w:tc>
              <w:tc>
                <w:tcPr>
                  <w:tcW w:w="4040" w:type="dxa"/>
                  <w:tcBorders>
                    <w:tl2br w:val="nil"/>
                    <w:tr2bl w:val="nil"/>
                  </w:tcBorders>
                  <w:noWrap w:val="0"/>
                  <w:vAlign w:val="center"/>
                </w:tcPr>
                <w:p w14:paraId="5B927DD3">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1.区域内严格控制高耗水、高污染行业发展。</w:t>
                  </w:r>
                </w:p>
                <w:p w14:paraId="607FE519">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2.优化产业结构</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加快退出落后产能</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大力发展战略性新兴产业。</w:t>
                  </w:r>
                </w:p>
                <w:p w14:paraId="544335C3">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3.根据水资源和水环境承载能力</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以水定城、以水定地、以水定人、以水定产。</w:t>
                  </w:r>
                </w:p>
                <w:p w14:paraId="2B609163">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4.严控“两高”行业产能。严格执行钢铁、水泥、平板玻璃等行业产能置换实施办法。5.利用水泥窑协同处置城市生活垃圾、危险废弃物、电石渣等固废伴生水泥项目</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必须依托现有新型干法水泥熟料生产线进行不扩产能改造。</w:t>
                  </w:r>
                </w:p>
              </w:tc>
              <w:tc>
                <w:tcPr>
                  <w:tcW w:w="3486" w:type="dxa"/>
                  <w:tcBorders>
                    <w:tl2br w:val="nil"/>
                    <w:tr2bl w:val="nil"/>
                  </w:tcBorders>
                  <w:noWrap w:val="0"/>
                  <w:vAlign w:val="center"/>
                </w:tcPr>
                <w:p w14:paraId="08C9A0A0">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本项目位于</w:t>
                  </w:r>
                  <w:r>
                    <w:rPr>
                      <w:rFonts w:hint="eastAsia" w:cs="Times New Roman"/>
                      <w:color w:val="auto"/>
                      <w:sz w:val="21"/>
                      <w:szCs w:val="21"/>
                      <w:highlight w:val="none"/>
                      <w:lang w:val="en-US" w:eastAsia="zh-CN"/>
                    </w:rPr>
                    <w:t>黑龙江省鹤岗市南山区五委十三组南山煤矿院内，</w:t>
                  </w:r>
                  <w:r>
                    <w:rPr>
                      <w:rFonts w:hint="default" w:ascii="Times New Roman" w:hAnsi="Times New Roman" w:eastAsia="宋体" w:cs="Times New Roman"/>
                      <w:color w:val="auto"/>
                      <w:sz w:val="21"/>
                      <w:szCs w:val="21"/>
                      <w:highlight w:val="none"/>
                      <w:lang w:val="en-US" w:eastAsia="zh-CN"/>
                    </w:rPr>
                    <w:t>属于其他专用化学产品制造</w:t>
                  </w:r>
                  <w:r>
                    <w:rPr>
                      <w:rFonts w:hint="eastAsia" w:ascii="Times New Roman" w:hAnsi="Times New Roman" w:eastAsia="宋体" w:cs="Times New Roman"/>
                      <w:color w:val="auto"/>
                      <w:sz w:val="21"/>
                      <w:szCs w:val="21"/>
                      <w:highlight w:val="none"/>
                      <w:lang w:val="en-US" w:eastAsia="zh-CN"/>
                    </w:rPr>
                    <w:t>项目</w:t>
                  </w:r>
                  <w:r>
                    <w:rPr>
                      <w:rFonts w:hint="eastAsia" w:cs="Times New Roman"/>
                      <w:color w:val="auto"/>
                      <w:sz w:val="21"/>
                      <w:szCs w:val="21"/>
                      <w:highlight w:val="none"/>
                      <w:lang w:val="en-US" w:eastAsia="zh-CN"/>
                    </w:rPr>
                    <w:t>，产品不属于危险化学品，</w:t>
                  </w:r>
                  <w:r>
                    <w:rPr>
                      <w:rFonts w:hint="default" w:ascii="Times New Roman" w:hAnsi="Times New Roman" w:eastAsia="宋体" w:cs="Times New Roman"/>
                      <w:color w:val="auto"/>
                      <w:sz w:val="21"/>
                      <w:szCs w:val="21"/>
                      <w:highlight w:val="none"/>
                      <w:lang w:val="en-US" w:eastAsia="zh-CN"/>
                    </w:rPr>
                    <w:t>不涉及危险化学品生产、畜禽养殖及有毒有害和易燃易爆物质；不属于</w:t>
                  </w:r>
                  <w:r>
                    <w:rPr>
                      <w:rFonts w:hint="default" w:ascii="Times New Roman" w:hAnsi="Times New Roman" w:eastAsia="宋体" w:cs="Times New Roman"/>
                      <w:color w:val="auto"/>
                      <w:sz w:val="21"/>
                      <w:szCs w:val="21"/>
                      <w:highlight w:val="none"/>
                    </w:rPr>
                    <w:t>钢铁、水泥、平板玻璃等行业</w:t>
                  </w:r>
                  <w:r>
                    <w:rPr>
                      <w:rFonts w:hint="default" w:ascii="Times New Roman" w:hAnsi="Times New Roman" w:eastAsia="宋体" w:cs="Times New Roman"/>
                      <w:color w:val="auto"/>
                      <w:sz w:val="21"/>
                      <w:szCs w:val="21"/>
                      <w:highlight w:val="none"/>
                      <w:lang w:eastAsia="zh-CN"/>
                    </w:rPr>
                    <w:t>；不属于</w:t>
                  </w:r>
                  <w:r>
                    <w:rPr>
                      <w:rFonts w:hint="default" w:ascii="Times New Roman" w:hAnsi="Times New Roman" w:eastAsia="宋体" w:cs="Times New Roman"/>
                      <w:color w:val="auto"/>
                      <w:sz w:val="21"/>
                      <w:szCs w:val="21"/>
                      <w:highlight w:val="none"/>
                    </w:rPr>
                    <w:t>利用水泥窑协同处置城市生活垃圾、危险废弃物、电石渣等固废伴生水泥项目</w:t>
                  </w:r>
                  <w:r>
                    <w:rPr>
                      <w:rFonts w:hint="default" w:ascii="Times New Roman" w:hAnsi="Times New Roman" w:eastAsia="宋体" w:cs="Times New Roman"/>
                      <w:color w:val="auto"/>
                      <w:sz w:val="21"/>
                      <w:szCs w:val="21"/>
                      <w:highlight w:val="none"/>
                      <w:lang w:eastAsia="zh-CN"/>
                    </w:rPr>
                    <w:t>。厂区内无燃煤锅炉及燃气锅炉。</w:t>
                  </w:r>
                  <w:r>
                    <w:rPr>
                      <w:rFonts w:hint="default" w:ascii="Times New Roman" w:hAnsi="Times New Roman" w:eastAsia="宋体" w:cs="Times New Roman"/>
                      <w:color w:val="auto"/>
                      <w:sz w:val="21"/>
                      <w:szCs w:val="21"/>
                      <w:highlight w:val="none"/>
                    </w:rPr>
                    <w:t>故符合空间布局约束要求。</w:t>
                  </w:r>
                </w:p>
              </w:tc>
            </w:tr>
            <w:tr w14:paraId="34AA24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46" w:type="dxa"/>
                  <w:tcBorders>
                    <w:tl2br w:val="nil"/>
                    <w:tr2bl w:val="nil"/>
                  </w:tcBorders>
                  <w:noWrap w:val="0"/>
                  <w:vAlign w:val="center"/>
                </w:tcPr>
                <w:p w14:paraId="4ED5C2D9">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污染物排放管控</w:t>
                  </w:r>
                </w:p>
              </w:tc>
              <w:tc>
                <w:tcPr>
                  <w:tcW w:w="4040" w:type="dxa"/>
                  <w:tcBorders>
                    <w:tl2br w:val="nil"/>
                    <w:tr2bl w:val="nil"/>
                  </w:tcBorders>
                  <w:noWrap w:val="0"/>
                  <w:vAlign w:val="center"/>
                </w:tcPr>
                <w:p w14:paraId="1BC488AA">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1.新建、改建和扩建项目应当优先采用资源利用率高以及污染物产生量少的清洁生产技术、工艺和设备。</w:t>
                  </w:r>
                </w:p>
                <w:p w14:paraId="0D5D9175">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eastAsia"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2.集中治理工业集聚区内工业废水</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区内工业废水必须经预处理达到集中处理要求后</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方可进入污水集中处理设施。新建、升级工业集聚区应同步规划和建设污水、垃圾集中处理等污染治理设施。</w:t>
                  </w:r>
                </w:p>
                <w:p w14:paraId="43248566">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3.对以煤、石焦油、渣油、重油等为燃料的锅炉和工业炉窑</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加快使用清洁低碳能</w:t>
                  </w:r>
                </w:p>
                <w:p w14:paraId="0831ABA3">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源以及工厂余热、电力热力等进行替代。 </w:t>
                  </w:r>
                </w:p>
                <w:p w14:paraId="66B7E94D">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4.到2025年</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在用65蒸吨/小时以上的燃煤锅炉（含电力）实现超低排放</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钢铁企</w:t>
                  </w:r>
                </w:p>
                <w:p w14:paraId="2F668818">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业基本实现超低排放。</w:t>
                  </w:r>
                </w:p>
              </w:tc>
              <w:tc>
                <w:tcPr>
                  <w:tcW w:w="3486" w:type="dxa"/>
                  <w:tcBorders>
                    <w:tl2br w:val="nil"/>
                    <w:tr2bl w:val="nil"/>
                  </w:tcBorders>
                  <w:noWrap w:val="0"/>
                  <w:vAlign w:val="center"/>
                </w:tcPr>
                <w:p w14:paraId="324C0BE1">
                  <w:pPr>
                    <w:keepNext w:val="0"/>
                    <w:keepLines w:val="0"/>
                    <w:pageBreakBefore w:val="0"/>
                    <w:kinsoku/>
                    <w:wordWrap/>
                    <w:overflowPunct/>
                    <w:topLinePunct w:val="0"/>
                    <w:autoSpaceDE/>
                    <w:autoSpaceDN/>
                    <w:bidi w:val="0"/>
                    <w:adjustRightInd w:val="0"/>
                    <w:snapToGrid/>
                    <w:spacing w:line="240" w:lineRule="auto"/>
                    <w:ind w:firstLine="0" w:firstLineChars="0"/>
                    <w:jc w:val="both"/>
                    <w:textAlignment w:val="baseline"/>
                    <w:rPr>
                      <w:rFonts w:hint="default" w:ascii="Times New Roman" w:hAnsi="Times New Roman" w:eastAsia="宋体" w:cs="Times New Roman"/>
                      <w:color w:val="auto"/>
                      <w:sz w:val="21"/>
                      <w:szCs w:val="21"/>
                      <w:highlight w:val="none"/>
                    </w:rPr>
                  </w:pPr>
                  <w:r>
                    <w:rPr>
                      <w:rFonts w:hint="eastAsia"/>
                      <w:color w:val="auto"/>
                      <w:szCs w:val="21"/>
                    </w:rPr>
                    <w:t>本项目使用电锅炉供热</w:t>
                  </w:r>
                  <w:r>
                    <w:rPr>
                      <w:rFonts w:hint="eastAsia"/>
                      <w:color w:val="auto"/>
                      <w:szCs w:val="21"/>
                      <w:lang w:eastAsia="zh-CN"/>
                    </w:rPr>
                    <w:t>，</w:t>
                  </w:r>
                  <w:r>
                    <w:rPr>
                      <w:rFonts w:hint="eastAsia"/>
                      <w:color w:val="auto"/>
                      <w:szCs w:val="21"/>
                    </w:rPr>
                    <w:t>符合污染物排放管控要求。</w:t>
                  </w:r>
                  <w:r>
                    <w:rPr>
                      <w:color w:val="auto"/>
                    </w:rPr>
                    <w:t>项目</w:t>
                  </w:r>
                  <w:r>
                    <w:rPr>
                      <w:rFonts w:hint="eastAsia"/>
                      <w:color w:val="auto"/>
                    </w:rPr>
                    <w:t>原料、产品、生产设备均采取密闭措施</w:t>
                  </w:r>
                  <w:r>
                    <w:rPr>
                      <w:rFonts w:hint="eastAsia"/>
                      <w:color w:val="auto"/>
                      <w:lang w:eastAsia="zh-CN"/>
                    </w:rPr>
                    <w:t>，</w:t>
                  </w:r>
                  <w:r>
                    <w:rPr>
                      <w:rFonts w:hint="eastAsia"/>
                      <w:color w:val="auto"/>
                    </w:rPr>
                    <w:t>输送过程采取密闭措施</w:t>
                  </w:r>
                  <w:r>
                    <w:rPr>
                      <w:rFonts w:hint="eastAsia"/>
                      <w:color w:val="auto"/>
                      <w:lang w:eastAsia="zh-CN"/>
                    </w:rPr>
                    <w:t>，</w:t>
                  </w:r>
                  <w:r>
                    <w:rPr>
                      <w:rFonts w:hint="eastAsia"/>
                      <w:color w:val="auto"/>
                    </w:rPr>
                    <w:t>车间设置引风机+活性炭吸附装置</w:t>
                  </w:r>
                  <w:r>
                    <w:rPr>
                      <w:rFonts w:hint="eastAsia"/>
                      <w:color w:val="auto"/>
                      <w:lang w:eastAsia="zh-CN"/>
                    </w:rPr>
                    <w:t>，</w:t>
                  </w:r>
                  <w:r>
                    <w:rPr>
                      <w:rFonts w:hint="eastAsia"/>
                      <w:color w:val="auto"/>
                    </w:rPr>
                    <w:t>处理后经1</w:t>
                  </w:r>
                  <w:r>
                    <w:rPr>
                      <w:color w:val="auto"/>
                    </w:rPr>
                    <w:t>5</w:t>
                  </w:r>
                  <w:r>
                    <w:rPr>
                      <w:rFonts w:hint="eastAsia"/>
                      <w:color w:val="auto"/>
                    </w:rPr>
                    <w:t>m高排气筒排放</w:t>
                  </w:r>
                  <w:r>
                    <w:rPr>
                      <w:rFonts w:hint="eastAsia"/>
                      <w:color w:val="auto"/>
                      <w:lang w:eastAsia="zh-CN"/>
                    </w:rPr>
                    <w:t>，</w:t>
                  </w:r>
                  <w:r>
                    <w:rPr>
                      <w:rFonts w:hint="eastAsia"/>
                      <w:color w:val="auto"/>
                      <w:lang w:val="en-US" w:eastAsia="zh-CN"/>
                    </w:rPr>
                    <w:t>非甲烷总烃满足《大气污染物综合排放标准》（GB16297-1996）二级标准</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企业不产生生产废水，</w:t>
                  </w:r>
                  <w:r>
                    <w:rPr>
                      <w:rFonts w:hint="eastAsia" w:ascii="Times New Roman" w:hAnsi="Times New Roman" w:eastAsia="宋体" w:cs="Times New Roman"/>
                      <w:color w:val="auto"/>
                      <w:sz w:val="21"/>
                      <w:szCs w:val="21"/>
                      <w:highlight w:val="none"/>
                      <w:lang w:val="en-US" w:eastAsia="zh-CN"/>
                    </w:rPr>
                    <w:t>生活污水排入防渗旱厕</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定期清掏堆肥。</w:t>
                  </w:r>
                  <w:r>
                    <w:rPr>
                      <w:rFonts w:hint="default" w:ascii="Times New Roman" w:hAnsi="Times New Roman" w:eastAsia="宋体" w:cs="Times New Roman"/>
                      <w:color w:val="auto"/>
                      <w:sz w:val="21"/>
                      <w:szCs w:val="21"/>
                      <w:highlight w:val="none"/>
                      <w:lang w:val="en-US" w:eastAsia="zh-CN"/>
                    </w:rPr>
                    <w:t>企业加强环境管理水平</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减少污染物排放。</w:t>
                  </w:r>
                  <w:r>
                    <w:rPr>
                      <w:rFonts w:hint="default" w:ascii="Times New Roman" w:hAnsi="Times New Roman" w:eastAsia="宋体" w:cs="Times New Roman"/>
                      <w:color w:val="auto"/>
                      <w:sz w:val="21"/>
                      <w:szCs w:val="21"/>
                      <w:highlight w:val="none"/>
                    </w:rPr>
                    <w:t>故符合污染物排放管控要求。</w:t>
                  </w:r>
                </w:p>
              </w:tc>
            </w:tr>
            <w:tr w14:paraId="5635B51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46" w:type="dxa"/>
                  <w:tcBorders>
                    <w:tl2br w:val="nil"/>
                    <w:tr2bl w:val="nil"/>
                  </w:tcBorders>
                  <w:noWrap w:val="0"/>
                  <w:vAlign w:val="center"/>
                </w:tcPr>
                <w:p w14:paraId="0E377946">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环境风险防控</w:t>
                  </w:r>
                </w:p>
              </w:tc>
              <w:tc>
                <w:tcPr>
                  <w:tcW w:w="4040" w:type="dxa"/>
                  <w:tcBorders>
                    <w:tl2br w:val="nil"/>
                    <w:tr2bl w:val="nil"/>
                  </w:tcBorders>
                  <w:noWrap w:val="0"/>
                  <w:vAlign w:val="center"/>
                </w:tcPr>
                <w:p w14:paraId="6D75EB30">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 xml:space="preserve">排放《有毒有害水污染物名录》所列有毒有害水污染物的企业事业单位和其他生产经营 </w:t>
                  </w:r>
                </w:p>
                <w:p w14:paraId="25C9E591">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者</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应当对排污口和周边环境进行监测</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评估环境风险</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排查环境安全隐患</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 xml:space="preserve">并公开有毒有 </w:t>
                  </w:r>
                </w:p>
                <w:p w14:paraId="7B0953CB">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害水污染物信息</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 xml:space="preserve">采取有效措施防范环境风险。 2.禁止在居民区、学校、医疗和养老机构 </w:t>
                  </w:r>
                </w:p>
                <w:p w14:paraId="7174BC60">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eastAsia" w:ascii="Times New Roman" w:hAnsi="Times New Roman" w:eastAsia="宋体" w:cs="Times New Roman"/>
                      <w:color w:val="auto"/>
                      <w:sz w:val="21"/>
                      <w:szCs w:val="21"/>
                      <w:highlight w:val="none"/>
                      <w:lang w:val="en-US" w:eastAsia="zh-CN"/>
                    </w:rPr>
                    <w:t>等周边新建有色金属冶炼、焦化等行业企业。</w:t>
                  </w:r>
                </w:p>
                <w:p w14:paraId="2D9FFD9B">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p>
              </w:tc>
              <w:tc>
                <w:tcPr>
                  <w:tcW w:w="3486" w:type="dxa"/>
                  <w:tcBorders>
                    <w:tl2br w:val="nil"/>
                    <w:tr2bl w:val="nil"/>
                  </w:tcBorders>
                  <w:noWrap w:val="0"/>
                  <w:vAlign w:val="center"/>
                </w:tcPr>
                <w:p w14:paraId="3E824682">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eastAsia="zh-CN"/>
                    </w:rPr>
                    <w:t>项目</w:t>
                  </w:r>
                  <w:r>
                    <w:rPr>
                      <w:rFonts w:hint="default" w:ascii="Times New Roman" w:hAnsi="Times New Roman" w:eastAsia="宋体" w:cs="Times New Roman"/>
                      <w:color w:val="auto"/>
                      <w:sz w:val="21"/>
                      <w:szCs w:val="21"/>
                      <w:highlight w:val="none"/>
                    </w:rPr>
                    <w:t>制定环境风险应急预案。强化环境风险防控工作</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突出全防全控</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完善各项环境风险防范制度</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确保将风险防范融入日常环境管理制度体系</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加强执法监督</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实现对</w:t>
                  </w:r>
                  <w:r>
                    <w:rPr>
                      <w:rFonts w:hint="default" w:ascii="Times New Roman" w:hAnsi="Times New Roman" w:eastAsia="宋体" w:cs="Times New Roman"/>
                      <w:color w:val="auto"/>
                      <w:sz w:val="21"/>
                      <w:szCs w:val="21"/>
                      <w:highlight w:val="none"/>
                      <w:lang w:eastAsia="zh-CN"/>
                    </w:rPr>
                    <w:t>项目</w:t>
                  </w:r>
                  <w:r>
                    <w:rPr>
                      <w:rFonts w:hint="default" w:ascii="Times New Roman" w:hAnsi="Times New Roman" w:eastAsia="宋体" w:cs="Times New Roman"/>
                      <w:color w:val="auto"/>
                      <w:sz w:val="21"/>
                      <w:szCs w:val="21"/>
                      <w:highlight w:val="none"/>
                    </w:rPr>
                    <w:t>主要环境风险类型的动态监控。故符合环境风险防控要求。</w:t>
                  </w:r>
                </w:p>
              </w:tc>
            </w:tr>
            <w:tr w14:paraId="6F54CB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49" w:hRule="atLeast"/>
                <w:jc w:val="center"/>
              </w:trPr>
              <w:tc>
                <w:tcPr>
                  <w:tcW w:w="8472" w:type="dxa"/>
                  <w:gridSpan w:val="3"/>
                  <w:tcBorders>
                    <w:tl2br w:val="nil"/>
                    <w:tr2bl w:val="nil"/>
                  </w:tcBorders>
                  <w:noWrap w:val="0"/>
                  <w:vAlign w:val="center"/>
                </w:tcPr>
                <w:p w14:paraId="2A37954E">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水环境</w:t>
                  </w:r>
                </w:p>
              </w:tc>
            </w:tr>
            <w:tr w14:paraId="73BA18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3" w:hRule="atLeast"/>
                <w:jc w:val="center"/>
              </w:trPr>
              <w:tc>
                <w:tcPr>
                  <w:tcW w:w="946" w:type="dxa"/>
                  <w:tcBorders>
                    <w:tl2br w:val="nil"/>
                    <w:tr2bl w:val="nil"/>
                  </w:tcBorders>
                  <w:noWrap w:val="0"/>
                  <w:vAlign w:val="center"/>
                </w:tcPr>
                <w:p w14:paraId="11A68687">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管控单元类别</w:t>
                  </w:r>
                </w:p>
              </w:tc>
              <w:tc>
                <w:tcPr>
                  <w:tcW w:w="7526" w:type="dxa"/>
                  <w:gridSpan w:val="2"/>
                  <w:tcBorders>
                    <w:tl2br w:val="nil"/>
                    <w:tr2bl w:val="nil"/>
                  </w:tcBorders>
                  <w:noWrap w:val="0"/>
                  <w:vAlign w:val="center"/>
                </w:tcPr>
                <w:p w14:paraId="02F0C393">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水环境工业污染重点管控区</w:t>
                  </w:r>
                </w:p>
              </w:tc>
            </w:tr>
            <w:tr w14:paraId="40CB92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60" w:hRule="atLeast"/>
                <w:jc w:val="center"/>
              </w:trPr>
              <w:tc>
                <w:tcPr>
                  <w:tcW w:w="4986" w:type="dxa"/>
                  <w:gridSpan w:val="2"/>
                  <w:tcBorders>
                    <w:tl2br w:val="nil"/>
                    <w:tr2bl w:val="nil"/>
                  </w:tcBorders>
                  <w:noWrap w:val="0"/>
                  <w:vAlign w:val="center"/>
                </w:tcPr>
                <w:p w14:paraId="1DFD6FD8">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管控要求</w:t>
                  </w:r>
                </w:p>
              </w:tc>
              <w:tc>
                <w:tcPr>
                  <w:tcW w:w="3486" w:type="dxa"/>
                  <w:tcBorders>
                    <w:tl2br w:val="nil"/>
                    <w:tr2bl w:val="nil"/>
                  </w:tcBorders>
                  <w:noWrap w:val="0"/>
                  <w:vAlign w:val="center"/>
                </w:tcPr>
                <w:p w14:paraId="7548FC9D">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符合性分析</w:t>
                  </w:r>
                </w:p>
              </w:tc>
            </w:tr>
            <w:tr w14:paraId="6528D90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46" w:type="dxa"/>
                  <w:tcBorders>
                    <w:tl2br w:val="nil"/>
                    <w:tr2bl w:val="nil"/>
                  </w:tcBorders>
                  <w:noWrap w:val="0"/>
                  <w:vAlign w:val="center"/>
                </w:tcPr>
                <w:p w14:paraId="36FCBE0F">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空间布局约束</w:t>
                  </w:r>
                </w:p>
              </w:tc>
              <w:tc>
                <w:tcPr>
                  <w:tcW w:w="4040" w:type="dxa"/>
                  <w:tcBorders>
                    <w:tl2br w:val="nil"/>
                    <w:tr2bl w:val="nil"/>
                  </w:tcBorders>
                  <w:noWrap w:val="0"/>
                  <w:vAlign w:val="top"/>
                </w:tcPr>
                <w:p w14:paraId="673A3F5C">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1.区域内严格控制高耗水、高污染行业发展。</w:t>
                  </w:r>
                </w:p>
                <w:p w14:paraId="15C267DE">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2.加速淘汰落后产能</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加强重点行业源头控制。</w:t>
                  </w:r>
                </w:p>
                <w:p w14:paraId="1BF6D3E3">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3.根据水资源和水环境承载能力</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以水定城、以水定地、以水定人、以水定产。</w:t>
                  </w:r>
                </w:p>
              </w:tc>
              <w:tc>
                <w:tcPr>
                  <w:tcW w:w="3486" w:type="dxa"/>
                  <w:tcBorders>
                    <w:tl2br w:val="nil"/>
                    <w:tr2bl w:val="nil"/>
                  </w:tcBorders>
                  <w:noWrap w:val="0"/>
                  <w:vAlign w:val="center"/>
                </w:tcPr>
                <w:p w14:paraId="484A516E">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cs="Times New Roman"/>
                      <w:color w:val="auto"/>
                      <w:sz w:val="21"/>
                      <w:szCs w:val="21"/>
                      <w:highlight w:val="none"/>
                      <w:lang w:val="en-US" w:eastAsia="zh-CN"/>
                    </w:rPr>
                    <w:t>项目生产不用水，不属于高耗水、高污染行业项目。</w:t>
                  </w:r>
                </w:p>
              </w:tc>
            </w:tr>
            <w:tr w14:paraId="36DC0E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46" w:type="dxa"/>
                  <w:tcBorders>
                    <w:tl2br w:val="nil"/>
                    <w:tr2bl w:val="nil"/>
                  </w:tcBorders>
                  <w:noWrap w:val="0"/>
                  <w:vAlign w:val="center"/>
                </w:tcPr>
                <w:p w14:paraId="10A1A50B">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污染物排放管控</w:t>
                  </w:r>
                </w:p>
              </w:tc>
              <w:tc>
                <w:tcPr>
                  <w:tcW w:w="4040" w:type="dxa"/>
                  <w:tcBorders>
                    <w:tl2br w:val="nil"/>
                    <w:tr2bl w:val="nil"/>
                  </w:tcBorders>
                  <w:noWrap w:val="0"/>
                  <w:vAlign w:val="top"/>
                </w:tcPr>
                <w:p w14:paraId="7EE2CC91">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1.加强重点行业源头控制</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落实企业排污许可证制度</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排污企业应确保稳定达标排放。</w:t>
                  </w:r>
                </w:p>
                <w:p w14:paraId="6DA47905">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2.新建、改建和扩建项目应当优先采用资源利用率高以及污染物产生量少的清洁生产技术、工艺和设备。</w:t>
                  </w:r>
                </w:p>
                <w:p w14:paraId="5C5091EA">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3.集中治理工业集聚区内工业废水</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区内工业废水必须经预处理达到集中处理要求后</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方可进入污水集中处理设施。新建、升级工业集聚区应同步规划和建设污水、垃圾集中处理等污染治理设施。</w:t>
                  </w:r>
                </w:p>
              </w:tc>
              <w:tc>
                <w:tcPr>
                  <w:tcW w:w="3486" w:type="dxa"/>
                  <w:tcBorders>
                    <w:tl2br w:val="nil"/>
                    <w:tr2bl w:val="nil"/>
                  </w:tcBorders>
                  <w:noWrap w:val="0"/>
                  <w:vAlign w:val="center"/>
                </w:tcPr>
                <w:p w14:paraId="35A085E9">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eastAsia" w:ascii="Times New Roman" w:hAnsi="Times New Roman" w:eastAsia="宋体" w:cs="Times New Roman"/>
                      <w:color w:val="auto"/>
                      <w:sz w:val="21"/>
                      <w:szCs w:val="21"/>
                      <w:highlight w:val="none"/>
                      <w:lang w:val="en-US" w:eastAsia="zh-CN"/>
                    </w:rPr>
                    <w:t>本项目不产生生产废水。生活污水排入防渗旱厕</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定期清掏堆肥。</w:t>
                  </w:r>
                </w:p>
              </w:tc>
            </w:tr>
            <w:tr w14:paraId="2AD39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46" w:type="dxa"/>
                  <w:tcBorders>
                    <w:tl2br w:val="nil"/>
                    <w:tr2bl w:val="nil"/>
                  </w:tcBorders>
                  <w:noWrap w:val="0"/>
                  <w:vAlign w:val="center"/>
                </w:tcPr>
                <w:p w14:paraId="0C143DEC">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环境风险防控</w:t>
                  </w:r>
                </w:p>
              </w:tc>
              <w:tc>
                <w:tcPr>
                  <w:tcW w:w="4040" w:type="dxa"/>
                  <w:tcBorders>
                    <w:tl2br w:val="nil"/>
                    <w:tr2bl w:val="nil"/>
                  </w:tcBorders>
                  <w:noWrap w:val="0"/>
                  <w:vAlign w:val="top"/>
                </w:tcPr>
                <w:p w14:paraId="3E496CCA">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排放《有毒有害水污染物名录》所列有毒有害水污染物的企业事业单位和其他生产经营者</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应当对排污口和周边环境进行监测</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评估环境风险</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排查环境安全隐患</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并公开有毒有害水污染物信息</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采取有效措施防范环境风险。</w:t>
                  </w:r>
                </w:p>
              </w:tc>
              <w:tc>
                <w:tcPr>
                  <w:tcW w:w="3486" w:type="dxa"/>
                  <w:tcBorders>
                    <w:tl2br w:val="nil"/>
                    <w:tr2bl w:val="nil"/>
                  </w:tcBorders>
                  <w:noWrap w:val="0"/>
                  <w:vAlign w:val="center"/>
                </w:tcPr>
                <w:p w14:paraId="37B63B72">
                  <w:pPr>
                    <w:keepNext w:val="0"/>
                    <w:keepLines w:val="0"/>
                    <w:pageBreakBefore w:val="0"/>
                    <w:kinsoku/>
                    <w:wordWrap/>
                    <w:overflowPunct/>
                    <w:topLinePunct w:val="0"/>
                    <w:autoSpaceDE/>
                    <w:autoSpaceDN/>
                    <w:bidi w:val="0"/>
                    <w:adjustRightInd w:val="0"/>
                    <w:snapToGrid/>
                    <w:spacing w:line="240" w:lineRule="auto"/>
                    <w:ind w:firstLine="0" w:firstLineChars="0"/>
                    <w:jc w:val="left"/>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本项目不属于重点单位</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不产生有毒废水</w:t>
                  </w:r>
                  <w:r>
                    <w:rPr>
                      <w:rFonts w:hint="eastAsia"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无</w:t>
                  </w:r>
                  <w:r>
                    <w:rPr>
                      <w:rFonts w:hint="default" w:ascii="Times New Roman" w:hAnsi="Times New Roman" w:eastAsia="宋体" w:cs="Times New Roman"/>
                      <w:color w:val="auto"/>
                      <w:sz w:val="21"/>
                      <w:szCs w:val="21"/>
                      <w:highlight w:val="none"/>
                    </w:rPr>
                    <w:t>地下储罐储存有毒有害物质</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不存在潜在污染隐患。</w:t>
                  </w:r>
                </w:p>
              </w:tc>
            </w:tr>
            <w:tr w14:paraId="12D7C5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63" w:hRule="atLeast"/>
                <w:jc w:val="center"/>
              </w:trPr>
              <w:tc>
                <w:tcPr>
                  <w:tcW w:w="946" w:type="dxa"/>
                  <w:tcBorders>
                    <w:tl2br w:val="nil"/>
                    <w:tr2bl w:val="nil"/>
                  </w:tcBorders>
                  <w:noWrap w:val="0"/>
                  <w:vAlign w:val="center"/>
                </w:tcPr>
                <w:p w14:paraId="458B1DF9">
                  <w:pPr>
                    <w:keepNext w:val="0"/>
                    <w:keepLines w:val="0"/>
                    <w:widowControl/>
                    <w:suppressLineNumbers w:val="0"/>
                    <w:jc w:val="left"/>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kern w:val="0"/>
                      <w:sz w:val="21"/>
                      <w:szCs w:val="21"/>
                      <w:lang w:val="en-US" w:eastAsia="zh-CN" w:bidi="ar"/>
                    </w:rPr>
                    <w:t>资源开发效率要求</w:t>
                  </w:r>
                </w:p>
              </w:tc>
              <w:tc>
                <w:tcPr>
                  <w:tcW w:w="4040" w:type="dxa"/>
                  <w:tcBorders>
                    <w:tl2br w:val="nil"/>
                    <w:tr2bl w:val="nil"/>
                  </w:tcBorders>
                  <w:noWrap w:val="0"/>
                  <w:vAlign w:val="top"/>
                </w:tcPr>
                <w:p w14:paraId="7ED078B3">
                  <w:pPr>
                    <w:keepNext w:val="0"/>
                    <w:keepLines w:val="0"/>
                    <w:widowControl/>
                    <w:suppressLineNumbers w:val="0"/>
                    <w:jc w:val="left"/>
                    <w:rPr>
                      <w:rFonts w:hint="default" w:ascii="Times New Roman" w:hAnsi="Times New Roman" w:eastAsia="宋体" w:cs="Times New Roman"/>
                      <w:color w:val="auto"/>
                      <w:kern w:val="0"/>
                      <w:sz w:val="21"/>
                      <w:szCs w:val="21"/>
                      <w:lang w:val="en-US" w:eastAsia="zh-CN" w:bidi="ar"/>
                    </w:rPr>
                  </w:pPr>
                  <w:r>
                    <w:rPr>
                      <w:rFonts w:hint="default" w:ascii="Times New Roman" w:hAnsi="Times New Roman" w:eastAsia="宋体" w:cs="Times New Roman"/>
                      <w:color w:val="auto"/>
                      <w:kern w:val="0"/>
                      <w:sz w:val="21"/>
                      <w:szCs w:val="21"/>
                      <w:lang w:val="en-US" w:eastAsia="zh-CN" w:bidi="ar"/>
                    </w:rPr>
                    <w:t>1.在禁燃区内</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禁止销售、燃用高污染燃料；禁止新建、扩建燃用高污染燃料的设施</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已建成的</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应当在城市人民政府规定的期限内改用天然气、页岩气、液化石油气、电或者其他清洁能源。</w:t>
                  </w:r>
                </w:p>
                <w:p w14:paraId="7472420E">
                  <w:pPr>
                    <w:keepNext w:val="0"/>
                    <w:keepLines w:val="0"/>
                    <w:widowControl/>
                    <w:suppressLineNumbers w:val="0"/>
                    <w:jc w:val="left"/>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kern w:val="0"/>
                      <w:sz w:val="21"/>
                      <w:szCs w:val="21"/>
                      <w:lang w:val="en-US" w:eastAsia="zh-CN" w:bidi="ar"/>
                    </w:rPr>
                    <w:t>2.城市建设应当统筹规划</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在燃煤供热地区</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推进热电联产和集中供热。在集中供热管网覆盖地区</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禁止新建、扩建分散燃煤供热锅炉；已建成的不能达标排放的燃煤供热锅炉</w:t>
                  </w:r>
                  <w:r>
                    <w:rPr>
                      <w:rFonts w:hint="eastAsia" w:ascii="Times New Roman" w:hAnsi="Times New Roman" w:eastAsia="宋体" w:cs="Times New Roman"/>
                      <w:color w:val="auto"/>
                      <w:kern w:val="0"/>
                      <w:sz w:val="21"/>
                      <w:szCs w:val="21"/>
                      <w:lang w:val="en-US" w:eastAsia="zh-CN" w:bidi="ar"/>
                    </w:rPr>
                    <w:t>，</w:t>
                  </w:r>
                  <w:r>
                    <w:rPr>
                      <w:rFonts w:hint="default" w:ascii="Times New Roman" w:hAnsi="Times New Roman" w:eastAsia="宋体" w:cs="Times New Roman"/>
                      <w:color w:val="auto"/>
                      <w:kern w:val="0"/>
                      <w:sz w:val="21"/>
                      <w:szCs w:val="21"/>
                      <w:lang w:val="en-US" w:eastAsia="zh-CN" w:bidi="ar"/>
                    </w:rPr>
                    <w:t>应当在城市人民政府规定的期限内拆除。</w:t>
                  </w:r>
                </w:p>
              </w:tc>
              <w:tc>
                <w:tcPr>
                  <w:tcW w:w="3486" w:type="dxa"/>
                  <w:tcBorders>
                    <w:tl2br w:val="nil"/>
                    <w:tr2bl w:val="nil"/>
                  </w:tcBorders>
                  <w:noWrap w:val="0"/>
                  <w:vAlign w:val="center"/>
                </w:tcPr>
                <w:p w14:paraId="4222BD45">
                  <w:pPr>
                    <w:keepNext w:val="0"/>
                    <w:keepLines w:val="0"/>
                    <w:pageBreakBefore w:val="0"/>
                    <w:kinsoku/>
                    <w:wordWrap/>
                    <w:overflowPunct/>
                    <w:topLinePunct w:val="0"/>
                    <w:autoSpaceDE/>
                    <w:autoSpaceDN/>
                    <w:bidi w:val="0"/>
                    <w:adjustRightInd w:val="0"/>
                    <w:snapToGrid/>
                    <w:spacing w:line="240" w:lineRule="auto"/>
                    <w:ind w:firstLine="0" w:firstLineChars="0"/>
                    <w:jc w:val="left"/>
                    <w:textAlignment w:val="baseline"/>
                    <w:rPr>
                      <w:rFonts w:hint="default" w:ascii="Times New Roman" w:hAnsi="Times New Roman" w:eastAsia="宋体" w:cs="Times New Roman"/>
                      <w:color w:val="auto"/>
                      <w:sz w:val="21"/>
                      <w:szCs w:val="21"/>
                      <w:highlight w:val="none"/>
                      <w:lang w:val="en-US" w:eastAsia="zh-CN"/>
                    </w:rPr>
                  </w:pPr>
                  <w:r>
                    <w:rPr>
                      <w:rFonts w:hint="eastAsia" w:cs="Times New Roman"/>
                      <w:color w:val="auto"/>
                      <w:sz w:val="21"/>
                      <w:szCs w:val="21"/>
                      <w:highlight w:val="none"/>
                      <w:lang w:val="en-US" w:eastAsia="zh-CN"/>
                    </w:rPr>
                    <w:t>本项目使用电能源，冬季采暖使用集中供热，符合资源开发效率要求。</w:t>
                  </w:r>
                </w:p>
              </w:tc>
            </w:tr>
            <w:tr w14:paraId="24EDBCD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47" w:hRule="atLeast"/>
                <w:jc w:val="center"/>
              </w:trPr>
              <w:tc>
                <w:tcPr>
                  <w:tcW w:w="8472" w:type="dxa"/>
                  <w:gridSpan w:val="3"/>
                  <w:tcBorders>
                    <w:tl2br w:val="nil"/>
                    <w:tr2bl w:val="nil"/>
                  </w:tcBorders>
                  <w:noWrap w:val="0"/>
                  <w:vAlign w:val="center"/>
                </w:tcPr>
                <w:p w14:paraId="7CA17E2E">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三、资源利用上线</w:t>
                  </w:r>
                </w:p>
              </w:tc>
            </w:tr>
            <w:tr w14:paraId="338B6B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946" w:type="dxa"/>
                  <w:tcBorders>
                    <w:tl2br w:val="nil"/>
                    <w:tr2bl w:val="nil"/>
                  </w:tcBorders>
                  <w:noWrap w:val="0"/>
                  <w:vAlign w:val="center"/>
                </w:tcPr>
                <w:p w14:paraId="2845670E">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管控</w:t>
                  </w:r>
                </w:p>
                <w:p w14:paraId="6D5C2259">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要求</w:t>
                  </w:r>
                </w:p>
              </w:tc>
              <w:tc>
                <w:tcPr>
                  <w:tcW w:w="7526" w:type="dxa"/>
                  <w:gridSpan w:val="2"/>
                  <w:tcBorders>
                    <w:tl2br w:val="nil"/>
                    <w:tr2bl w:val="nil"/>
                  </w:tcBorders>
                  <w:noWrap w:val="0"/>
                  <w:vAlign w:val="center"/>
                </w:tcPr>
                <w:p w14:paraId="55B0B844">
                  <w:pPr>
                    <w:keepNext w:val="0"/>
                    <w:keepLines w:val="0"/>
                    <w:pageBreakBefore w:val="0"/>
                    <w:kinsoku/>
                    <w:overflowPunct/>
                    <w:topLinePunct w:val="0"/>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1</w:t>
                  </w:r>
                  <w:r>
                    <w:rPr>
                      <w:rFonts w:hint="default" w:ascii="Times New Roman" w:hAnsi="Times New Roman" w:eastAsia="宋体" w:cs="Times New Roman"/>
                      <w:color w:val="auto"/>
                      <w:sz w:val="21"/>
                      <w:szCs w:val="21"/>
                      <w:highlight w:val="none"/>
                    </w:rPr>
                    <w:t>.水资源：</w:t>
                  </w:r>
                </w:p>
                <w:p w14:paraId="001F39BA">
                  <w:pPr>
                    <w:keepNext w:val="0"/>
                    <w:keepLines w:val="0"/>
                    <w:pageBreakBefore w:val="0"/>
                    <w:kinsoku/>
                    <w:overflowPunct/>
                    <w:topLinePunct w:val="0"/>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全市2025年</w:t>
                  </w:r>
                  <w:r>
                    <w:rPr>
                      <w:rFonts w:hint="default" w:ascii="Times New Roman" w:hAnsi="Times New Roman" w:eastAsia="宋体" w:cs="Times New Roman"/>
                      <w:color w:val="auto"/>
                      <w:sz w:val="21"/>
                      <w:szCs w:val="21"/>
                      <w:highlight w:val="none"/>
                    </w:rPr>
                    <w:t>用水总量不得超过</w:t>
                  </w:r>
                  <w:r>
                    <w:rPr>
                      <w:rFonts w:hint="default" w:ascii="Times New Roman" w:hAnsi="Times New Roman" w:eastAsia="宋体" w:cs="Times New Roman"/>
                      <w:color w:val="auto"/>
                      <w:sz w:val="21"/>
                      <w:szCs w:val="21"/>
                      <w:highlight w:val="none"/>
                      <w:lang w:val="en-US" w:eastAsia="zh-CN"/>
                    </w:rPr>
                    <w:t>15.41</w:t>
                  </w:r>
                  <w:r>
                    <w:rPr>
                      <w:rFonts w:hint="default" w:ascii="Times New Roman" w:hAnsi="Times New Roman" w:eastAsia="宋体" w:cs="Times New Roman"/>
                      <w:color w:val="auto"/>
                      <w:sz w:val="21"/>
                      <w:szCs w:val="21"/>
                      <w:highlight w:val="none"/>
                    </w:rPr>
                    <w:t>亿立方米</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2030年用水总量控制指标不高于省政府确定的指标。</w:t>
                  </w:r>
                </w:p>
                <w:p w14:paraId="35B9DEB5">
                  <w:pPr>
                    <w:keepNext w:val="0"/>
                    <w:keepLines w:val="0"/>
                    <w:pageBreakBefore w:val="0"/>
                    <w:kinsoku/>
                    <w:overflowPunct/>
                    <w:topLinePunct w:val="0"/>
                    <w:bidi w:val="0"/>
                    <w:spacing w:line="240" w:lineRule="auto"/>
                    <w:textAlignment w:val="auto"/>
                    <w:rPr>
                      <w:rFonts w:hint="eastAsia"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rPr>
                    <w:t>2.土地资源</w:t>
                  </w:r>
                  <w:r>
                    <w:rPr>
                      <w:rFonts w:hint="eastAsia" w:cs="Times New Roman"/>
                      <w:color w:val="auto"/>
                      <w:sz w:val="21"/>
                      <w:szCs w:val="21"/>
                      <w:highlight w:val="none"/>
                      <w:lang w:eastAsia="zh-CN"/>
                    </w:rPr>
                    <w:t>：</w:t>
                  </w:r>
                </w:p>
                <w:p w14:paraId="46A4236D">
                  <w:pPr>
                    <w:keepNext w:val="0"/>
                    <w:keepLines w:val="0"/>
                    <w:pageBreakBefore w:val="0"/>
                    <w:kinsoku/>
                    <w:overflowPunct/>
                    <w:topLinePunct w:val="0"/>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2025年及2035年</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全市建设用地开发上线不高于省政府确定的指标</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耕地资源保护下线不低于省政府确定的指标。</w:t>
                  </w:r>
                </w:p>
                <w:p w14:paraId="2AE6A60A">
                  <w:pPr>
                    <w:keepNext w:val="0"/>
                    <w:keepLines w:val="0"/>
                    <w:pageBreakBefore w:val="0"/>
                    <w:kinsoku/>
                    <w:overflowPunct/>
                    <w:topLinePunct w:val="0"/>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3.能源：</w:t>
                  </w:r>
                </w:p>
                <w:p w14:paraId="2DBBE25D">
                  <w:pPr>
                    <w:keepNext w:val="0"/>
                    <w:keepLines w:val="0"/>
                    <w:pageBreakBefore w:val="0"/>
                    <w:kinsoku/>
                    <w:overflowPunct/>
                    <w:topLinePunct w:val="0"/>
                    <w:bidi w:val="0"/>
                    <w:spacing w:line="240" w:lineRule="auto"/>
                    <w:textAlignment w:val="auto"/>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2025年和2035年</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全市煤炭消费上线不高于省政府确定的指标。</w:t>
                  </w:r>
                </w:p>
              </w:tc>
            </w:tr>
            <w:tr w14:paraId="73A931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635" w:hRule="atLeast"/>
                <w:jc w:val="center"/>
              </w:trPr>
              <w:tc>
                <w:tcPr>
                  <w:tcW w:w="946" w:type="dxa"/>
                  <w:tcBorders>
                    <w:tl2br w:val="nil"/>
                    <w:tr2bl w:val="nil"/>
                  </w:tcBorders>
                  <w:noWrap w:val="0"/>
                  <w:vAlign w:val="center"/>
                </w:tcPr>
                <w:p w14:paraId="4230E4B3">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符合性分析</w:t>
                  </w:r>
                </w:p>
              </w:tc>
              <w:tc>
                <w:tcPr>
                  <w:tcW w:w="7526" w:type="dxa"/>
                  <w:gridSpan w:val="2"/>
                  <w:tcBorders>
                    <w:tl2br w:val="nil"/>
                    <w:tr2bl w:val="nil"/>
                  </w:tcBorders>
                  <w:noWrap w:val="0"/>
                  <w:vAlign w:val="center"/>
                </w:tcPr>
                <w:p w14:paraId="64813982">
                  <w:pPr>
                    <w:keepNext w:val="0"/>
                    <w:keepLines w:val="0"/>
                    <w:pageBreakBefore w:val="0"/>
                    <w:kinsoku/>
                    <w:wordWrap/>
                    <w:overflowPunct/>
                    <w:topLinePunct w:val="0"/>
                    <w:autoSpaceDE/>
                    <w:autoSpaceDN/>
                    <w:bidi w:val="0"/>
                    <w:adjustRightInd w:val="0"/>
                    <w:snapToGrid/>
                    <w:spacing w:line="240" w:lineRule="auto"/>
                    <w:ind w:firstLine="0" w:firstLineChars="0"/>
                    <w:jc w:val="left"/>
                    <w:textAlignment w:val="baseline"/>
                    <w:rPr>
                      <w:rFonts w:hint="eastAsia"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rPr>
                    <w:t>本项目为</w:t>
                  </w:r>
                  <w:r>
                    <w:rPr>
                      <w:rFonts w:hint="default" w:ascii="Times New Roman" w:hAnsi="Times New Roman" w:eastAsia="宋体" w:cs="Times New Roman"/>
                      <w:color w:val="auto"/>
                      <w:sz w:val="21"/>
                      <w:szCs w:val="21"/>
                      <w:highlight w:val="none"/>
                      <w:lang w:val="en-US" w:eastAsia="zh-CN"/>
                    </w:rPr>
                    <w:t>其他专用化学产品制造</w:t>
                  </w:r>
                  <w:r>
                    <w:rPr>
                      <w:rFonts w:hint="default" w:ascii="Times New Roman" w:hAnsi="Times New Roman" w:eastAsia="宋体" w:cs="Times New Roman"/>
                      <w:color w:val="auto"/>
                      <w:sz w:val="21"/>
                      <w:szCs w:val="21"/>
                      <w:highlight w:val="none"/>
                    </w:rPr>
                    <w:t>项目</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不消耗煤炭资源</w:t>
                  </w:r>
                  <w:r>
                    <w:rPr>
                      <w:rFonts w:hint="eastAsia"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不会突破能源消耗上线。</w:t>
                  </w:r>
                  <w:r>
                    <w:rPr>
                      <w:rFonts w:hint="eastAsia" w:cs="Times New Roman"/>
                      <w:color w:val="auto"/>
                      <w:sz w:val="21"/>
                      <w:szCs w:val="21"/>
                      <w:highlight w:val="none"/>
                      <w:lang w:val="en-US" w:eastAsia="zh-CN"/>
                    </w:rPr>
                    <w:t>项目本项目所在厂区冬季采暖由市政热网提供。本项目所在区域不属于地下水超采区，本项目所在厂区的生活采用市政自来水，不使用地下水，本项目在现有厂区内建设，不新增工业用地，符合鹤岗市城市总体规划，因此本项目符合“三线一单”中鹤岗市能源利用上线、水资源利用上线和土地资源利用上线的相关要求。</w:t>
                  </w:r>
                </w:p>
              </w:tc>
            </w:tr>
            <w:tr w14:paraId="11BCBA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6" w:hRule="atLeast"/>
                <w:jc w:val="center"/>
              </w:trPr>
              <w:tc>
                <w:tcPr>
                  <w:tcW w:w="8472" w:type="dxa"/>
                  <w:gridSpan w:val="3"/>
                  <w:tcBorders>
                    <w:tl2br w:val="nil"/>
                    <w:tr2bl w:val="nil"/>
                  </w:tcBorders>
                  <w:noWrap w:val="0"/>
                  <w:vAlign w:val="center"/>
                </w:tcPr>
                <w:p w14:paraId="0496BCE8">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四、环境准入清单</w:t>
                  </w:r>
                </w:p>
              </w:tc>
            </w:tr>
            <w:tr w14:paraId="38B33F3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57" w:hRule="atLeast"/>
                <w:jc w:val="center"/>
              </w:trPr>
              <w:tc>
                <w:tcPr>
                  <w:tcW w:w="946" w:type="dxa"/>
                  <w:tcBorders>
                    <w:tl2br w:val="nil"/>
                    <w:tr2bl w:val="nil"/>
                  </w:tcBorders>
                  <w:noWrap w:val="0"/>
                  <w:vAlign w:val="center"/>
                </w:tcPr>
                <w:p w14:paraId="4C18B049">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环境管控单元名称</w:t>
                  </w:r>
                </w:p>
              </w:tc>
              <w:tc>
                <w:tcPr>
                  <w:tcW w:w="7526" w:type="dxa"/>
                  <w:gridSpan w:val="2"/>
                  <w:tcBorders>
                    <w:tl2br w:val="nil"/>
                    <w:tr2bl w:val="nil"/>
                  </w:tcBorders>
                  <w:noWrap w:val="0"/>
                  <w:vAlign w:val="center"/>
                </w:tcPr>
                <w:p w14:paraId="15633B71">
                  <w:pPr>
                    <w:keepNext w:val="0"/>
                    <w:keepLines w:val="0"/>
                    <w:widowControl/>
                    <w:suppressLineNumbers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lang w:val="en-US" w:eastAsia="zh-CN" w:bidi="ar"/>
                    </w:rPr>
                    <w:t>南山区水环境工业污染重点管控区</w:t>
                  </w:r>
                </w:p>
              </w:tc>
            </w:tr>
            <w:tr w14:paraId="5B7927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10" w:hRule="atLeast"/>
                <w:jc w:val="center"/>
              </w:trPr>
              <w:tc>
                <w:tcPr>
                  <w:tcW w:w="946" w:type="dxa"/>
                  <w:tcBorders>
                    <w:tl2br w:val="nil"/>
                    <w:tr2bl w:val="nil"/>
                  </w:tcBorders>
                  <w:noWrap w:val="0"/>
                  <w:vAlign w:val="center"/>
                </w:tcPr>
                <w:p w14:paraId="43438406">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环境管控单元编码</w:t>
                  </w:r>
                </w:p>
              </w:tc>
              <w:tc>
                <w:tcPr>
                  <w:tcW w:w="7526" w:type="dxa"/>
                  <w:gridSpan w:val="2"/>
                  <w:tcBorders>
                    <w:tl2br w:val="nil"/>
                    <w:tr2bl w:val="nil"/>
                  </w:tcBorders>
                  <w:noWrap w:val="0"/>
                  <w:vAlign w:val="center"/>
                </w:tcPr>
                <w:p w14:paraId="323F208E">
                  <w:pPr>
                    <w:keepNext w:val="0"/>
                    <w:keepLines w:val="0"/>
                    <w:widowControl/>
                    <w:suppressLineNumbers w:val="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kern w:val="0"/>
                      <w:sz w:val="21"/>
                      <w:szCs w:val="21"/>
                      <w:lang w:val="en-US" w:eastAsia="zh-CN" w:bidi="ar"/>
                    </w:rPr>
                    <w:t>ZH23040420002</w:t>
                  </w:r>
                </w:p>
              </w:tc>
            </w:tr>
            <w:tr w14:paraId="0E70B7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jc w:val="center"/>
              </w:trPr>
              <w:tc>
                <w:tcPr>
                  <w:tcW w:w="946" w:type="dxa"/>
                  <w:tcBorders>
                    <w:tl2br w:val="nil"/>
                    <w:tr2bl w:val="nil"/>
                  </w:tcBorders>
                  <w:noWrap w:val="0"/>
                  <w:vAlign w:val="center"/>
                </w:tcPr>
                <w:p w14:paraId="548017EA">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管控单元类别</w:t>
                  </w:r>
                </w:p>
              </w:tc>
              <w:tc>
                <w:tcPr>
                  <w:tcW w:w="7526" w:type="dxa"/>
                  <w:gridSpan w:val="2"/>
                  <w:tcBorders>
                    <w:tl2br w:val="nil"/>
                    <w:tr2bl w:val="nil"/>
                  </w:tcBorders>
                  <w:noWrap w:val="0"/>
                  <w:vAlign w:val="center"/>
                </w:tcPr>
                <w:p w14:paraId="3AD2A092">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重点管控单元</w:t>
                  </w:r>
                </w:p>
              </w:tc>
            </w:tr>
            <w:tr w14:paraId="0DDE24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50" w:hRule="atLeast"/>
                <w:jc w:val="center"/>
              </w:trPr>
              <w:tc>
                <w:tcPr>
                  <w:tcW w:w="4986" w:type="dxa"/>
                  <w:gridSpan w:val="2"/>
                  <w:tcBorders>
                    <w:tl2br w:val="nil"/>
                    <w:tr2bl w:val="nil"/>
                  </w:tcBorders>
                  <w:noWrap w:val="0"/>
                  <w:vAlign w:val="center"/>
                </w:tcPr>
                <w:p w14:paraId="5127B300">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管控要求</w:t>
                  </w:r>
                </w:p>
              </w:tc>
              <w:tc>
                <w:tcPr>
                  <w:tcW w:w="3486" w:type="dxa"/>
                  <w:tcBorders>
                    <w:tl2br w:val="nil"/>
                    <w:tr2bl w:val="nil"/>
                  </w:tcBorders>
                  <w:noWrap w:val="0"/>
                  <w:vAlign w:val="center"/>
                </w:tcPr>
                <w:p w14:paraId="457F3989">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项目符合性分析</w:t>
                  </w:r>
                </w:p>
              </w:tc>
            </w:tr>
            <w:tr w14:paraId="114DFF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67" w:hRule="atLeast"/>
                <w:jc w:val="center"/>
              </w:trPr>
              <w:tc>
                <w:tcPr>
                  <w:tcW w:w="946" w:type="dxa"/>
                  <w:tcBorders>
                    <w:tl2br w:val="nil"/>
                    <w:tr2bl w:val="nil"/>
                  </w:tcBorders>
                  <w:noWrap w:val="0"/>
                  <w:vAlign w:val="center"/>
                </w:tcPr>
                <w:p w14:paraId="2C479A42">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空间布局约束</w:t>
                  </w:r>
                </w:p>
              </w:tc>
              <w:tc>
                <w:tcPr>
                  <w:tcW w:w="4040" w:type="dxa"/>
                  <w:tcBorders>
                    <w:tl2br w:val="nil"/>
                    <w:tr2bl w:val="nil"/>
                  </w:tcBorders>
                  <w:noWrap w:val="0"/>
                  <w:vAlign w:val="center"/>
                </w:tcPr>
                <w:p w14:paraId="49CA187B">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rPr>
                    <w:t>一、执行下列准入要求。</w:t>
                  </w:r>
                </w:p>
                <w:p w14:paraId="42F44FD7">
                  <w:pPr>
                    <w:keepNext w:val="0"/>
                    <w:keepLines w:val="0"/>
                    <w:widowControl/>
                    <w:suppressLineNumbers w:val="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1.区域内严格控制高耗水、高污染行业发展。</w:t>
                  </w:r>
                </w:p>
                <w:p w14:paraId="51EA8C9D">
                  <w:pPr>
                    <w:keepNext w:val="0"/>
                    <w:keepLines w:val="0"/>
                    <w:widowControl/>
                    <w:suppressLineNumbers w:val="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2.优化产业结构，加快退出落后产能，大力发展战略性新兴产业。</w:t>
                  </w:r>
                </w:p>
                <w:p w14:paraId="04DEDC70">
                  <w:pPr>
                    <w:keepNext w:val="0"/>
                    <w:keepLines w:val="0"/>
                    <w:widowControl/>
                    <w:suppressLineNumbers w:val="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3.根据水资源和水环境承载能力，以水定城、以水定地、以水定人、以水定产。</w:t>
                  </w:r>
                </w:p>
                <w:p w14:paraId="73B430CB">
                  <w:pPr>
                    <w:keepNext w:val="0"/>
                    <w:keepLines w:val="0"/>
                    <w:widowControl/>
                    <w:suppressLineNumbers w:val="0"/>
                    <w:jc w:val="left"/>
                    <w:rPr>
                      <w:rFonts w:hint="default" w:ascii="Times New Roman" w:hAnsi="Times New Roman" w:eastAsia="宋体" w:cs="Times New Roman"/>
                      <w:color w:val="auto"/>
                      <w:sz w:val="21"/>
                      <w:szCs w:val="21"/>
                      <w:highlight w:val="none"/>
                    </w:rPr>
                  </w:pPr>
                  <w:r>
                    <w:rPr>
                      <w:rFonts w:hint="eastAsia" w:ascii="宋体" w:hAnsi="宋体" w:eastAsia="宋体" w:cs="宋体"/>
                      <w:color w:val="auto"/>
                      <w:kern w:val="0"/>
                      <w:sz w:val="21"/>
                      <w:szCs w:val="21"/>
                      <w:lang w:val="en-US" w:eastAsia="zh-CN" w:bidi="ar"/>
                    </w:rPr>
                    <w:t>4.严控“两高”行业产能。严格执行钢铁、水泥、平板玻璃等行业产能置换实施办法。 5.利用水泥窑协同处置城市生活垃圾、危险废弃物、电石渣等固废伴生水泥项目，必须依托现有新型干法水泥熟料生产线进行不扩产能改造。</w:t>
                  </w:r>
                </w:p>
              </w:tc>
              <w:tc>
                <w:tcPr>
                  <w:tcW w:w="3486" w:type="dxa"/>
                  <w:tcBorders>
                    <w:tl2br w:val="nil"/>
                    <w:tr2bl w:val="nil"/>
                  </w:tcBorders>
                  <w:noWrap w:val="0"/>
                  <w:vAlign w:val="center"/>
                </w:tcPr>
                <w:p w14:paraId="50F71DF9">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本项目位于本项目位于</w:t>
                  </w:r>
                  <w:r>
                    <w:rPr>
                      <w:rFonts w:hint="eastAsia" w:cs="Times New Roman"/>
                      <w:color w:val="auto"/>
                      <w:sz w:val="21"/>
                      <w:szCs w:val="21"/>
                      <w:highlight w:val="none"/>
                      <w:lang w:val="en-US" w:eastAsia="zh-CN"/>
                    </w:rPr>
                    <w:t>黑龙江省鹤岗市南山区五委十三组南山煤矿院内，</w:t>
                  </w:r>
                  <w:r>
                    <w:rPr>
                      <w:rFonts w:hint="default" w:ascii="Times New Roman" w:hAnsi="Times New Roman" w:eastAsia="宋体" w:cs="Times New Roman"/>
                      <w:color w:val="auto"/>
                      <w:sz w:val="21"/>
                      <w:szCs w:val="21"/>
                      <w:highlight w:val="none"/>
                      <w:lang w:val="en-US" w:eastAsia="zh-CN"/>
                    </w:rPr>
                    <w:t>属于其他专用化学产品制造</w:t>
                  </w:r>
                  <w:r>
                    <w:rPr>
                      <w:rFonts w:hint="eastAsia" w:ascii="Times New Roman" w:hAnsi="Times New Roman" w:eastAsia="宋体" w:cs="Times New Roman"/>
                      <w:color w:val="auto"/>
                      <w:sz w:val="21"/>
                      <w:szCs w:val="21"/>
                      <w:highlight w:val="none"/>
                      <w:lang w:val="en-US" w:eastAsia="zh-CN"/>
                    </w:rPr>
                    <w:t>项目</w:t>
                  </w:r>
                  <w:r>
                    <w:rPr>
                      <w:rFonts w:hint="eastAsia" w:ascii="Times New Roman" w:hAnsi="Times New Roman" w:cs="Times New Roman"/>
                      <w:color w:val="auto"/>
                      <w:sz w:val="21"/>
                      <w:szCs w:val="21"/>
                      <w:highlight w:val="none"/>
                      <w:lang w:val="en-US" w:eastAsia="zh-CN"/>
                    </w:rPr>
                    <w:t>，</w:t>
                  </w:r>
                  <w:r>
                    <w:rPr>
                      <w:rFonts w:hint="eastAsia" w:cs="Times New Roman"/>
                      <w:color w:val="auto"/>
                      <w:sz w:val="21"/>
                      <w:szCs w:val="21"/>
                      <w:highlight w:val="none"/>
                      <w:lang w:val="en-US" w:eastAsia="zh-CN"/>
                    </w:rPr>
                    <w:t>产品不属于危险化学品，</w:t>
                  </w:r>
                  <w:r>
                    <w:rPr>
                      <w:rFonts w:hint="default" w:ascii="Times New Roman" w:hAnsi="Times New Roman" w:eastAsia="宋体" w:cs="Times New Roman"/>
                      <w:color w:val="auto"/>
                      <w:sz w:val="21"/>
                      <w:szCs w:val="21"/>
                      <w:highlight w:val="none"/>
                      <w:lang w:val="en-US" w:eastAsia="zh-CN"/>
                    </w:rPr>
                    <w:t>不涉及危险化学品生产、畜禽养殖及有毒有害和易燃易爆物质；不属于</w:t>
                  </w:r>
                  <w:r>
                    <w:rPr>
                      <w:rFonts w:hint="default" w:ascii="Times New Roman" w:hAnsi="Times New Roman" w:eastAsia="宋体" w:cs="Times New Roman"/>
                      <w:color w:val="auto"/>
                      <w:sz w:val="21"/>
                      <w:szCs w:val="21"/>
                      <w:highlight w:val="none"/>
                    </w:rPr>
                    <w:t>钢铁、水泥、平板玻璃等行业</w:t>
                  </w:r>
                  <w:r>
                    <w:rPr>
                      <w:rFonts w:hint="default" w:ascii="Times New Roman" w:hAnsi="Times New Roman" w:eastAsia="宋体" w:cs="Times New Roman"/>
                      <w:color w:val="auto"/>
                      <w:sz w:val="21"/>
                      <w:szCs w:val="21"/>
                      <w:highlight w:val="none"/>
                      <w:lang w:eastAsia="zh-CN"/>
                    </w:rPr>
                    <w:t>；不属于</w:t>
                  </w:r>
                  <w:r>
                    <w:rPr>
                      <w:rFonts w:hint="default" w:ascii="Times New Roman" w:hAnsi="Times New Roman" w:eastAsia="宋体" w:cs="Times New Roman"/>
                      <w:color w:val="auto"/>
                      <w:sz w:val="21"/>
                      <w:szCs w:val="21"/>
                      <w:highlight w:val="none"/>
                    </w:rPr>
                    <w:t>利用水泥窑协同处置城市生活垃圾、危险废弃物、电石渣等固废伴生水泥项目</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故符合空间布局约束要求。</w:t>
                  </w:r>
                </w:p>
              </w:tc>
            </w:tr>
            <w:tr w14:paraId="04E4EA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11" w:hRule="atLeast"/>
                <w:jc w:val="center"/>
              </w:trPr>
              <w:tc>
                <w:tcPr>
                  <w:tcW w:w="946" w:type="dxa"/>
                  <w:tcBorders>
                    <w:tl2br w:val="nil"/>
                    <w:tr2bl w:val="nil"/>
                  </w:tcBorders>
                  <w:noWrap w:val="0"/>
                  <w:vAlign w:val="center"/>
                </w:tcPr>
                <w:p w14:paraId="58443669">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污染物排放管控</w:t>
                  </w:r>
                </w:p>
              </w:tc>
              <w:tc>
                <w:tcPr>
                  <w:tcW w:w="4040" w:type="dxa"/>
                  <w:tcBorders>
                    <w:tl2br w:val="nil"/>
                    <w:tr2bl w:val="nil"/>
                  </w:tcBorders>
                  <w:noWrap w:val="0"/>
                  <w:vAlign w:val="center"/>
                </w:tcPr>
                <w:p w14:paraId="212859BD">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zh-CN"/>
                    </w:rPr>
                  </w:pPr>
                  <w:r>
                    <w:rPr>
                      <w:rFonts w:hint="default" w:ascii="Times New Roman" w:hAnsi="Times New Roman" w:eastAsia="宋体" w:cs="Times New Roman"/>
                      <w:color w:val="auto"/>
                      <w:sz w:val="21"/>
                      <w:szCs w:val="21"/>
                      <w:highlight w:val="none"/>
                      <w:lang w:val="zh-CN"/>
                    </w:rPr>
                    <w:t>执行下列准入要求。</w:t>
                  </w:r>
                </w:p>
                <w:p w14:paraId="0109C527">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1.新建、改建和扩建项目应当优先采用资源利用率高以及污染物产生量少的清洁生产技术、工艺和设备。</w:t>
                  </w:r>
                </w:p>
                <w:p w14:paraId="4B14A2AB">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val="en-US" w:eastAsia="zh-CN"/>
                    </w:rPr>
                  </w:pPr>
                  <w:r>
                    <w:rPr>
                      <w:rFonts w:hint="default" w:ascii="Times New Roman" w:hAnsi="Times New Roman" w:eastAsia="宋体" w:cs="Times New Roman"/>
                      <w:color w:val="auto"/>
                      <w:sz w:val="21"/>
                      <w:szCs w:val="21"/>
                      <w:highlight w:val="none"/>
                      <w:lang w:val="en-US" w:eastAsia="zh-CN"/>
                    </w:rPr>
                    <w:t>2.集中治理工业集聚区内工业废水</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区内工业废水必须经预处理达到集中处理要求后</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方可进入污水集中处理设施。新建、升级工业集聚区应同步规划和建设污水、垃圾集中处理等污染治理设施。</w:t>
                  </w:r>
                </w:p>
                <w:p w14:paraId="6618B01C">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3.对以煤、石焦油、渣油、重油等为燃料的锅炉和工业炉窑</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加快使用清洁低碳能</w:t>
                  </w:r>
                </w:p>
                <w:p w14:paraId="08A4CD2D">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 xml:space="preserve">源以及工厂余热、电力热力等进行替代。 </w:t>
                  </w:r>
                </w:p>
                <w:p w14:paraId="7B7CB99F">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4.到2025年</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在用65蒸吨/小时以上的燃煤锅炉（含电力）实现超低排放</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钢铁企业基本实现超低排放。</w:t>
                  </w:r>
                </w:p>
              </w:tc>
              <w:tc>
                <w:tcPr>
                  <w:tcW w:w="3486" w:type="dxa"/>
                  <w:tcBorders>
                    <w:tl2br w:val="nil"/>
                    <w:tr2bl w:val="nil"/>
                  </w:tcBorders>
                  <w:noWrap w:val="0"/>
                  <w:vAlign w:val="center"/>
                </w:tcPr>
                <w:p w14:paraId="6380408A">
                  <w:pPr>
                    <w:keepNext w:val="0"/>
                    <w:keepLines w:val="0"/>
                    <w:pageBreakBefore w:val="0"/>
                    <w:kinsoku/>
                    <w:wordWrap/>
                    <w:overflowPunct/>
                    <w:topLinePunct w:val="0"/>
                    <w:autoSpaceDE/>
                    <w:autoSpaceDN/>
                    <w:bidi w:val="0"/>
                    <w:adjustRightInd w:val="0"/>
                    <w:snapToGrid/>
                    <w:spacing w:line="240" w:lineRule="auto"/>
                    <w:ind w:firstLine="0" w:firstLineChars="0"/>
                    <w:jc w:val="both"/>
                    <w:textAlignment w:val="baseline"/>
                    <w:rPr>
                      <w:rFonts w:hint="default" w:ascii="Times New Roman" w:hAnsi="Times New Roman" w:eastAsia="宋体" w:cs="Times New Roman"/>
                      <w:color w:val="auto"/>
                      <w:sz w:val="21"/>
                      <w:szCs w:val="21"/>
                      <w:highlight w:val="none"/>
                    </w:rPr>
                  </w:pPr>
                  <w:r>
                    <w:rPr>
                      <w:rFonts w:hint="eastAsia"/>
                      <w:color w:val="auto"/>
                      <w:szCs w:val="21"/>
                    </w:rPr>
                    <w:t>本项目使用电锅炉供热</w:t>
                  </w:r>
                  <w:r>
                    <w:rPr>
                      <w:rFonts w:hint="eastAsia"/>
                      <w:color w:val="auto"/>
                      <w:szCs w:val="21"/>
                      <w:lang w:eastAsia="zh-CN"/>
                    </w:rPr>
                    <w:t>，</w:t>
                  </w:r>
                  <w:r>
                    <w:rPr>
                      <w:color w:val="auto"/>
                    </w:rPr>
                    <w:t>项目</w:t>
                  </w:r>
                  <w:r>
                    <w:rPr>
                      <w:rFonts w:hint="eastAsia"/>
                      <w:color w:val="auto"/>
                    </w:rPr>
                    <w:t>原料、产品、生产设备均采取密闭措施</w:t>
                  </w:r>
                  <w:r>
                    <w:rPr>
                      <w:rFonts w:hint="eastAsia"/>
                      <w:color w:val="auto"/>
                      <w:lang w:eastAsia="zh-CN"/>
                    </w:rPr>
                    <w:t>，</w:t>
                  </w:r>
                  <w:r>
                    <w:rPr>
                      <w:rFonts w:hint="eastAsia"/>
                      <w:color w:val="auto"/>
                    </w:rPr>
                    <w:t>输送过程采取密闭措施</w:t>
                  </w:r>
                  <w:r>
                    <w:rPr>
                      <w:rFonts w:hint="eastAsia"/>
                      <w:color w:val="auto"/>
                      <w:lang w:eastAsia="zh-CN"/>
                    </w:rPr>
                    <w:t>，</w:t>
                  </w:r>
                  <w:r>
                    <w:rPr>
                      <w:rFonts w:hint="eastAsia"/>
                      <w:color w:val="auto"/>
                    </w:rPr>
                    <w:t>车间设置引风机+活性炭吸附装置</w:t>
                  </w:r>
                  <w:r>
                    <w:rPr>
                      <w:rFonts w:hint="eastAsia"/>
                      <w:color w:val="auto"/>
                      <w:lang w:eastAsia="zh-CN"/>
                    </w:rPr>
                    <w:t>，</w:t>
                  </w:r>
                  <w:r>
                    <w:rPr>
                      <w:rFonts w:hint="eastAsia"/>
                      <w:color w:val="auto"/>
                    </w:rPr>
                    <w:t>处理后经1</w:t>
                  </w:r>
                  <w:r>
                    <w:rPr>
                      <w:color w:val="auto"/>
                    </w:rPr>
                    <w:t>5</w:t>
                  </w:r>
                  <w:r>
                    <w:rPr>
                      <w:rFonts w:hint="eastAsia"/>
                      <w:color w:val="auto"/>
                    </w:rPr>
                    <w:t>m高排气筒排放</w:t>
                  </w:r>
                  <w:r>
                    <w:rPr>
                      <w:rFonts w:hint="eastAsia"/>
                      <w:color w:val="auto"/>
                      <w:lang w:eastAsia="zh-CN"/>
                    </w:rPr>
                    <w:t>，</w:t>
                  </w:r>
                  <w:r>
                    <w:rPr>
                      <w:rFonts w:hint="eastAsia"/>
                      <w:color w:val="auto"/>
                      <w:lang w:val="en-US" w:eastAsia="zh-CN"/>
                    </w:rPr>
                    <w:t>非甲烷总烃满足《大气污染物综合排放标准》（GB16297-1996）二级标准</w:t>
                  </w:r>
                  <w:r>
                    <w:rPr>
                      <w:rFonts w:hint="default" w:ascii="Times New Roman" w:hAnsi="Times New Roman" w:eastAsia="宋体" w:cs="Times New Roman"/>
                      <w:color w:val="auto"/>
                      <w:sz w:val="21"/>
                      <w:szCs w:val="21"/>
                      <w:highlight w:val="none"/>
                      <w:lang w:val="en-US" w:eastAsia="zh-CN"/>
                    </w:rPr>
                    <w:t>；</w:t>
                  </w:r>
                  <w:r>
                    <w:rPr>
                      <w:rFonts w:hint="eastAsia" w:cs="Times New Roman"/>
                      <w:color w:val="auto"/>
                      <w:sz w:val="21"/>
                      <w:szCs w:val="21"/>
                      <w:highlight w:val="none"/>
                      <w:lang w:val="en-US" w:eastAsia="zh-CN"/>
                    </w:rPr>
                    <w:t>企业不产生生产废水，</w:t>
                  </w:r>
                  <w:r>
                    <w:rPr>
                      <w:rFonts w:hint="eastAsia" w:ascii="Times New Roman" w:hAnsi="Times New Roman" w:eastAsia="宋体" w:cs="Times New Roman"/>
                      <w:color w:val="auto"/>
                      <w:sz w:val="21"/>
                      <w:szCs w:val="21"/>
                      <w:highlight w:val="none"/>
                      <w:lang w:val="en-US" w:eastAsia="zh-CN"/>
                    </w:rPr>
                    <w:t>生活污水排入防渗旱厕</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定期清掏堆肥。本项目不产生生产废水。生活污水排入防渗旱厕</w:t>
                  </w:r>
                  <w:r>
                    <w:rPr>
                      <w:rFonts w:hint="eastAsia" w:ascii="Times New Roman" w:hAnsi="Times New Roman" w:cs="Times New Roman"/>
                      <w:color w:val="auto"/>
                      <w:sz w:val="21"/>
                      <w:szCs w:val="21"/>
                      <w:highlight w:val="none"/>
                      <w:lang w:val="en-US" w:eastAsia="zh-CN"/>
                    </w:rPr>
                    <w:t>，</w:t>
                  </w:r>
                  <w:r>
                    <w:rPr>
                      <w:rFonts w:hint="eastAsia" w:ascii="Times New Roman" w:hAnsi="Times New Roman" w:eastAsia="宋体" w:cs="Times New Roman"/>
                      <w:color w:val="auto"/>
                      <w:sz w:val="21"/>
                      <w:szCs w:val="21"/>
                      <w:highlight w:val="none"/>
                      <w:lang w:val="en-US" w:eastAsia="zh-CN"/>
                    </w:rPr>
                    <w:t>定期清掏堆肥。</w:t>
                  </w:r>
                  <w:r>
                    <w:rPr>
                      <w:rFonts w:hint="default" w:ascii="Times New Roman" w:hAnsi="Times New Roman" w:eastAsia="宋体" w:cs="Times New Roman"/>
                      <w:color w:val="auto"/>
                      <w:sz w:val="21"/>
                      <w:szCs w:val="21"/>
                      <w:highlight w:val="none"/>
                    </w:rPr>
                    <w:t>故符合污染物排放管控要求。</w:t>
                  </w:r>
                </w:p>
              </w:tc>
            </w:tr>
            <w:tr w14:paraId="1000EA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66" w:hRule="atLeast"/>
                <w:jc w:val="center"/>
              </w:trPr>
              <w:tc>
                <w:tcPr>
                  <w:tcW w:w="946" w:type="dxa"/>
                  <w:tcBorders>
                    <w:tl2br w:val="nil"/>
                    <w:tr2bl w:val="nil"/>
                  </w:tcBorders>
                  <w:noWrap w:val="0"/>
                  <w:vAlign w:val="center"/>
                </w:tcPr>
                <w:p w14:paraId="7E8F4C39">
                  <w:pPr>
                    <w:keepNext w:val="0"/>
                    <w:keepLines w:val="0"/>
                    <w:pageBreakBefore w:val="0"/>
                    <w:kinsoku/>
                    <w:wordWrap/>
                    <w:overflowPunct/>
                    <w:topLinePunct w:val="0"/>
                    <w:autoSpaceDE/>
                    <w:autoSpaceDN/>
                    <w:bidi w:val="0"/>
                    <w:adjustRightInd w:val="0"/>
                    <w:snapToGrid/>
                    <w:spacing w:line="240" w:lineRule="auto"/>
                    <w:ind w:firstLine="0" w:firstLineChars="0"/>
                    <w:jc w:val="center"/>
                    <w:textAlignment w:val="baseline"/>
                    <w:rPr>
                      <w:rFonts w:hint="default" w:ascii="Times New Roman" w:hAnsi="Times New Roman" w:eastAsia="宋体" w:cs="Times New Roman"/>
                      <w:b/>
                      <w:bCs/>
                      <w:color w:val="auto"/>
                      <w:sz w:val="21"/>
                      <w:szCs w:val="21"/>
                      <w:highlight w:val="none"/>
                    </w:rPr>
                  </w:pPr>
                  <w:r>
                    <w:rPr>
                      <w:rFonts w:hint="default" w:ascii="Times New Roman" w:hAnsi="Times New Roman" w:eastAsia="宋体" w:cs="Times New Roman"/>
                      <w:b/>
                      <w:bCs/>
                      <w:color w:val="auto"/>
                      <w:sz w:val="21"/>
                      <w:szCs w:val="21"/>
                      <w:highlight w:val="none"/>
                    </w:rPr>
                    <w:t>环境风险防控</w:t>
                  </w:r>
                </w:p>
              </w:tc>
              <w:tc>
                <w:tcPr>
                  <w:tcW w:w="4040" w:type="dxa"/>
                  <w:tcBorders>
                    <w:tl2br w:val="nil"/>
                    <w:tr2bl w:val="nil"/>
                  </w:tcBorders>
                  <w:noWrap w:val="0"/>
                  <w:vAlign w:val="center"/>
                </w:tcPr>
                <w:p w14:paraId="30EEAAE8">
                  <w:pPr>
                    <w:keepNext w:val="0"/>
                    <w:keepLines w:val="0"/>
                    <w:widowControl/>
                    <w:suppressLineNumbers w:val="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1.排放《有毒有害水污染物名录》所列有毒有害水污染物的企业事业单位和其他生产经营者，应当对排污口和周边环境进行监测，评估环境风险，排查环境安全隐患，并公开有毒有害水污染物信息，采取有效措施防范环境风险。</w:t>
                  </w:r>
                </w:p>
                <w:p w14:paraId="4AAD5815">
                  <w:pPr>
                    <w:keepNext w:val="0"/>
                    <w:keepLines w:val="0"/>
                    <w:widowControl/>
                    <w:suppressLineNumbers w:val="0"/>
                    <w:jc w:val="left"/>
                    <w:rPr>
                      <w:color w:val="auto"/>
                    </w:rPr>
                  </w:pPr>
                  <w:r>
                    <w:rPr>
                      <w:rFonts w:hint="eastAsia" w:ascii="宋体" w:hAnsi="宋体" w:eastAsia="宋体" w:cs="宋体"/>
                      <w:color w:val="auto"/>
                      <w:kern w:val="0"/>
                      <w:sz w:val="21"/>
                      <w:szCs w:val="21"/>
                      <w:lang w:val="en-US" w:eastAsia="zh-CN" w:bidi="ar"/>
                    </w:rPr>
                    <w:t>2.禁止在居民区、学校、医疗和养老机构</w:t>
                  </w:r>
                </w:p>
                <w:p w14:paraId="01BCFD0A">
                  <w:pPr>
                    <w:keepNext w:val="0"/>
                    <w:keepLines w:val="0"/>
                    <w:widowControl/>
                    <w:suppressLineNumbers w:val="0"/>
                    <w:jc w:val="left"/>
                    <w:rPr>
                      <w:rFonts w:hint="default" w:ascii="Times New Roman" w:hAnsi="Times New Roman" w:eastAsia="宋体" w:cs="Times New Roman"/>
                      <w:color w:val="auto"/>
                      <w:sz w:val="21"/>
                      <w:szCs w:val="21"/>
                      <w:highlight w:val="none"/>
                    </w:rPr>
                  </w:pPr>
                  <w:r>
                    <w:rPr>
                      <w:rFonts w:hint="eastAsia" w:ascii="宋体" w:hAnsi="宋体" w:eastAsia="宋体" w:cs="宋体"/>
                      <w:color w:val="auto"/>
                      <w:kern w:val="0"/>
                      <w:sz w:val="21"/>
                      <w:szCs w:val="21"/>
                      <w:lang w:val="en-US" w:eastAsia="zh-CN" w:bidi="ar"/>
                    </w:rPr>
                    <w:t>等周边新建有色金属冶炼、焦化等行业企业。</w:t>
                  </w:r>
                </w:p>
              </w:tc>
              <w:tc>
                <w:tcPr>
                  <w:tcW w:w="3486" w:type="dxa"/>
                  <w:tcBorders>
                    <w:tl2br w:val="nil"/>
                    <w:tr2bl w:val="nil"/>
                  </w:tcBorders>
                  <w:noWrap w:val="0"/>
                  <w:vAlign w:val="center"/>
                </w:tcPr>
                <w:p w14:paraId="25B67363">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lang w:eastAsia="zh-CN"/>
                    </w:rPr>
                  </w:pPr>
                  <w:r>
                    <w:rPr>
                      <w:rFonts w:hint="default" w:ascii="Times New Roman" w:hAnsi="Times New Roman" w:eastAsia="宋体" w:cs="Times New Roman"/>
                      <w:color w:val="auto"/>
                      <w:sz w:val="21"/>
                      <w:szCs w:val="21"/>
                      <w:highlight w:val="none"/>
                      <w:lang w:val="en-US" w:eastAsia="zh-CN"/>
                    </w:rPr>
                    <w:t>本项目位于本项目位于</w:t>
                  </w:r>
                  <w:r>
                    <w:rPr>
                      <w:rFonts w:hint="eastAsia" w:cs="Times New Roman"/>
                      <w:color w:val="auto"/>
                      <w:sz w:val="21"/>
                      <w:szCs w:val="21"/>
                      <w:highlight w:val="none"/>
                      <w:lang w:val="en-US" w:eastAsia="zh-CN"/>
                    </w:rPr>
                    <w:t>黑龙江省鹤岗市南山区五委十三组南山煤矿院内，不涉及有毒有害污染物名录。</w:t>
                  </w:r>
                  <w:r>
                    <w:rPr>
                      <w:rFonts w:hint="default" w:ascii="Times New Roman" w:hAnsi="Times New Roman" w:eastAsia="宋体" w:cs="Times New Roman"/>
                      <w:color w:val="auto"/>
                      <w:sz w:val="21"/>
                      <w:szCs w:val="21"/>
                      <w:highlight w:val="none"/>
                      <w:lang w:val="en-US" w:eastAsia="zh-CN"/>
                    </w:rPr>
                    <w:t>项目厂区周围无常驻居民以及非关联企业和产业</w:t>
                  </w:r>
                  <w:r>
                    <w:rPr>
                      <w:rFonts w:hint="eastAsia"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val="en-US" w:eastAsia="zh-CN"/>
                    </w:rPr>
                    <w:t>属于其他专用化学产品制造</w:t>
                  </w:r>
                  <w:r>
                    <w:rPr>
                      <w:rFonts w:hint="eastAsia" w:ascii="Times New Roman" w:hAnsi="Times New Roman" w:eastAsia="宋体" w:cs="Times New Roman"/>
                      <w:color w:val="auto"/>
                      <w:sz w:val="21"/>
                      <w:szCs w:val="21"/>
                      <w:highlight w:val="none"/>
                      <w:lang w:val="en-US" w:eastAsia="zh-CN"/>
                    </w:rPr>
                    <w:t>项目</w:t>
                  </w:r>
                  <w:r>
                    <w:rPr>
                      <w:rFonts w:hint="eastAsia" w:ascii="Times New Roman" w:hAnsi="Times New Roman" w:cs="Times New Roman"/>
                      <w:color w:val="auto"/>
                      <w:sz w:val="21"/>
                      <w:szCs w:val="21"/>
                      <w:highlight w:val="none"/>
                      <w:lang w:val="en-US" w:eastAsia="zh-CN"/>
                    </w:rPr>
                    <w:t>，</w:t>
                  </w:r>
                  <w:r>
                    <w:rPr>
                      <w:rFonts w:hint="default" w:ascii="Times New Roman" w:hAnsi="Times New Roman" w:eastAsia="宋体" w:cs="Times New Roman"/>
                      <w:color w:val="auto"/>
                      <w:sz w:val="21"/>
                      <w:szCs w:val="21"/>
                      <w:highlight w:val="none"/>
                      <w:lang w:eastAsia="zh-CN"/>
                    </w:rPr>
                    <w:t>不属于</w:t>
                  </w:r>
                  <w:r>
                    <w:rPr>
                      <w:rFonts w:hint="default" w:ascii="Times New Roman" w:hAnsi="Times New Roman" w:eastAsia="宋体" w:cs="Times New Roman"/>
                      <w:color w:val="auto"/>
                      <w:sz w:val="21"/>
                      <w:szCs w:val="21"/>
                      <w:highlight w:val="none"/>
                    </w:rPr>
                    <w:t>有色金属冶炼、焦化等行业企业</w:t>
                  </w:r>
                  <w:r>
                    <w:rPr>
                      <w:rFonts w:hint="default" w:ascii="Times New Roman" w:hAnsi="Times New Roman" w:eastAsia="宋体" w:cs="Times New Roman"/>
                      <w:color w:val="auto"/>
                      <w:sz w:val="21"/>
                      <w:szCs w:val="21"/>
                      <w:highlight w:val="none"/>
                      <w:lang w:eastAsia="zh-CN"/>
                    </w:rPr>
                    <w:t>；</w:t>
                  </w:r>
                  <w:r>
                    <w:rPr>
                      <w:rFonts w:hint="default" w:ascii="Times New Roman" w:hAnsi="Times New Roman" w:eastAsia="宋体" w:cs="Times New Roman"/>
                      <w:color w:val="auto"/>
                      <w:sz w:val="21"/>
                      <w:szCs w:val="21"/>
                      <w:highlight w:val="none"/>
                    </w:rPr>
                    <w:t>故项目符合环境风险防控要求。</w:t>
                  </w:r>
                </w:p>
              </w:tc>
            </w:tr>
            <w:tr w14:paraId="0837E3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188" w:hRule="atLeast"/>
                <w:jc w:val="center"/>
              </w:trPr>
              <w:tc>
                <w:tcPr>
                  <w:tcW w:w="946" w:type="dxa"/>
                  <w:tcBorders>
                    <w:tl2br w:val="nil"/>
                    <w:tr2bl w:val="nil"/>
                  </w:tcBorders>
                  <w:noWrap w:val="0"/>
                  <w:vAlign w:val="center"/>
                </w:tcPr>
                <w:p w14:paraId="5BE60E4A">
                  <w:pPr>
                    <w:keepNext w:val="0"/>
                    <w:keepLines w:val="0"/>
                    <w:pageBreakBefore w:val="0"/>
                    <w:widowControl/>
                    <w:kinsoku/>
                    <w:wordWrap/>
                    <w:overflowPunct/>
                    <w:topLinePunct w:val="0"/>
                    <w:autoSpaceDE/>
                    <w:autoSpaceDN/>
                    <w:bidi w:val="0"/>
                    <w:snapToGrid/>
                    <w:spacing w:line="240" w:lineRule="auto"/>
                    <w:ind w:firstLine="0" w:firstLineChars="0"/>
                    <w:jc w:val="center"/>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b/>
                      <w:bCs/>
                      <w:color w:val="auto"/>
                      <w:sz w:val="21"/>
                      <w:szCs w:val="21"/>
                      <w:highlight w:val="none"/>
                    </w:rPr>
                    <w:t>资源利用效率要求</w:t>
                  </w:r>
                </w:p>
              </w:tc>
              <w:tc>
                <w:tcPr>
                  <w:tcW w:w="4040" w:type="dxa"/>
                  <w:tcBorders>
                    <w:tl2br w:val="nil"/>
                    <w:tr2bl w:val="nil"/>
                  </w:tcBorders>
                  <w:noWrap w:val="0"/>
                  <w:vAlign w:val="center"/>
                </w:tcPr>
                <w:p w14:paraId="6931A16F">
                  <w:pPr>
                    <w:keepNext w:val="0"/>
                    <w:keepLines w:val="0"/>
                    <w:widowControl/>
                    <w:suppressLineNumbers w:val="0"/>
                    <w:jc w:val="left"/>
                    <w:rPr>
                      <w:rFonts w:hint="eastAsia" w:ascii="宋体" w:hAnsi="宋体" w:eastAsia="宋体" w:cs="宋体"/>
                      <w:color w:val="auto"/>
                      <w:kern w:val="0"/>
                      <w:sz w:val="21"/>
                      <w:szCs w:val="21"/>
                      <w:lang w:val="en-US" w:eastAsia="zh-CN" w:bidi="ar"/>
                    </w:rPr>
                  </w:pPr>
                  <w:r>
                    <w:rPr>
                      <w:rFonts w:hint="eastAsia" w:ascii="宋体" w:hAnsi="宋体" w:eastAsia="宋体" w:cs="宋体"/>
                      <w:color w:val="auto"/>
                      <w:kern w:val="0"/>
                      <w:sz w:val="21"/>
                      <w:szCs w:val="21"/>
                      <w:lang w:val="en-US" w:eastAsia="zh-CN" w:bidi="ar"/>
                    </w:rPr>
                    <w:t>1.在禁燃区内，禁止销售、燃用高污染燃料；禁止新建、扩建燃用高污染燃料的设施，已建成的，应当在城市人民政府规定的期限内改用天然气、页岩气、液化石油气、电或者其他清洁能源。</w:t>
                  </w:r>
                </w:p>
                <w:p w14:paraId="4418A6AC">
                  <w:pPr>
                    <w:keepNext w:val="0"/>
                    <w:keepLines w:val="0"/>
                    <w:widowControl/>
                    <w:suppressLineNumbers w:val="0"/>
                    <w:jc w:val="left"/>
                    <w:rPr>
                      <w:rFonts w:hint="default" w:ascii="Times New Roman" w:hAnsi="Times New Roman" w:eastAsia="宋体" w:cs="Times New Roman"/>
                      <w:color w:val="auto"/>
                      <w:sz w:val="21"/>
                      <w:szCs w:val="21"/>
                      <w:highlight w:val="none"/>
                    </w:rPr>
                  </w:pPr>
                  <w:r>
                    <w:rPr>
                      <w:rFonts w:hint="eastAsia" w:ascii="宋体" w:hAnsi="宋体" w:eastAsia="宋体" w:cs="宋体"/>
                      <w:color w:val="auto"/>
                      <w:kern w:val="0"/>
                      <w:sz w:val="21"/>
                      <w:szCs w:val="21"/>
                      <w:lang w:val="en-US" w:eastAsia="zh-CN" w:bidi="ar"/>
                    </w:rPr>
                    <w:t>2.城市建设应当统筹规划，在燃煤供热地区，推进热电联产和集中供热。在集中供热管网覆盖地区，禁止新建、扩建分散燃煤供热锅炉；已建成的不能达标排放的燃煤供热锅炉，应当在城市人民政府规定的期限内拆除。</w:t>
                  </w:r>
                </w:p>
              </w:tc>
              <w:tc>
                <w:tcPr>
                  <w:tcW w:w="3486" w:type="dxa"/>
                  <w:tcBorders>
                    <w:tl2br w:val="nil"/>
                    <w:tr2bl w:val="nil"/>
                  </w:tcBorders>
                  <w:noWrap w:val="0"/>
                  <w:vAlign w:val="center"/>
                </w:tcPr>
                <w:p w14:paraId="766E8767">
                  <w:pPr>
                    <w:keepNext w:val="0"/>
                    <w:keepLines w:val="0"/>
                    <w:pageBreakBefore w:val="0"/>
                    <w:kinsoku/>
                    <w:wordWrap/>
                    <w:overflowPunct/>
                    <w:topLinePunct w:val="0"/>
                    <w:autoSpaceDE/>
                    <w:autoSpaceDN/>
                    <w:bidi w:val="0"/>
                    <w:adjustRightInd w:val="0"/>
                    <w:snapToGrid/>
                    <w:spacing w:line="240" w:lineRule="auto"/>
                    <w:ind w:firstLine="0" w:firstLineChars="0"/>
                    <w:textAlignment w:val="baseline"/>
                    <w:rPr>
                      <w:rFonts w:hint="default" w:ascii="Times New Roman" w:hAnsi="Times New Roman" w:eastAsia="宋体" w:cs="Times New Roman"/>
                      <w:color w:val="auto"/>
                      <w:sz w:val="21"/>
                      <w:szCs w:val="21"/>
                      <w:highlight w:val="none"/>
                    </w:rPr>
                  </w:pPr>
                  <w:r>
                    <w:rPr>
                      <w:rFonts w:hint="default" w:ascii="Times New Roman" w:hAnsi="Times New Roman" w:eastAsia="宋体" w:cs="Times New Roman"/>
                      <w:color w:val="auto"/>
                      <w:sz w:val="21"/>
                      <w:szCs w:val="21"/>
                      <w:highlight w:val="none"/>
                      <w:lang w:val="en-US" w:eastAsia="zh-CN"/>
                    </w:rPr>
                    <w:t>本项目位于本项目位于</w:t>
                  </w:r>
                  <w:r>
                    <w:rPr>
                      <w:rFonts w:hint="eastAsia" w:cs="Times New Roman"/>
                      <w:color w:val="auto"/>
                      <w:sz w:val="21"/>
                      <w:szCs w:val="21"/>
                      <w:highlight w:val="none"/>
                      <w:lang w:val="en-US" w:eastAsia="zh-CN"/>
                    </w:rPr>
                    <w:t>黑龙江省鹤岗市南山区五委十三组南山煤矿院内，</w:t>
                  </w:r>
                  <w:r>
                    <w:rPr>
                      <w:rFonts w:hint="default" w:ascii="Times New Roman" w:hAnsi="Times New Roman" w:eastAsia="宋体" w:cs="Times New Roman"/>
                      <w:color w:val="auto"/>
                      <w:sz w:val="21"/>
                      <w:szCs w:val="21"/>
                      <w:highlight w:val="none"/>
                    </w:rPr>
                    <w:t>本项目供热采用</w:t>
                  </w:r>
                  <w:r>
                    <w:rPr>
                      <w:rFonts w:hint="eastAsia" w:cs="Times New Roman"/>
                      <w:color w:val="auto"/>
                      <w:sz w:val="21"/>
                      <w:szCs w:val="21"/>
                      <w:highlight w:val="none"/>
                      <w:lang w:val="en-US" w:eastAsia="zh-CN"/>
                    </w:rPr>
                    <w:t>集中供暖</w:t>
                  </w:r>
                  <w:r>
                    <w:rPr>
                      <w:rFonts w:hint="eastAsia" w:cs="Times New Roman"/>
                      <w:color w:val="auto"/>
                      <w:sz w:val="21"/>
                      <w:szCs w:val="21"/>
                      <w:highlight w:val="none"/>
                      <w:lang w:eastAsia="zh-CN"/>
                    </w:rPr>
                    <w:t>，</w:t>
                  </w:r>
                  <w:r>
                    <w:rPr>
                      <w:rFonts w:hint="eastAsia" w:ascii="Times New Roman" w:hAnsi="Times New Roman" w:eastAsia="宋体" w:cs="Times New Roman"/>
                      <w:color w:val="auto"/>
                      <w:sz w:val="21"/>
                      <w:szCs w:val="21"/>
                      <w:highlight w:val="none"/>
                      <w:lang w:val="en-US" w:eastAsia="zh-CN"/>
                    </w:rPr>
                    <w:t>厂区生活污水</w:t>
                  </w:r>
                  <w:r>
                    <w:rPr>
                      <w:rFonts w:hint="eastAsia" w:cs="Times New Roman"/>
                      <w:color w:val="auto"/>
                      <w:sz w:val="21"/>
                      <w:szCs w:val="21"/>
                      <w:highlight w:val="none"/>
                      <w:lang w:val="en-US" w:eastAsia="zh-CN"/>
                    </w:rPr>
                    <w:t>排入防渗旱厕，</w:t>
                  </w:r>
                  <w:r>
                    <w:rPr>
                      <w:rFonts w:hint="default" w:ascii="Times New Roman" w:hAnsi="Times New Roman" w:eastAsia="宋体" w:cs="Times New Roman"/>
                      <w:color w:val="auto"/>
                      <w:sz w:val="21"/>
                      <w:szCs w:val="21"/>
                      <w:highlight w:val="none"/>
                    </w:rPr>
                    <w:t>符合资源利用效率要求。</w:t>
                  </w:r>
                </w:p>
              </w:tc>
            </w:tr>
          </w:tbl>
          <w:p w14:paraId="76FEB204">
            <w:pPr>
              <w:keepNext w:val="0"/>
              <w:keepLines w:val="0"/>
              <w:pageBreakBefore w:val="0"/>
              <w:widowControl w:val="0"/>
              <w:kinsoku/>
              <w:wordWrap/>
              <w:overflowPunct/>
              <w:topLinePunct w:val="0"/>
              <w:autoSpaceDE/>
              <w:autoSpaceDN/>
              <w:bidi w:val="0"/>
              <w:adjustRightInd/>
              <w:snapToGrid/>
              <w:spacing w:line="480" w:lineRule="exact"/>
              <w:ind w:firstLine="480" w:firstLineChars="200"/>
              <w:jc w:val="both"/>
              <w:textAlignment w:val="auto"/>
              <w:rPr>
                <w:rFonts w:hint="default" w:ascii="Times New Roman" w:hAnsi="Times New Roman" w:cs="Times New Roman"/>
                <w:i w:val="0"/>
                <w:iCs w:val="0"/>
                <w:color w:val="auto"/>
                <w:kern w:val="0"/>
                <w:sz w:val="24"/>
                <w:highlight w:val="none"/>
                <w:lang w:val="en-US" w:eastAsia="zh-CN"/>
              </w:rPr>
            </w:pPr>
            <w:r>
              <w:rPr>
                <w:rFonts w:hint="default" w:ascii="Times New Roman" w:hAnsi="Times New Roman" w:cs="Times New Roman"/>
                <w:color w:val="auto"/>
                <w:kern w:val="0"/>
                <w:sz w:val="24"/>
                <w:highlight w:val="none"/>
                <w:lang w:val="en-US" w:eastAsia="zh-CN"/>
              </w:rPr>
              <w:t>根据《</w:t>
            </w:r>
            <w:r>
              <w:rPr>
                <w:rFonts w:hint="eastAsia" w:cs="Times New Roman"/>
                <w:color w:val="auto"/>
                <w:kern w:val="0"/>
                <w:sz w:val="24"/>
                <w:highlight w:val="none"/>
                <w:lang w:val="en-US" w:eastAsia="zh-CN"/>
              </w:rPr>
              <w:t>长安工贸公司岩煤体加固材料生产项目</w:t>
            </w:r>
            <w:r>
              <w:rPr>
                <w:rFonts w:hint="default" w:ascii="Times New Roman" w:hAnsi="Times New Roman" w:cs="Times New Roman"/>
                <w:color w:val="auto"/>
                <w:kern w:val="0"/>
                <w:sz w:val="24"/>
                <w:highlight w:val="none"/>
                <w:lang w:val="en-US" w:eastAsia="zh-CN"/>
              </w:rPr>
              <w:t>生态环境分区管控分析报告》</w:t>
            </w:r>
            <w:r>
              <w:rPr>
                <w:rFonts w:hint="eastAsia" w:cs="Times New Roman"/>
                <w:color w:val="auto"/>
                <w:kern w:val="0"/>
                <w:sz w:val="24"/>
                <w:highlight w:val="none"/>
                <w:lang w:val="en-US" w:eastAsia="zh-CN"/>
              </w:rPr>
              <w:t>，</w:t>
            </w:r>
            <w:r>
              <w:rPr>
                <w:rFonts w:hint="default" w:ascii="Times New Roman" w:hAnsi="Times New Roman" w:cs="Times New Roman"/>
                <w:i w:val="0"/>
                <w:iCs w:val="0"/>
                <w:color w:val="auto"/>
                <w:kern w:val="0"/>
                <w:sz w:val="24"/>
                <w:highlight w:val="none"/>
                <w:lang w:val="en-US" w:eastAsia="zh-CN"/>
              </w:rPr>
              <w:t>本项目位置涉及</w:t>
            </w:r>
            <w:r>
              <w:rPr>
                <w:rFonts w:hint="eastAsia" w:cs="Times New Roman"/>
                <w:i w:val="0"/>
                <w:iCs w:val="0"/>
                <w:color w:val="auto"/>
                <w:kern w:val="0"/>
                <w:sz w:val="24"/>
                <w:highlight w:val="none"/>
                <w:lang w:val="en-US" w:eastAsia="zh-CN"/>
              </w:rPr>
              <w:t>鹤岗市南山区</w:t>
            </w:r>
            <w:r>
              <w:rPr>
                <w:rFonts w:hint="default" w:ascii="Times New Roman" w:hAnsi="Times New Roman" w:cs="Times New Roman"/>
                <w:i w:val="0"/>
                <w:iCs w:val="0"/>
                <w:color w:val="auto"/>
                <w:kern w:val="0"/>
                <w:sz w:val="24"/>
                <w:highlight w:val="none"/>
                <w:lang w:val="en-US" w:eastAsia="zh-CN"/>
              </w:rPr>
              <w:t>。与生态保护红线无交集。与自然保护地整合优化方案数据无交集。保护地涉及等类型。与自然保护地（现状管理数据）无交集。与饮用水水源保护区无交集。与国家级水产种质资源保护区无交集。与环境管控单元优先保护单元无交集；与一般管控单元无交集；与重点管控单元交集占项目占地面积的100.00%。</w:t>
            </w:r>
          </w:p>
          <w:p w14:paraId="09FCB104">
            <w:pPr>
              <w:keepNext w:val="0"/>
              <w:keepLines w:val="0"/>
              <w:pageBreakBefore w:val="0"/>
              <w:widowControl/>
              <w:kinsoku/>
              <w:wordWrap/>
              <w:overflowPunct/>
              <w:topLinePunct w:val="0"/>
              <w:autoSpaceDE/>
              <w:autoSpaceDN/>
              <w:bidi w:val="0"/>
              <w:adjustRightInd/>
              <w:snapToGrid/>
              <w:spacing w:line="480" w:lineRule="exact"/>
              <w:ind w:left="0" w:leftChars="0" w:firstLine="480" w:firstLineChars="200"/>
              <w:jc w:val="both"/>
              <w:textAlignment w:val="auto"/>
              <w:rPr>
                <w:rFonts w:hint="default" w:ascii="Times New Roman" w:hAnsi="Times New Roman" w:cs="Times New Roman"/>
                <w:i w:val="0"/>
                <w:iCs w:val="0"/>
                <w:color w:val="auto"/>
                <w:kern w:val="0"/>
                <w:sz w:val="24"/>
                <w:highlight w:val="none"/>
              </w:rPr>
            </w:pPr>
            <w:r>
              <w:rPr>
                <w:rFonts w:hint="default" w:ascii="Times New Roman" w:hAnsi="Times New Roman" w:cs="Times New Roman"/>
                <w:i w:val="0"/>
                <w:iCs w:val="0"/>
                <w:color w:val="auto"/>
                <w:kern w:val="0"/>
                <w:sz w:val="24"/>
                <w:highlight w:val="none"/>
              </w:rPr>
              <w:t>综上分析</w:t>
            </w:r>
            <w:r>
              <w:rPr>
                <w:rFonts w:hint="eastAsia" w:cs="Times New Roman"/>
                <w:i w:val="0"/>
                <w:iCs w:val="0"/>
                <w:color w:val="auto"/>
                <w:kern w:val="0"/>
                <w:sz w:val="24"/>
                <w:highlight w:val="none"/>
                <w:lang w:eastAsia="zh-CN"/>
              </w:rPr>
              <w:t>，</w:t>
            </w:r>
            <w:r>
              <w:rPr>
                <w:rFonts w:hint="default" w:ascii="Times New Roman" w:hAnsi="Times New Roman" w:cs="Times New Roman"/>
                <w:i w:val="0"/>
                <w:iCs w:val="0"/>
                <w:color w:val="auto"/>
                <w:kern w:val="0"/>
                <w:sz w:val="24"/>
                <w:highlight w:val="none"/>
              </w:rPr>
              <w:t>本项目符合</w:t>
            </w:r>
            <w:r>
              <w:rPr>
                <w:rFonts w:hint="default" w:ascii="Times New Roman" w:hAnsi="Times New Roman" w:cs="Times New Roman"/>
                <w:color w:val="auto"/>
                <w:kern w:val="0"/>
                <w:sz w:val="24"/>
                <w:highlight w:val="none"/>
                <w:lang w:val="en-US" w:eastAsia="zh-CN"/>
              </w:rPr>
              <w:t>《黑龙江省人民政府关于实施“三线一单”生态环境分区管控的意见》（黑政发</w:t>
            </w:r>
            <w:r>
              <w:rPr>
                <w:rFonts w:hint="default" w:ascii="Times New Roman" w:hAnsi="Times New Roman" w:cs="Times New Roman"/>
                <w:i w:val="0"/>
                <w:iCs w:val="0"/>
                <w:color w:val="auto"/>
                <w:kern w:val="0"/>
                <w:sz w:val="24"/>
                <w:highlight w:val="none"/>
              </w:rPr>
              <w:t>[</w:t>
            </w:r>
            <w:r>
              <w:rPr>
                <w:rFonts w:hint="default" w:ascii="Times New Roman" w:hAnsi="Times New Roman" w:cs="Times New Roman"/>
                <w:color w:val="auto"/>
                <w:kern w:val="0"/>
                <w:sz w:val="24"/>
                <w:highlight w:val="none"/>
                <w:lang w:val="en-US" w:eastAsia="zh-CN"/>
              </w:rPr>
              <w:t>2020</w:t>
            </w:r>
            <w:r>
              <w:rPr>
                <w:rFonts w:hint="default" w:ascii="Times New Roman" w:hAnsi="Times New Roman" w:cs="Times New Roman"/>
                <w:i w:val="0"/>
                <w:iCs w:val="0"/>
                <w:color w:val="auto"/>
                <w:kern w:val="0"/>
                <w:sz w:val="24"/>
                <w:highlight w:val="none"/>
              </w:rPr>
              <w:t>]</w:t>
            </w:r>
            <w:r>
              <w:rPr>
                <w:rFonts w:hint="default" w:ascii="Times New Roman" w:hAnsi="Times New Roman" w:cs="Times New Roman"/>
                <w:color w:val="auto"/>
                <w:kern w:val="0"/>
                <w:sz w:val="24"/>
                <w:highlight w:val="none"/>
                <w:lang w:val="en-US" w:eastAsia="zh-CN"/>
              </w:rPr>
              <w:t>14号）及《鹤岗市人民政府关于实施“三线一单”生态环境分区管控的意见》（鹤政发〔2021〕6号）</w:t>
            </w:r>
            <w:r>
              <w:rPr>
                <w:rFonts w:hint="default" w:ascii="Times New Roman" w:hAnsi="Times New Roman" w:cs="Times New Roman"/>
                <w:i w:val="0"/>
                <w:iCs w:val="0"/>
                <w:color w:val="auto"/>
                <w:kern w:val="0"/>
                <w:sz w:val="24"/>
                <w:highlight w:val="none"/>
              </w:rPr>
              <w:t>要求。</w:t>
            </w:r>
          </w:p>
          <w:p w14:paraId="0C182FC1">
            <w:pPr>
              <w:pStyle w:val="102"/>
              <w:ind w:firstLine="480"/>
              <w:rPr>
                <w:color w:val="auto"/>
              </w:rPr>
            </w:pPr>
            <w:r>
              <w:rPr>
                <w:color w:val="auto"/>
              </w:rPr>
              <w:t>2、产业政策符合性分析</w:t>
            </w:r>
          </w:p>
          <w:p w14:paraId="515991E6">
            <w:pPr>
              <w:pStyle w:val="102"/>
              <w:ind w:firstLine="480"/>
              <w:rPr>
                <w:color w:val="auto"/>
              </w:rPr>
            </w:pPr>
            <w:r>
              <w:rPr>
                <w:color w:val="auto"/>
              </w:rPr>
              <w:t>本项目</w:t>
            </w:r>
            <w:r>
              <w:rPr>
                <w:rFonts w:hint="eastAsia"/>
                <w:color w:val="auto"/>
                <w:lang w:val="en-US" w:eastAsia="zh-CN"/>
              </w:rPr>
              <w:t>属于煤矿加固煤岩体用硅酸盐改性聚氨醋材料</w:t>
            </w:r>
            <w:r>
              <w:rPr>
                <w:rFonts w:hint="eastAsia"/>
                <w:color w:val="auto"/>
                <w:lang w:eastAsia="zh-CN"/>
              </w:rPr>
              <w:t>，</w:t>
            </w:r>
            <w:r>
              <w:rPr>
                <w:color w:val="auto"/>
              </w:rPr>
              <w:t>根据《产业结构调整指导目录（20</w:t>
            </w:r>
            <w:r>
              <w:rPr>
                <w:rFonts w:hint="eastAsia"/>
                <w:color w:val="auto"/>
              </w:rPr>
              <w:t>24</w:t>
            </w:r>
            <w:r>
              <w:rPr>
                <w:color w:val="auto"/>
              </w:rPr>
              <w:t>年本）》（中华人民共和国国家发展和改革委员会令第7号）</w:t>
            </w:r>
            <w:r>
              <w:rPr>
                <w:rFonts w:hint="eastAsia"/>
                <w:color w:val="auto"/>
              </w:rPr>
              <w:t>中</w:t>
            </w:r>
            <w:r>
              <w:rPr>
                <w:color w:val="auto"/>
              </w:rPr>
              <w:t>鼓励类第</w:t>
            </w:r>
            <w:r>
              <w:rPr>
                <w:rFonts w:hint="eastAsia"/>
                <w:color w:val="auto"/>
              </w:rPr>
              <w:t>十一条“石化化工”第7项“专用化学</w:t>
            </w:r>
            <w:r>
              <w:rPr>
                <w:color w:val="auto"/>
              </w:rPr>
              <w:t>品：低VOCs含量胶粘剂</w:t>
            </w:r>
            <w:r>
              <w:rPr>
                <w:rFonts w:hint="eastAsia"/>
                <w:color w:val="auto"/>
                <w:lang w:eastAsia="zh-CN"/>
              </w:rPr>
              <w:t>，</w:t>
            </w:r>
            <w:r>
              <w:rPr>
                <w:rFonts w:hint="eastAsia"/>
                <w:color w:val="auto"/>
              </w:rPr>
              <w:t>环保型水处理剂</w:t>
            </w:r>
            <w:r>
              <w:rPr>
                <w:rFonts w:hint="eastAsia"/>
                <w:color w:val="auto"/>
                <w:lang w:eastAsia="zh-CN"/>
              </w:rPr>
              <w:t>，</w:t>
            </w:r>
            <w:r>
              <w:rPr>
                <w:rFonts w:hint="eastAsia"/>
                <w:color w:val="auto"/>
              </w:rPr>
              <w:t>新型高效、环保催化剂和助剂</w:t>
            </w:r>
            <w:r>
              <w:rPr>
                <w:rFonts w:hint="eastAsia"/>
                <w:color w:val="auto"/>
                <w:lang w:eastAsia="zh-CN"/>
              </w:rPr>
              <w:t>，</w:t>
            </w:r>
            <w:r>
              <w:rPr>
                <w:rFonts w:hint="eastAsia"/>
                <w:color w:val="auto"/>
              </w:rPr>
              <w:t>功能性膜材料</w:t>
            </w:r>
            <w:r>
              <w:rPr>
                <w:rFonts w:hint="eastAsia"/>
                <w:color w:val="auto"/>
                <w:lang w:eastAsia="zh-CN"/>
              </w:rPr>
              <w:t>，</w:t>
            </w:r>
            <w:r>
              <w:rPr>
                <w:rFonts w:hint="eastAsia"/>
                <w:color w:val="auto"/>
              </w:rPr>
              <w:t>超净高纯试剂、光刻胶、电子气体、新型显示和先进封装材料等电子化学品及关键原料的开发与生产”。本</w:t>
            </w:r>
            <w:r>
              <w:rPr>
                <w:color w:val="auto"/>
              </w:rPr>
              <w:t>项目属鼓励类项目</w:t>
            </w:r>
            <w:r>
              <w:rPr>
                <w:rFonts w:hint="eastAsia"/>
                <w:color w:val="auto"/>
                <w:lang w:eastAsia="zh-CN"/>
              </w:rPr>
              <w:t>，</w:t>
            </w:r>
            <w:r>
              <w:rPr>
                <w:color w:val="auto"/>
              </w:rPr>
              <w:t>本项目建设符合国家产业政策要求。</w:t>
            </w:r>
          </w:p>
          <w:p w14:paraId="712EA861">
            <w:pPr>
              <w:pStyle w:val="102"/>
              <w:ind w:firstLine="480"/>
              <w:rPr>
                <w:color w:val="auto"/>
              </w:rPr>
            </w:pPr>
            <w:r>
              <w:rPr>
                <w:color w:val="auto"/>
              </w:rPr>
              <w:t>3</w:t>
            </w:r>
            <w:r>
              <w:rPr>
                <w:rFonts w:hint="eastAsia"/>
                <w:color w:val="auto"/>
              </w:rPr>
              <w:t>、与《</w:t>
            </w:r>
            <w:r>
              <w:rPr>
                <w:color w:val="auto"/>
              </w:rPr>
              <w:t>黑龙江省重点行业挥发性有机物综合治理行动方案</w:t>
            </w:r>
            <w:r>
              <w:rPr>
                <w:rFonts w:hint="eastAsia"/>
                <w:color w:val="auto"/>
              </w:rPr>
              <w:t>》符合性分析</w:t>
            </w:r>
          </w:p>
          <w:p w14:paraId="2245B6CA">
            <w:pPr>
              <w:pStyle w:val="102"/>
              <w:ind w:firstLine="480"/>
              <w:rPr>
                <w:color w:val="auto"/>
              </w:rPr>
            </w:pPr>
            <w:r>
              <w:rPr>
                <w:rFonts w:hint="eastAsia"/>
                <w:color w:val="auto"/>
              </w:rPr>
              <w:t>《</w:t>
            </w:r>
            <w:r>
              <w:rPr>
                <w:color w:val="auto"/>
              </w:rPr>
              <w:t>黑龙江省重点行业挥发性有机物综合治理行动方案</w:t>
            </w:r>
            <w:r>
              <w:rPr>
                <w:rFonts w:hint="eastAsia"/>
                <w:color w:val="auto"/>
              </w:rPr>
              <w:t>》中提出：</w:t>
            </w:r>
            <w:r>
              <w:rPr>
                <w:color w:val="auto"/>
              </w:rPr>
              <w:t>全面加强无组织排放控制。重点对含VOCs物料（包括含VOCs原辅材料、含VOCs产品、含VOCs废料以及有机聚合物材料等）储存、转移和输送、设备与管线组件泄漏、敞开液面逸散以及工艺过程等五类排放源实施管控</w:t>
            </w:r>
            <w:r>
              <w:rPr>
                <w:rFonts w:hint="eastAsia"/>
                <w:color w:val="auto"/>
                <w:lang w:eastAsia="zh-CN"/>
              </w:rPr>
              <w:t>，</w:t>
            </w:r>
            <w:r>
              <w:rPr>
                <w:color w:val="auto"/>
              </w:rPr>
              <w:t>通过采取设备与场所密闭、工艺改进、废气有效收集等措施</w:t>
            </w:r>
            <w:r>
              <w:rPr>
                <w:rFonts w:hint="eastAsia"/>
                <w:color w:val="auto"/>
                <w:lang w:eastAsia="zh-CN"/>
              </w:rPr>
              <w:t>，</w:t>
            </w:r>
            <w:r>
              <w:rPr>
                <w:color w:val="auto"/>
              </w:rPr>
              <w:t>削减VOCs无组织排放。加强设备与场所密闭管理。含VOCs物料应储存于密闭容器、包装袋</w:t>
            </w:r>
            <w:r>
              <w:rPr>
                <w:rFonts w:hint="eastAsia"/>
                <w:color w:val="auto"/>
                <w:lang w:eastAsia="zh-CN"/>
              </w:rPr>
              <w:t>，</w:t>
            </w:r>
            <w:r>
              <w:rPr>
                <w:color w:val="auto"/>
              </w:rPr>
              <w:t>高效密封储罐</w:t>
            </w:r>
            <w:r>
              <w:rPr>
                <w:rFonts w:hint="eastAsia"/>
                <w:color w:val="auto"/>
                <w:lang w:eastAsia="zh-CN"/>
              </w:rPr>
              <w:t>，</w:t>
            </w:r>
            <w:r>
              <w:rPr>
                <w:color w:val="auto"/>
              </w:rPr>
              <w:t>封闭式储库、料仓等。含VOCs物料转移和输送</w:t>
            </w:r>
            <w:r>
              <w:rPr>
                <w:rFonts w:hint="eastAsia"/>
                <w:color w:val="auto"/>
                <w:lang w:eastAsia="zh-CN"/>
              </w:rPr>
              <w:t>，</w:t>
            </w:r>
            <w:r>
              <w:rPr>
                <w:color w:val="auto"/>
              </w:rPr>
              <w:t>应采用密闭管道或密闭容器、罐车等。高VOCs含量废水（废水液面上方100毫米处VOCs检测浓度超过200ppm</w:t>
            </w:r>
            <w:r>
              <w:rPr>
                <w:rFonts w:hint="eastAsia"/>
                <w:color w:val="auto"/>
                <w:lang w:eastAsia="zh-CN"/>
              </w:rPr>
              <w:t>，</w:t>
            </w:r>
            <w:r>
              <w:rPr>
                <w:color w:val="auto"/>
              </w:rPr>
              <w:t>其中</w:t>
            </w:r>
            <w:r>
              <w:rPr>
                <w:rFonts w:hint="eastAsia"/>
                <w:color w:val="auto"/>
                <w:lang w:eastAsia="zh-CN"/>
              </w:rPr>
              <w:t>，</w:t>
            </w:r>
            <w:r>
              <w:rPr>
                <w:color w:val="auto"/>
              </w:rPr>
              <w:t>重点区域超过100ppm</w:t>
            </w:r>
            <w:r>
              <w:rPr>
                <w:rFonts w:hint="eastAsia"/>
                <w:color w:val="auto"/>
                <w:lang w:eastAsia="zh-CN"/>
              </w:rPr>
              <w:t>，</w:t>
            </w:r>
            <w:r>
              <w:rPr>
                <w:color w:val="auto"/>
              </w:rPr>
              <w:t>以碳计）的集输、储存和处理过程</w:t>
            </w:r>
            <w:r>
              <w:rPr>
                <w:rFonts w:hint="eastAsia"/>
                <w:color w:val="auto"/>
                <w:lang w:eastAsia="zh-CN"/>
              </w:rPr>
              <w:t>，</w:t>
            </w:r>
            <w:r>
              <w:rPr>
                <w:color w:val="auto"/>
              </w:rPr>
              <w:t>应加盖密闭。含VOCs物料生产和使用过程</w:t>
            </w:r>
            <w:r>
              <w:rPr>
                <w:rFonts w:hint="eastAsia"/>
                <w:color w:val="auto"/>
                <w:lang w:eastAsia="zh-CN"/>
              </w:rPr>
              <w:t>，</w:t>
            </w:r>
            <w:r>
              <w:rPr>
                <w:color w:val="auto"/>
              </w:rPr>
              <w:t>应采取有效收集措施或在密闭空间中操作。</w:t>
            </w:r>
          </w:p>
          <w:p w14:paraId="6875FEE5">
            <w:pPr>
              <w:pStyle w:val="102"/>
              <w:ind w:firstLine="480"/>
              <w:rPr>
                <w:color w:val="auto"/>
              </w:rPr>
            </w:pPr>
            <w:r>
              <w:rPr>
                <w:color w:val="auto"/>
              </w:rPr>
              <w:t>本项目</w:t>
            </w:r>
            <w:r>
              <w:rPr>
                <w:rFonts w:hint="eastAsia"/>
                <w:color w:val="auto"/>
              </w:rPr>
              <w:t>原料、产品、生产设备均采取密闭措施</w:t>
            </w:r>
            <w:r>
              <w:rPr>
                <w:rFonts w:hint="eastAsia"/>
                <w:color w:val="auto"/>
                <w:lang w:eastAsia="zh-CN"/>
              </w:rPr>
              <w:t>，</w:t>
            </w:r>
            <w:r>
              <w:rPr>
                <w:rFonts w:hint="eastAsia"/>
                <w:color w:val="auto"/>
              </w:rPr>
              <w:t>输送过程采取密闭措施</w:t>
            </w:r>
            <w:r>
              <w:rPr>
                <w:rFonts w:hint="eastAsia"/>
                <w:color w:val="auto"/>
                <w:lang w:eastAsia="zh-CN"/>
              </w:rPr>
              <w:t>，</w:t>
            </w:r>
            <w:r>
              <w:rPr>
                <w:rFonts w:hint="eastAsia"/>
                <w:color w:val="auto"/>
              </w:rPr>
              <w:t>车间设置引风机+活性炭吸附装置</w:t>
            </w:r>
            <w:r>
              <w:rPr>
                <w:rFonts w:hint="eastAsia"/>
                <w:color w:val="auto"/>
                <w:lang w:eastAsia="zh-CN"/>
              </w:rPr>
              <w:t>，</w:t>
            </w:r>
            <w:r>
              <w:rPr>
                <w:rFonts w:hint="eastAsia"/>
                <w:color w:val="auto"/>
              </w:rPr>
              <w:t>处理后经1</w:t>
            </w:r>
            <w:r>
              <w:rPr>
                <w:color w:val="auto"/>
              </w:rPr>
              <w:t>5</w:t>
            </w:r>
            <w:r>
              <w:rPr>
                <w:rFonts w:hint="eastAsia"/>
                <w:color w:val="auto"/>
              </w:rPr>
              <w:t>m高排气筒排放</w:t>
            </w:r>
            <w:r>
              <w:rPr>
                <w:rFonts w:hint="eastAsia"/>
                <w:color w:val="auto"/>
                <w:lang w:eastAsia="zh-CN"/>
              </w:rPr>
              <w:t>，</w:t>
            </w:r>
            <w:r>
              <w:rPr>
                <w:color w:val="auto"/>
              </w:rPr>
              <w:t>将</w:t>
            </w:r>
            <w:r>
              <w:rPr>
                <w:rFonts w:hint="eastAsia"/>
                <w:color w:val="auto"/>
              </w:rPr>
              <w:t>V</w:t>
            </w:r>
            <w:r>
              <w:rPr>
                <w:color w:val="auto"/>
              </w:rPr>
              <w:t>OCs无组织排放</w:t>
            </w:r>
            <w:r>
              <w:rPr>
                <w:rFonts w:hint="eastAsia"/>
                <w:color w:val="auto"/>
              </w:rPr>
              <w:t>降至最低</w:t>
            </w:r>
            <w:r>
              <w:rPr>
                <w:rFonts w:hint="eastAsia"/>
                <w:color w:val="auto"/>
                <w:lang w:eastAsia="zh-CN"/>
              </w:rPr>
              <w:t>，</w:t>
            </w:r>
            <w:r>
              <w:rPr>
                <w:rFonts w:hint="eastAsia"/>
                <w:color w:val="auto"/>
              </w:rPr>
              <w:t>故本项目建设符合《</w:t>
            </w:r>
            <w:r>
              <w:rPr>
                <w:rStyle w:val="48"/>
                <w:rFonts w:hint="eastAsia"/>
                <w:b w:val="0"/>
                <w:bCs w:val="0"/>
                <w:color w:val="auto"/>
              </w:rPr>
              <w:t>重点行业挥发性有机物综合治理方案</w:t>
            </w:r>
            <w:r>
              <w:rPr>
                <w:rFonts w:hint="eastAsia"/>
                <w:color w:val="auto"/>
              </w:rPr>
              <w:t>》中的相关要求。</w:t>
            </w:r>
          </w:p>
          <w:p w14:paraId="56348B77">
            <w:pPr>
              <w:pStyle w:val="102"/>
              <w:ind w:firstLine="480"/>
              <w:rPr>
                <w:color w:val="auto"/>
              </w:rPr>
            </w:pPr>
            <w:r>
              <w:rPr>
                <w:color w:val="auto"/>
              </w:rPr>
              <w:t>4</w:t>
            </w:r>
            <w:r>
              <w:rPr>
                <w:rFonts w:hint="eastAsia"/>
                <w:color w:val="auto"/>
              </w:rPr>
              <w:t>、与</w:t>
            </w:r>
            <w:r>
              <w:rPr>
                <w:rFonts w:hint="eastAsia" w:hAnsi="宋体"/>
                <w:color w:val="auto"/>
                <w:szCs w:val="24"/>
              </w:rPr>
              <w:t>《黑龙江省大气污染防治条例》符合性分析</w:t>
            </w:r>
          </w:p>
          <w:p w14:paraId="7EF8E613">
            <w:pPr>
              <w:pStyle w:val="102"/>
              <w:ind w:firstLine="480"/>
              <w:rPr>
                <w:color w:val="auto"/>
              </w:rPr>
            </w:pPr>
            <w:r>
              <w:rPr>
                <w:rFonts w:hint="eastAsia" w:hAnsi="宋体"/>
                <w:color w:val="auto"/>
                <w:szCs w:val="24"/>
              </w:rPr>
              <w:t>《黑龙江省大气污染防治条例》中提出：</w:t>
            </w:r>
            <w:r>
              <w:rPr>
                <w:color w:val="auto"/>
              </w:rPr>
              <w:t>第三十八条企业事业单位和其他生产经营者应当在规定期限内</w:t>
            </w:r>
            <w:r>
              <w:rPr>
                <w:rFonts w:hint="eastAsia"/>
                <w:color w:val="auto"/>
                <w:lang w:eastAsia="zh-CN"/>
              </w:rPr>
              <w:t>，</w:t>
            </w:r>
            <w:r>
              <w:rPr>
                <w:color w:val="auto"/>
              </w:rPr>
              <w:t>淘汰列入国家综合性产业政策目录的严重污染大气环境的工艺、设备和产品。第三十九条 生产、进口、销售和使用含</w:t>
            </w:r>
            <w:r>
              <w:rPr>
                <w:color w:val="auto"/>
              </w:rPr>
              <w:fldChar w:fldCharType="begin"/>
            </w:r>
            <w:r>
              <w:rPr>
                <w:color w:val="auto"/>
              </w:rPr>
              <w:instrText xml:space="preserve"> HYPERLINK "https://baike.baidu.com/item/%E6%8C%A5%E5%8F%91%E6%80%A7%E6%9C%89%E6%9C%BA%E7%89%A9/10832612" \t "_blank" </w:instrText>
            </w:r>
            <w:r>
              <w:rPr>
                <w:color w:val="auto"/>
              </w:rPr>
              <w:fldChar w:fldCharType="separate"/>
            </w:r>
            <w:r>
              <w:rPr>
                <w:rStyle w:val="52"/>
                <w:color w:val="auto"/>
                <w:u w:val="none"/>
              </w:rPr>
              <w:t>挥发性有机物</w:t>
            </w:r>
            <w:r>
              <w:rPr>
                <w:rStyle w:val="52"/>
                <w:color w:val="auto"/>
                <w:u w:val="none"/>
              </w:rPr>
              <w:fldChar w:fldCharType="end"/>
            </w:r>
            <w:r>
              <w:rPr>
                <w:color w:val="auto"/>
              </w:rPr>
              <w:t>的原材料和产品的</w:t>
            </w:r>
            <w:r>
              <w:rPr>
                <w:rFonts w:hint="eastAsia"/>
                <w:color w:val="auto"/>
                <w:lang w:eastAsia="zh-CN"/>
              </w:rPr>
              <w:t>，</w:t>
            </w:r>
            <w:r>
              <w:rPr>
                <w:color w:val="auto"/>
              </w:rPr>
              <w:t>其挥发性有机物含量应当符合质量标准或者要求。鼓励生产、进口、销售和使用无挥发性有机物或者含低毒、低挥发性有机物的原材料和产品。第四十条 下列产生含挥发性有机物废气的活动</w:t>
            </w:r>
            <w:r>
              <w:rPr>
                <w:rFonts w:hint="eastAsia"/>
                <w:color w:val="auto"/>
                <w:lang w:eastAsia="zh-CN"/>
              </w:rPr>
              <w:t>，</w:t>
            </w:r>
            <w:r>
              <w:rPr>
                <w:color w:val="auto"/>
              </w:rPr>
              <w:t>应当按照国家规定在密闭空间或者设备中进行</w:t>
            </w:r>
            <w:r>
              <w:rPr>
                <w:rFonts w:hint="eastAsia"/>
                <w:color w:val="auto"/>
                <w:lang w:eastAsia="zh-CN"/>
              </w:rPr>
              <w:t>，</w:t>
            </w:r>
            <w:r>
              <w:rPr>
                <w:color w:val="auto"/>
              </w:rPr>
              <w:t>并按照规定安装、使用污染防治设施；无法密闭的</w:t>
            </w:r>
            <w:r>
              <w:rPr>
                <w:rFonts w:hint="eastAsia"/>
                <w:color w:val="auto"/>
                <w:lang w:eastAsia="zh-CN"/>
              </w:rPr>
              <w:t>，</w:t>
            </w:r>
            <w:r>
              <w:rPr>
                <w:color w:val="auto"/>
              </w:rPr>
              <w:t>应当采取措施减少废气排放：（一）煤炭加工与转化、石油化工生产；（二）燃油、溶剂的储存、运输和销售；（三）涂料、油墨、胶粘剂、农药等以挥发性有机物为原材料的生产；（四）涂装、印刷、粘合和工业清洗；（五）其他产生含挥发性有机物废气的活动。</w:t>
            </w:r>
          </w:p>
          <w:p w14:paraId="24A62381">
            <w:pPr>
              <w:pStyle w:val="102"/>
              <w:ind w:firstLine="480"/>
              <w:rPr>
                <w:rFonts w:hint="eastAsia" w:hAnsi="宋体"/>
                <w:color w:val="auto"/>
                <w:szCs w:val="24"/>
              </w:rPr>
            </w:pPr>
            <w:r>
              <w:rPr>
                <w:rFonts w:hint="eastAsia"/>
                <w:color w:val="auto"/>
              </w:rPr>
              <w:t>本项目</w:t>
            </w:r>
            <w:r>
              <w:rPr>
                <w:color w:val="auto"/>
              </w:rPr>
              <w:t>工艺、设备和产品</w:t>
            </w:r>
            <w:r>
              <w:rPr>
                <w:rFonts w:hint="eastAsia"/>
                <w:color w:val="auto"/>
              </w:rPr>
              <w:t>均符合</w:t>
            </w:r>
            <w:r>
              <w:rPr>
                <w:color w:val="auto"/>
              </w:rPr>
              <w:t>《产业结构调整指导目录(2019年本)》</w:t>
            </w:r>
            <w:r>
              <w:rPr>
                <w:rFonts w:hint="eastAsia"/>
                <w:color w:val="auto"/>
              </w:rPr>
              <w:t>（2</w:t>
            </w:r>
            <w:r>
              <w:rPr>
                <w:color w:val="auto"/>
              </w:rPr>
              <w:t>021</w:t>
            </w:r>
            <w:r>
              <w:rPr>
                <w:rFonts w:hint="eastAsia"/>
                <w:color w:val="auto"/>
              </w:rPr>
              <w:t>年修改）</w:t>
            </w:r>
            <w:r>
              <w:rPr>
                <w:rFonts w:hint="eastAsia"/>
                <w:color w:val="auto"/>
                <w:lang w:eastAsia="zh-CN"/>
              </w:rPr>
              <w:t>，</w:t>
            </w:r>
            <w:r>
              <w:rPr>
                <w:color w:val="auto"/>
              </w:rPr>
              <w:t>项目</w:t>
            </w:r>
            <w:r>
              <w:rPr>
                <w:rFonts w:hint="eastAsia"/>
                <w:color w:val="auto"/>
              </w:rPr>
              <w:t>原料、产品、生产设备均采取密闭措施</w:t>
            </w:r>
            <w:r>
              <w:rPr>
                <w:rFonts w:hint="eastAsia"/>
                <w:color w:val="auto"/>
                <w:lang w:eastAsia="zh-CN"/>
              </w:rPr>
              <w:t>，</w:t>
            </w:r>
            <w:r>
              <w:rPr>
                <w:rFonts w:hint="eastAsia"/>
                <w:color w:val="auto"/>
              </w:rPr>
              <w:t>输送过程采取密闭措施</w:t>
            </w:r>
            <w:r>
              <w:rPr>
                <w:rFonts w:hint="eastAsia"/>
                <w:color w:val="auto"/>
                <w:lang w:eastAsia="zh-CN"/>
              </w:rPr>
              <w:t>，</w:t>
            </w:r>
            <w:r>
              <w:rPr>
                <w:rFonts w:hint="eastAsia"/>
                <w:color w:val="auto"/>
              </w:rPr>
              <w:t>车间设置引风机+活性炭吸附装置</w:t>
            </w:r>
            <w:r>
              <w:rPr>
                <w:rFonts w:hint="eastAsia"/>
                <w:color w:val="auto"/>
                <w:lang w:eastAsia="zh-CN"/>
              </w:rPr>
              <w:t>，</w:t>
            </w:r>
            <w:r>
              <w:rPr>
                <w:rFonts w:hint="eastAsia"/>
                <w:color w:val="auto"/>
              </w:rPr>
              <w:t>处理后经1</w:t>
            </w:r>
            <w:r>
              <w:rPr>
                <w:color w:val="auto"/>
              </w:rPr>
              <w:t>5</w:t>
            </w:r>
            <w:r>
              <w:rPr>
                <w:rFonts w:hint="eastAsia"/>
                <w:color w:val="auto"/>
              </w:rPr>
              <w:t>m高排气筒排放</w:t>
            </w:r>
            <w:r>
              <w:rPr>
                <w:rFonts w:hint="eastAsia"/>
                <w:color w:val="auto"/>
                <w:lang w:eastAsia="zh-CN"/>
              </w:rPr>
              <w:t>，</w:t>
            </w:r>
            <w:r>
              <w:rPr>
                <w:color w:val="auto"/>
              </w:rPr>
              <w:t>将</w:t>
            </w:r>
            <w:r>
              <w:rPr>
                <w:rFonts w:hint="eastAsia"/>
                <w:color w:val="auto"/>
              </w:rPr>
              <w:t>V</w:t>
            </w:r>
            <w:r>
              <w:rPr>
                <w:color w:val="auto"/>
              </w:rPr>
              <w:t>OCs无组织排放</w:t>
            </w:r>
            <w:r>
              <w:rPr>
                <w:rFonts w:hint="eastAsia"/>
                <w:color w:val="auto"/>
              </w:rPr>
              <w:t>降至最低</w:t>
            </w:r>
            <w:r>
              <w:rPr>
                <w:rFonts w:hint="eastAsia" w:hAnsi="宋体"/>
                <w:color w:val="auto"/>
                <w:szCs w:val="24"/>
                <w:lang w:eastAsia="zh-CN"/>
              </w:rPr>
              <w:t>，</w:t>
            </w:r>
            <w:r>
              <w:rPr>
                <w:rFonts w:hint="eastAsia" w:hAnsi="宋体"/>
                <w:color w:val="auto"/>
                <w:szCs w:val="24"/>
              </w:rPr>
              <w:t>故本项目符合《黑龙江省大气污染防治条例》的要求。</w:t>
            </w:r>
          </w:p>
          <w:p w14:paraId="47080DFC">
            <w:pPr>
              <w:pStyle w:val="102"/>
              <w:ind w:firstLine="480"/>
              <w:rPr>
                <w:rFonts w:hint="eastAsia"/>
                <w:color w:val="auto"/>
                <w:sz w:val="24"/>
              </w:rPr>
            </w:pPr>
            <w:r>
              <w:rPr>
                <w:rFonts w:hint="eastAsia"/>
                <w:color w:val="auto"/>
                <w:sz w:val="24"/>
                <w:lang w:val="en-US" w:eastAsia="zh-CN"/>
              </w:rPr>
              <w:t>5、</w:t>
            </w:r>
            <w:r>
              <w:rPr>
                <w:rFonts w:hint="eastAsia"/>
                <w:color w:val="auto"/>
                <w:sz w:val="24"/>
              </w:rPr>
              <w:t>与《鹤岗市空气质量持续改善行动计划实施方案》</w:t>
            </w:r>
            <w:r>
              <w:rPr>
                <w:rFonts w:hint="eastAsia"/>
                <w:color w:val="auto"/>
                <w:sz w:val="24"/>
                <w:lang w:eastAsia="zh-CN"/>
              </w:rPr>
              <w:t>（鹤政发〔2024〕7号）</w:t>
            </w:r>
            <w:r>
              <w:rPr>
                <w:rFonts w:hint="eastAsia"/>
                <w:color w:val="auto"/>
                <w:sz w:val="24"/>
              </w:rPr>
              <w:t>符合性分析</w:t>
            </w:r>
          </w:p>
          <w:p w14:paraId="495BA9C3">
            <w:pPr>
              <w:pStyle w:val="102"/>
              <w:ind w:firstLine="480"/>
              <w:rPr>
                <w:rFonts w:hint="eastAsia"/>
                <w:color w:val="auto"/>
                <w:sz w:val="24"/>
              </w:rPr>
            </w:pPr>
            <w:r>
              <w:rPr>
                <w:rFonts w:hint="eastAsia"/>
                <w:color w:val="auto"/>
                <w:sz w:val="24"/>
              </w:rPr>
              <w:t>六、</w:t>
            </w:r>
            <w:r>
              <w:rPr>
                <w:color w:val="auto"/>
                <w:sz w:val="24"/>
              </w:rPr>
              <w:t>推动多污染物协同控制</w:t>
            </w:r>
            <w:r>
              <w:rPr>
                <w:rFonts w:hint="eastAsia"/>
                <w:color w:val="auto"/>
                <w:sz w:val="24"/>
              </w:rPr>
              <w:t>：（二十二）强化VOCs全流程、全环节综合治理。鼓励使用低泄漏的储罐呼吸阀、紧急泄压阀</w:t>
            </w:r>
            <w:r>
              <w:rPr>
                <w:rFonts w:hint="eastAsia"/>
                <w:color w:val="auto"/>
                <w:sz w:val="24"/>
                <w:lang w:eastAsia="zh-CN"/>
              </w:rPr>
              <w:t>，</w:t>
            </w:r>
            <w:r>
              <w:rPr>
                <w:rFonts w:hint="eastAsia"/>
                <w:color w:val="auto"/>
                <w:sz w:val="24"/>
              </w:rPr>
              <w:t>定期开展储罐部件密封性检测。对装载汽油、煤油等高挥发性化工产品的汽车罐车</w:t>
            </w:r>
            <w:r>
              <w:rPr>
                <w:rFonts w:hint="eastAsia"/>
                <w:color w:val="auto"/>
                <w:sz w:val="24"/>
                <w:lang w:eastAsia="zh-CN"/>
              </w:rPr>
              <w:t>，</w:t>
            </w:r>
            <w:r>
              <w:rPr>
                <w:rFonts w:hint="eastAsia"/>
                <w:color w:val="auto"/>
                <w:sz w:val="24"/>
              </w:rPr>
              <w:t>推广使用自封式快速接头。污水处理场所高浓度废气要单独收集处理；含VOCs有机废水储罐、装置区集水井（池）废气要密闭收集处理。规范开展泄漏检测与修复（LDAR）。企业开停工、检维修期间</w:t>
            </w:r>
            <w:r>
              <w:rPr>
                <w:rFonts w:hint="eastAsia"/>
                <w:color w:val="auto"/>
                <w:sz w:val="24"/>
                <w:lang w:eastAsia="zh-CN"/>
              </w:rPr>
              <w:t>，</w:t>
            </w:r>
            <w:r>
              <w:rPr>
                <w:rFonts w:hint="eastAsia"/>
                <w:color w:val="auto"/>
                <w:sz w:val="24"/>
              </w:rPr>
              <w:t>及时收集处理退料、清洗、吹扫等作业产生的VOCs废气。企业不得将火炬燃烧装置作为日常大气污染处理设施。</w:t>
            </w:r>
          </w:p>
          <w:p w14:paraId="371045CB">
            <w:pPr>
              <w:pStyle w:val="102"/>
              <w:ind w:firstLine="480"/>
              <w:rPr>
                <w:rFonts w:hint="eastAsia"/>
                <w:color w:val="auto"/>
                <w:sz w:val="24"/>
                <w:szCs w:val="24"/>
              </w:rPr>
            </w:pPr>
            <w:r>
              <w:rPr>
                <w:rFonts w:hint="eastAsia"/>
                <w:color w:val="auto"/>
                <w:sz w:val="24"/>
              </w:rPr>
              <w:t>本项目原料、产品、生产设备均采取密闭措施</w:t>
            </w:r>
            <w:r>
              <w:rPr>
                <w:rFonts w:hint="eastAsia"/>
                <w:color w:val="auto"/>
                <w:sz w:val="24"/>
                <w:lang w:eastAsia="zh-CN"/>
              </w:rPr>
              <w:t>，</w:t>
            </w:r>
            <w:r>
              <w:rPr>
                <w:rFonts w:hint="eastAsia"/>
                <w:color w:val="auto"/>
                <w:sz w:val="24"/>
              </w:rPr>
              <w:t>输送过程采取密闭措施</w:t>
            </w:r>
            <w:r>
              <w:rPr>
                <w:rFonts w:hint="eastAsia"/>
                <w:color w:val="auto"/>
                <w:sz w:val="24"/>
                <w:lang w:eastAsia="zh-CN"/>
              </w:rPr>
              <w:t>，</w:t>
            </w:r>
            <w:r>
              <w:rPr>
                <w:rFonts w:hint="eastAsia"/>
                <w:color w:val="auto"/>
                <w:sz w:val="24"/>
              </w:rPr>
              <w:t>车间设置引风机+活性炭吸附装置</w:t>
            </w:r>
            <w:r>
              <w:rPr>
                <w:rFonts w:hint="eastAsia"/>
                <w:color w:val="auto"/>
                <w:sz w:val="24"/>
                <w:lang w:eastAsia="zh-CN"/>
              </w:rPr>
              <w:t>，</w:t>
            </w:r>
            <w:r>
              <w:rPr>
                <w:rFonts w:hint="eastAsia"/>
                <w:color w:val="auto"/>
                <w:sz w:val="24"/>
              </w:rPr>
              <w:t>处理后经15m高排气筒排放</w:t>
            </w:r>
            <w:r>
              <w:rPr>
                <w:rFonts w:hint="eastAsia"/>
                <w:color w:val="auto"/>
                <w:sz w:val="24"/>
                <w:lang w:eastAsia="zh-CN"/>
              </w:rPr>
              <w:t>，</w:t>
            </w:r>
            <w:r>
              <w:rPr>
                <w:rFonts w:hint="eastAsia"/>
                <w:color w:val="auto"/>
                <w:sz w:val="24"/>
              </w:rPr>
              <w:t>将VOCs无组织排放降至最低</w:t>
            </w:r>
            <w:r>
              <w:rPr>
                <w:rFonts w:hint="eastAsia"/>
                <w:color w:val="auto"/>
                <w:sz w:val="24"/>
                <w:lang w:eastAsia="zh-CN"/>
              </w:rPr>
              <w:t>，</w:t>
            </w:r>
            <w:r>
              <w:rPr>
                <w:rFonts w:hint="eastAsia"/>
                <w:color w:val="auto"/>
                <w:sz w:val="24"/>
              </w:rPr>
              <w:t>故本项目建设符合《鹤岗市空气质量持续改善行动计划实施方案》</w:t>
            </w:r>
            <w:r>
              <w:rPr>
                <w:rFonts w:hint="eastAsia"/>
                <w:color w:val="auto"/>
                <w:sz w:val="24"/>
                <w:szCs w:val="24"/>
              </w:rPr>
              <w:t>中的相关要求。</w:t>
            </w:r>
          </w:p>
          <w:p w14:paraId="2917E652">
            <w:pPr>
              <w:pStyle w:val="102"/>
              <w:ind w:firstLine="480"/>
              <w:rPr>
                <w:rFonts w:hint="eastAsia" w:eastAsia="宋体"/>
                <w:b w:val="0"/>
                <w:bCs/>
                <w:color w:val="auto"/>
                <w:kern w:val="21"/>
                <w:sz w:val="24"/>
                <w:szCs w:val="24"/>
                <w:lang w:bidi="ar"/>
              </w:rPr>
            </w:pPr>
            <w:r>
              <w:rPr>
                <w:rFonts w:hint="eastAsia" w:eastAsia="宋体"/>
                <w:b w:val="0"/>
                <w:bCs/>
                <w:color w:val="auto"/>
                <w:kern w:val="21"/>
                <w:sz w:val="24"/>
                <w:szCs w:val="24"/>
                <w:lang w:val="en-US" w:eastAsia="zh-CN" w:bidi="ar"/>
              </w:rPr>
              <w:t>6、</w:t>
            </w:r>
            <w:r>
              <w:rPr>
                <w:rFonts w:hint="eastAsia" w:eastAsia="宋体"/>
                <w:b w:val="0"/>
                <w:bCs/>
                <w:color w:val="auto"/>
                <w:kern w:val="21"/>
                <w:sz w:val="24"/>
                <w:szCs w:val="24"/>
                <w:lang w:bidi="ar"/>
              </w:rPr>
              <w:t>与《</w:t>
            </w:r>
            <w:r>
              <w:rPr>
                <w:rFonts w:hint="eastAsia" w:eastAsia="宋体"/>
                <w:b w:val="0"/>
                <w:bCs/>
                <w:color w:val="auto"/>
                <w:kern w:val="21"/>
                <w:sz w:val="24"/>
                <w:szCs w:val="24"/>
                <w:lang w:eastAsia="zh-CN" w:bidi="ar"/>
              </w:rPr>
              <w:t>鹤岗市</w:t>
            </w:r>
            <w:r>
              <w:rPr>
                <w:rFonts w:hint="eastAsia" w:eastAsia="宋体"/>
                <w:b w:val="0"/>
                <w:bCs/>
                <w:color w:val="auto"/>
                <w:kern w:val="21"/>
                <w:sz w:val="24"/>
                <w:szCs w:val="24"/>
                <w:lang w:bidi="ar"/>
              </w:rPr>
              <w:t>“十四五”生态环境保护规划》</w:t>
            </w:r>
            <w:r>
              <w:rPr>
                <w:rFonts w:hint="eastAsia" w:eastAsia="宋体"/>
                <w:b w:val="0"/>
                <w:bCs/>
                <w:color w:val="auto"/>
                <w:kern w:val="21"/>
                <w:sz w:val="24"/>
                <w:szCs w:val="24"/>
                <w:lang w:eastAsia="zh-CN" w:bidi="ar"/>
              </w:rPr>
              <w:t>（鹤政规〔2022〕8号）</w:t>
            </w:r>
            <w:r>
              <w:rPr>
                <w:rFonts w:hint="eastAsia" w:eastAsia="宋体"/>
                <w:b w:val="0"/>
                <w:bCs/>
                <w:color w:val="auto"/>
                <w:kern w:val="21"/>
                <w:sz w:val="24"/>
                <w:szCs w:val="24"/>
                <w:lang w:bidi="ar"/>
              </w:rPr>
              <w:t>符合性分析</w:t>
            </w:r>
          </w:p>
          <w:p w14:paraId="614EBFD1">
            <w:pPr>
              <w:pStyle w:val="102"/>
              <w:ind w:firstLine="480"/>
              <w:rPr>
                <w:rFonts w:hint="default" w:ascii="Times New Roman" w:hAnsi="Times New Roman" w:eastAsia="宋体" w:cs="Times New Roman"/>
                <w:color w:val="auto"/>
                <w:sz w:val="24"/>
                <w:szCs w:val="24"/>
                <w:lang w:val="en-US" w:eastAsia="zh-CN"/>
              </w:rPr>
            </w:pPr>
            <w:r>
              <w:rPr>
                <w:rFonts w:hint="eastAsia"/>
                <w:color w:val="auto"/>
                <w:kern w:val="21"/>
                <w:sz w:val="24"/>
                <w:szCs w:val="24"/>
                <w:lang w:bidi="ar"/>
              </w:rPr>
              <w:t>根据《</w:t>
            </w:r>
            <w:r>
              <w:rPr>
                <w:rFonts w:hint="eastAsia"/>
                <w:color w:val="auto"/>
                <w:kern w:val="21"/>
                <w:sz w:val="24"/>
                <w:szCs w:val="24"/>
                <w:lang w:eastAsia="zh-CN" w:bidi="ar"/>
              </w:rPr>
              <w:t>鹤岗市</w:t>
            </w:r>
            <w:r>
              <w:rPr>
                <w:rFonts w:hint="eastAsia"/>
                <w:color w:val="auto"/>
                <w:kern w:val="21"/>
                <w:sz w:val="24"/>
                <w:szCs w:val="24"/>
                <w:lang w:bidi="ar"/>
              </w:rPr>
              <w:t>“十四五”生态环境保护规划》</w:t>
            </w:r>
            <w:r>
              <w:rPr>
                <w:rFonts w:hint="eastAsia"/>
                <w:color w:val="auto"/>
                <w:kern w:val="21"/>
                <w:sz w:val="24"/>
                <w:szCs w:val="24"/>
                <w:lang w:eastAsia="zh-CN" w:bidi="ar"/>
              </w:rPr>
              <w:t>，</w:t>
            </w:r>
            <w:r>
              <w:rPr>
                <w:rFonts w:hint="eastAsia"/>
                <w:color w:val="auto"/>
                <w:kern w:val="21"/>
                <w:sz w:val="24"/>
                <w:szCs w:val="24"/>
                <w:lang w:bidi="ar"/>
              </w:rPr>
              <w:t>“三、主要任务：</w:t>
            </w:r>
            <w:r>
              <w:rPr>
                <w:rFonts w:hint="eastAsia"/>
                <w:color w:val="auto"/>
                <w:kern w:val="21"/>
                <w:sz w:val="24"/>
                <w:szCs w:val="24"/>
                <w:lang w:val="en-US" w:eastAsia="zh-CN" w:bidi="ar"/>
              </w:rPr>
              <w:t>（三）持续改善大气环境质量。</w:t>
            </w:r>
            <w:r>
              <w:rPr>
                <w:rFonts w:hint="default" w:ascii="Times New Roman" w:hAnsi="Times New Roman" w:eastAsia="宋体" w:cs="Times New Roman"/>
                <w:color w:val="auto"/>
                <w:sz w:val="24"/>
                <w:szCs w:val="24"/>
                <w:lang w:val="en-US" w:eastAsia="zh-CN"/>
              </w:rPr>
              <w:t>开展VOCs（挥发性有机物）全过程综合整治。持续开展化工、包装印刷、工业涂装等重点行业VOCs全过程综合整治。提高VOCs含量低（无）的绿色原辅材料替代比例</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开展原油、成品油、有机化学品等涉VOCs物质储罐排查</w:t>
            </w:r>
            <w:r>
              <w:rPr>
                <w:rFonts w:hint="eastAsia" w:cs="Times New Roman"/>
                <w:color w:val="auto"/>
                <w:sz w:val="24"/>
                <w:szCs w:val="24"/>
                <w:lang w:val="en-US" w:eastAsia="zh-CN"/>
              </w:rPr>
              <w:t>，</w:t>
            </w:r>
            <w:r>
              <w:rPr>
                <w:rFonts w:hint="default" w:ascii="Times New Roman" w:hAnsi="Times New Roman" w:eastAsia="宋体" w:cs="Times New Roman"/>
                <w:color w:val="auto"/>
                <w:sz w:val="24"/>
                <w:szCs w:val="24"/>
                <w:lang w:val="en-US" w:eastAsia="zh-CN"/>
              </w:rPr>
              <w:t>按规定逐步取消炼油、煤化工、制药、农药、化工、工业涂装、包装印刷等企业非必要VOCs废气排放系统旁路。加强汽修、餐饮等行业VOCs综合治理。</w:t>
            </w:r>
          </w:p>
          <w:p w14:paraId="0C5494CA">
            <w:pPr>
              <w:pStyle w:val="102"/>
              <w:ind w:firstLine="480"/>
              <w:rPr>
                <w:rFonts w:hint="eastAsia"/>
                <w:color w:val="auto"/>
                <w:kern w:val="21"/>
                <w:sz w:val="24"/>
                <w:lang w:bidi="ar"/>
              </w:rPr>
            </w:pPr>
            <w:r>
              <w:rPr>
                <w:rFonts w:hint="eastAsia"/>
                <w:color w:val="auto"/>
                <w:sz w:val="24"/>
              </w:rPr>
              <w:t>本项目原料、产品、生产设备均采取密闭措施</w:t>
            </w:r>
            <w:r>
              <w:rPr>
                <w:rFonts w:hint="eastAsia"/>
                <w:color w:val="auto"/>
                <w:sz w:val="24"/>
                <w:lang w:eastAsia="zh-CN"/>
              </w:rPr>
              <w:t>，</w:t>
            </w:r>
            <w:r>
              <w:rPr>
                <w:rFonts w:hint="eastAsia"/>
                <w:color w:val="auto"/>
                <w:sz w:val="24"/>
              </w:rPr>
              <w:t>输送过程采取密闭措施</w:t>
            </w:r>
            <w:r>
              <w:rPr>
                <w:rFonts w:hint="eastAsia"/>
                <w:color w:val="auto"/>
                <w:sz w:val="24"/>
                <w:lang w:eastAsia="zh-CN"/>
              </w:rPr>
              <w:t>，</w:t>
            </w:r>
            <w:r>
              <w:rPr>
                <w:rFonts w:hint="eastAsia"/>
                <w:color w:val="auto"/>
                <w:sz w:val="24"/>
              </w:rPr>
              <w:t>车间设置引风机+活性炭吸附装置</w:t>
            </w:r>
            <w:r>
              <w:rPr>
                <w:rFonts w:hint="eastAsia"/>
                <w:color w:val="auto"/>
                <w:sz w:val="24"/>
                <w:lang w:eastAsia="zh-CN"/>
              </w:rPr>
              <w:t>，</w:t>
            </w:r>
            <w:r>
              <w:rPr>
                <w:rFonts w:hint="eastAsia"/>
                <w:color w:val="auto"/>
                <w:sz w:val="24"/>
              </w:rPr>
              <w:t>处理后经15m高排气筒排放</w:t>
            </w:r>
            <w:r>
              <w:rPr>
                <w:rFonts w:hint="eastAsia"/>
                <w:color w:val="auto"/>
                <w:sz w:val="24"/>
                <w:lang w:eastAsia="zh-CN"/>
              </w:rPr>
              <w:t>，</w:t>
            </w:r>
            <w:r>
              <w:rPr>
                <w:rFonts w:hint="eastAsia"/>
                <w:color w:val="auto"/>
                <w:sz w:val="24"/>
              </w:rPr>
              <w:t>将VOCs无组织排放降至最低</w:t>
            </w:r>
            <w:r>
              <w:rPr>
                <w:rFonts w:hint="eastAsia"/>
                <w:color w:val="auto"/>
                <w:sz w:val="24"/>
                <w:lang w:eastAsia="zh-CN"/>
              </w:rPr>
              <w:t>，</w:t>
            </w:r>
            <w:r>
              <w:rPr>
                <w:rFonts w:hint="eastAsia"/>
                <w:color w:val="auto"/>
                <w:sz w:val="24"/>
              </w:rPr>
              <w:t>故本项目建设符合</w:t>
            </w:r>
            <w:r>
              <w:rPr>
                <w:rFonts w:hint="eastAsia"/>
                <w:color w:val="auto"/>
                <w:kern w:val="21"/>
                <w:sz w:val="24"/>
                <w:lang w:bidi="ar"/>
              </w:rPr>
              <w:t>《</w:t>
            </w:r>
            <w:r>
              <w:rPr>
                <w:rFonts w:hint="eastAsia"/>
                <w:color w:val="auto"/>
                <w:kern w:val="21"/>
                <w:sz w:val="24"/>
                <w:lang w:eastAsia="zh-CN" w:bidi="ar"/>
              </w:rPr>
              <w:t>鹤岗市</w:t>
            </w:r>
            <w:r>
              <w:rPr>
                <w:rFonts w:hint="eastAsia"/>
                <w:color w:val="auto"/>
                <w:kern w:val="21"/>
                <w:sz w:val="24"/>
                <w:lang w:bidi="ar"/>
              </w:rPr>
              <w:t>“十四五”生态环境保护规划》要求。</w:t>
            </w:r>
          </w:p>
          <w:p w14:paraId="0A1A3818">
            <w:pPr>
              <w:spacing w:line="440" w:lineRule="exact"/>
              <w:ind w:firstLine="480" w:firstLineChars="200"/>
              <w:rPr>
                <w:color w:val="auto"/>
                <w:sz w:val="24"/>
              </w:rPr>
            </w:pPr>
            <w:r>
              <w:rPr>
                <w:rFonts w:hint="eastAsia"/>
                <w:color w:val="auto"/>
                <w:sz w:val="24"/>
                <w:lang w:val="en-US" w:eastAsia="zh-CN"/>
              </w:rPr>
              <w:t>7、</w:t>
            </w:r>
            <w:r>
              <w:rPr>
                <w:color w:val="auto"/>
                <w:sz w:val="24"/>
              </w:rPr>
              <w:t>《挥发性有机物（VOCs）污染防治技术政策》符合性分析</w:t>
            </w:r>
          </w:p>
          <w:p w14:paraId="5AA115EC">
            <w:pPr>
              <w:spacing w:line="440" w:lineRule="exact"/>
              <w:ind w:firstLine="480" w:firstLineChars="200"/>
              <w:rPr>
                <w:color w:val="auto"/>
                <w:sz w:val="24"/>
              </w:rPr>
            </w:pPr>
            <w:r>
              <w:rPr>
                <w:color w:val="auto"/>
                <w:sz w:val="24"/>
              </w:rPr>
              <w:t>二、源头和过程控制（六）在石油炼制与石油化工行业</w:t>
            </w:r>
            <w:r>
              <w:rPr>
                <w:rFonts w:hint="eastAsia"/>
                <w:color w:val="auto"/>
                <w:sz w:val="24"/>
                <w:lang w:eastAsia="zh-CN"/>
              </w:rPr>
              <w:t>，</w:t>
            </w:r>
            <w:r>
              <w:rPr>
                <w:color w:val="auto"/>
                <w:sz w:val="24"/>
              </w:rPr>
              <w:t>鼓励采用先进的清洁生产技术</w:t>
            </w:r>
            <w:r>
              <w:rPr>
                <w:rFonts w:hint="eastAsia"/>
                <w:color w:val="auto"/>
                <w:sz w:val="24"/>
                <w:lang w:eastAsia="zh-CN"/>
              </w:rPr>
              <w:t>，</w:t>
            </w:r>
            <w:r>
              <w:rPr>
                <w:color w:val="auto"/>
                <w:sz w:val="24"/>
              </w:rPr>
              <w:t>提高原油的转化和利用效率。对于设备与管线组件、工艺排气、废气燃烧塔（火炬）、废水处理等过程产生的含VOCs废气污染防治技术措施包括：1.对泵、压缩机、阀门、法兰等易发生泄漏的设备与管线组件</w:t>
            </w:r>
            <w:r>
              <w:rPr>
                <w:rFonts w:hint="eastAsia"/>
                <w:color w:val="auto"/>
                <w:sz w:val="24"/>
                <w:lang w:eastAsia="zh-CN"/>
              </w:rPr>
              <w:t>，</w:t>
            </w:r>
            <w:r>
              <w:rPr>
                <w:color w:val="auto"/>
                <w:sz w:val="24"/>
              </w:rPr>
              <w:t>制定泄漏检测与修复（LDAR）计划</w:t>
            </w:r>
            <w:r>
              <w:rPr>
                <w:rFonts w:hint="eastAsia"/>
                <w:color w:val="auto"/>
                <w:sz w:val="24"/>
                <w:lang w:eastAsia="zh-CN"/>
              </w:rPr>
              <w:t>，</w:t>
            </w:r>
            <w:r>
              <w:rPr>
                <w:color w:val="auto"/>
                <w:sz w:val="24"/>
              </w:rPr>
              <w:t>定期检测、及时修复</w:t>
            </w:r>
            <w:r>
              <w:rPr>
                <w:rFonts w:hint="eastAsia"/>
                <w:color w:val="auto"/>
                <w:sz w:val="24"/>
                <w:lang w:eastAsia="zh-CN"/>
              </w:rPr>
              <w:t>，</w:t>
            </w:r>
            <w:r>
              <w:rPr>
                <w:color w:val="auto"/>
                <w:sz w:val="24"/>
              </w:rPr>
              <w:t>防止或减少跑、冒、滴、漏现象；2.对生产装置排放的含VOCs工艺排气宜优先回收利用</w:t>
            </w:r>
            <w:r>
              <w:rPr>
                <w:rFonts w:hint="eastAsia"/>
                <w:color w:val="auto"/>
                <w:sz w:val="24"/>
                <w:lang w:eastAsia="zh-CN"/>
              </w:rPr>
              <w:t>，</w:t>
            </w:r>
            <w:r>
              <w:rPr>
                <w:color w:val="auto"/>
                <w:sz w:val="24"/>
              </w:rPr>
              <w:t>不能（或不能完全）回收利用的经处理后达标排放；应急情况下的泄放气可导入燃烧塔（火炬）</w:t>
            </w:r>
            <w:r>
              <w:rPr>
                <w:rFonts w:hint="eastAsia"/>
                <w:color w:val="auto"/>
                <w:sz w:val="24"/>
                <w:lang w:eastAsia="zh-CN"/>
              </w:rPr>
              <w:t>，</w:t>
            </w:r>
            <w:r>
              <w:rPr>
                <w:color w:val="auto"/>
                <w:sz w:val="24"/>
              </w:rPr>
              <w:t>经过充分燃烧后排放。</w:t>
            </w:r>
          </w:p>
          <w:p w14:paraId="38694FBB">
            <w:pPr>
              <w:spacing w:line="440" w:lineRule="exact"/>
              <w:ind w:firstLine="480" w:firstLineChars="200"/>
              <w:rPr>
                <w:color w:val="auto"/>
                <w:sz w:val="24"/>
              </w:rPr>
            </w:pPr>
            <w:r>
              <w:rPr>
                <w:rFonts w:hint="eastAsia"/>
                <w:color w:val="auto"/>
                <w:sz w:val="24"/>
              </w:rPr>
              <w:t>本项目原料、产品、生产设备均采取密闭措施</w:t>
            </w:r>
            <w:r>
              <w:rPr>
                <w:rFonts w:hint="eastAsia"/>
                <w:color w:val="auto"/>
                <w:sz w:val="24"/>
                <w:lang w:eastAsia="zh-CN"/>
              </w:rPr>
              <w:t>，</w:t>
            </w:r>
            <w:r>
              <w:rPr>
                <w:rFonts w:hint="eastAsia"/>
                <w:color w:val="auto"/>
                <w:sz w:val="24"/>
              </w:rPr>
              <w:t>输送过程采取密闭措施</w:t>
            </w:r>
            <w:r>
              <w:rPr>
                <w:rFonts w:hint="eastAsia"/>
                <w:color w:val="auto"/>
                <w:sz w:val="24"/>
                <w:lang w:eastAsia="zh-CN"/>
              </w:rPr>
              <w:t>，</w:t>
            </w:r>
            <w:r>
              <w:rPr>
                <w:rFonts w:hint="eastAsia"/>
                <w:color w:val="auto"/>
                <w:sz w:val="24"/>
              </w:rPr>
              <w:t>车间设置引风机+活性炭吸附装置</w:t>
            </w:r>
            <w:r>
              <w:rPr>
                <w:rFonts w:hint="eastAsia"/>
                <w:color w:val="auto"/>
                <w:sz w:val="24"/>
                <w:lang w:eastAsia="zh-CN"/>
              </w:rPr>
              <w:t>，</w:t>
            </w:r>
            <w:r>
              <w:rPr>
                <w:rFonts w:hint="eastAsia"/>
                <w:color w:val="auto"/>
                <w:sz w:val="24"/>
              </w:rPr>
              <w:t>处理后经15m高排气筒排放</w:t>
            </w:r>
            <w:r>
              <w:rPr>
                <w:rFonts w:hint="eastAsia"/>
                <w:color w:val="auto"/>
                <w:sz w:val="24"/>
                <w:lang w:eastAsia="zh-CN"/>
              </w:rPr>
              <w:t>，</w:t>
            </w:r>
            <w:r>
              <w:rPr>
                <w:rFonts w:hint="eastAsia"/>
                <w:color w:val="auto"/>
                <w:sz w:val="24"/>
              </w:rPr>
              <w:t>将VOCs无组织排放降至最低</w:t>
            </w:r>
            <w:r>
              <w:rPr>
                <w:rFonts w:hint="eastAsia"/>
                <w:color w:val="auto"/>
                <w:sz w:val="24"/>
                <w:lang w:eastAsia="zh-CN"/>
              </w:rPr>
              <w:t>，</w:t>
            </w:r>
            <w:r>
              <w:rPr>
                <w:rFonts w:hint="eastAsia"/>
                <w:color w:val="auto"/>
                <w:sz w:val="24"/>
              </w:rPr>
              <w:t>故本项目建设符合</w:t>
            </w:r>
            <w:r>
              <w:rPr>
                <w:color w:val="auto"/>
                <w:sz w:val="24"/>
              </w:rPr>
              <w:t>《挥发性有机物（VOCs）污染防治技术政策》要求。</w:t>
            </w:r>
          </w:p>
          <w:p w14:paraId="59669A5D">
            <w:pPr>
              <w:pStyle w:val="102"/>
              <w:ind w:firstLine="480"/>
              <w:rPr>
                <w:color w:val="auto"/>
              </w:rPr>
            </w:pPr>
            <w:r>
              <w:rPr>
                <w:rFonts w:hint="eastAsia"/>
                <w:color w:val="auto"/>
                <w:lang w:val="en-US" w:eastAsia="zh-CN"/>
              </w:rPr>
              <w:t>8</w:t>
            </w:r>
            <w:r>
              <w:rPr>
                <w:rFonts w:hint="eastAsia"/>
                <w:color w:val="auto"/>
              </w:rPr>
              <w:t>、与环境风险相关政策符合性分析</w:t>
            </w:r>
          </w:p>
          <w:p w14:paraId="6A3697B6">
            <w:pPr>
              <w:pStyle w:val="102"/>
              <w:ind w:firstLine="480"/>
              <w:rPr>
                <w:color w:val="auto"/>
              </w:rPr>
            </w:pPr>
            <w:r>
              <w:rPr>
                <w:rFonts w:hint="eastAsia"/>
                <w:color w:val="auto"/>
              </w:rPr>
              <w:t>环境保护部于2012年7月、8月先后发布了《关于进一步加强环境影响评价管理防范环境风险的通知》(环发〔2012〕77号)、《关于切实加强风险防范严格环境影响评价管理的通知》（环发〔2012〕98号）</w:t>
            </w:r>
            <w:r>
              <w:rPr>
                <w:rFonts w:hint="eastAsia"/>
                <w:color w:val="auto"/>
                <w:lang w:eastAsia="zh-CN"/>
              </w:rPr>
              <w:t>，</w:t>
            </w:r>
            <w:r>
              <w:rPr>
                <w:rFonts w:hint="eastAsia"/>
                <w:color w:val="auto"/>
              </w:rPr>
              <w:t>本项目建设与之相对应的符合性见表1</w:t>
            </w:r>
            <w:r>
              <w:rPr>
                <w:color w:val="auto"/>
              </w:rPr>
              <w:t>-2</w:t>
            </w:r>
            <w:r>
              <w:rPr>
                <w:rFonts w:hint="eastAsia"/>
                <w:color w:val="auto"/>
              </w:rPr>
              <w:t>、表</w:t>
            </w:r>
            <w:r>
              <w:rPr>
                <w:color w:val="auto"/>
              </w:rPr>
              <w:t>1-3。</w:t>
            </w:r>
          </w:p>
          <w:p w14:paraId="422F9E4F">
            <w:pPr>
              <w:pStyle w:val="114"/>
              <w:rPr>
                <w:color w:val="auto"/>
              </w:rPr>
            </w:pPr>
            <w:r>
              <w:rPr>
                <w:rFonts w:hint="eastAsia"/>
                <w:color w:val="auto"/>
              </w:rPr>
              <w:t>表</w:t>
            </w:r>
            <w:r>
              <w:rPr>
                <w:color w:val="auto"/>
              </w:rPr>
              <w:t xml:space="preserve">1-2 </w:t>
            </w:r>
            <w:r>
              <w:rPr>
                <w:rFonts w:hint="eastAsia"/>
                <w:color w:val="auto"/>
              </w:rPr>
              <w:t xml:space="preserve"> 本项目与环发〔2012〕77号文符合性一览表</w:t>
            </w:r>
          </w:p>
          <w:tbl>
            <w:tblPr>
              <w:tblStyle w:val="4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320"/>
              <w:gridCol w:w="3635"/>
              <w:gridCol w:w="466"/>
            </w:tblGrid>
            <w:tr w14:paraId="3040590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4E6CAD9F">
                  <w:pPr>
                    <w:pStyle w:val="101"/>
                    <w:rPr>
                      <w:color w:val="auto"/>
                    </w:rPr>
                  </w:pPr>
                  <w:r>
                    <w:rPr>
                      <w:rFonts w:hint="eastAsia"/>
                      <w:color w:val="auto"/>
                    </w:rPr>
                    <w:t>环发〔2012〕77 号要求</w:t>
                  </w:r>
                </w:p>
              </w:tc>
              <w:tc>
                <w:tcPr>
                  <w:tcW w:w="0" w:type="auto"/>
                  <w:shd w:val="clear" w:color="auto" w:fill="auto"/>
                  <w:vAlign w:val="center"/>
                </w:tcPr>
                <w:p w14:paraId="604C1926">
                  <w:pPr>
                    <w:pStyle w:val="101"/>
                    <w:rPr>
                      <w:color w:val="auto"/>
                    </w:rPr>
                  </w:pPr>
                  <w:r>
                    <w:rPr>
                      <w:rFonts w:hint="eastAsia"/>
                      <w:color w:val="auto"/>
                    </w:rPr>
                    <w:t>项目情况</w:t>
                  </w:r>
                </w:p>
              </w:tc>
              <w:tc>
                <w:tcPr>
                  <w:tcW w:w="0" w:type="auto"/>
                  <w:shd w:val="clear" w:color="auto" w:fill="auto"/>
                  <w:vAlign w:val="center"/>
                </w:tcPr>
                <w:p w14:paraId="75B76FEC">
                  <w:pPr>
                    <w:pStyle w:val="101"/>
                    <w:rPr>
                      <w:color w:val="auto"/>
                    </w:rPr>
                  </w:pPr>
                  <w:r>
                    <w:rPr>
                      <w:rFonts w:hint="eastAsia"/>
                      <w:color w:val="auto"/>
                    </w:rPr>
                    <w:t>符合性</w:t>
                  </w:r>
                </w:p>
              </w:tc>
            </w:tr>
            <w:tr w14:paraId="098161D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464C4161">
                  <w:pPr>
                    <w:pStyle w:val="101"/>
                    <w:rPr>
                      <w:color w:val="auto"/>
                    </w:rPr>
                  </w:pPr>
                  <w:r>
                    <w:rPr>
                      <w:rFonts w:hint="eastAsia"/>
                      <w:color w:val="auto"/>
                    </w:rPr>
                    <w:t>(三)明确责任</w:t>
                  </w:r>
                  <w:r>
                    <w:rPr>
                      <w:rFonts w:hint="eastAsia"/>
                      <w:color w:val="auto"/>
                      <w:lang w:eastAsia="zh-CN"/>
                    </w:rPr>
                    <w:t>，</w:t>
                  </w:r>
                  <w:r>
                    <w:rPr>
                      <w:rFonts w:hint="eastAsia"/>
                      <w:color w:val="auto"/>
                    </w:rPr>
                    <w:t>强化落实。建设单位及其所属企业是环境风险防范的责任主体</w:t>
                  </w:r>
                  <w:r>
                    <w:rPr>
                      <w:rFonts w:hint="eastAsia"/>
                      <w:color w:val="auto"/>
                      <w:lang w:eastAsia="zh-CN"/>
                    </w:rPr>
                    <w:t>，</w:t>
                  </w:r>
                  <w:r>
                    <w:rPr>
                      <w:rFonts w:hint="eastAsia"/>
                      <w:color w:val="auto"/>
                    </w:rPr>
                    <w:t>应建立有效的环境风险防范与应急管理体系并不断完善。环评单位要加强环境风险评价工作</w:t>
                  </w:r>
                  <w:r>
                    <w:rPr>
                      <w:rFonts w:hint="eastAsia"/>
                      <w:color w:val="auto"/>
                      <w:lang w:eastAsia="zh-CN"/>
                    </w:rPr>
                    <w:t>，</w:t>
                  </w:r>
                  <w:r>
                    <w:rPr>
                      <w:rFonts w:hint="eastAsia"/>
                      <w:color w:val="auto"/>
                    </w:rPr>
                    <w:t>并对环境影响评价结论负责。</w:t>
                  </w:r>
                </w:p>
              </w:tc>
              <w:tc>
                <w:tcPr>
                  <w:tcW w:w="0" w:type="auto"/>
                  <w:shd w:val="clear" w:color="auto" w:fill="auto"/>
                  <w:vAlign w:val="center"/>
                </w:tcPr>
                <w:p w14:paraId="6EA05BA9">
                  <w:pPr>
                    <w:pStyle w:val="101"/>
                    <w:rPr>
                      <w:color w:val="auto"/>
                    </w:rPr>
                  </w:pPr>
                  <w:r>
                    <w:rPr>
                      <w:rFonts w:hint="eastAsia"/>
                      <w:color w:val="auto"/>
                      <w:lang w:eastAsia="zh-CN"/>
                    </w:rPr>
                    <w:t>鹤岗长安工贸有限责任公司</w:t>
                  </w:r>
                  <w:r>
                    <w:rPr>
                      <w:rFonts w:hint="eastAsia"/>
                      <w:color w:val="auto"/>
                    </w:rPr>
                    <w:t>是本项目环境风险防范的责任主体。报告中加强了环境风险评价内容。</w:t>
                  </w:r>
                </w:p>
              </w:tc>
              <w:tc>
                <w:tcPr>
                  <w:tcW w:w="0" w:type="auto"/>
                  <w:shd w:val="clear" w:color="auto" w:fill="auto"/>
                  <w:vAlign w:val="center"/>
                </w:tcPr>
                <w:p w14:paraId="51BE2599">
                  <w:pPr>
                    <w:pStyle w:val="101"/>
                    <w:rPr>
                      <w:color w:val="auto"/>
                    </w:rPr>
                  </w:pPr>
                  <w:r>
                    <w:rPr>
                      <w:color w:val="auto"/>
                    </w:rPr>
                    <w:t>符合</w:t>
                  </w:r>
                </w:p>
              </w:tc>
            </w:tr>
            <w:tr w14:paraId="56386C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02ABD6D0">
                  <w:pPr>
                    <w:pStyle w:val="101"/>
                    <w:rPr>
                      <w:color w:val="auto"/>
                    </w:rPr>
                  </w:pPr>
                  <w:r>
                    <w:rPr>
                      <w:rFonts w:hint="eastAsia"/>
                      <w:color w:val="auto"/>
                    </w:rPr>
                    <w:t>（四）石化化工建设项目原则上应进入依法合规设立、环保设施齐全的产业园区</w:t>
                  </w:r>
                  <w:r>
                    <w:rPr>
                      <w:rFonts w:hint="eastAsia"/>
                      <w:color w:val="auto"/>
                      <w:lang w:eastAsia="zh-CN"/>
                    </w:rPr>
                    <w:t>，</w:t>
                  </w:r>
                  <w:r>
                    <w:rPr>
                      <w:rFonts w:hint="eastAsia"/>
                      <w:color w:val="auto"/>
                    </w:rPr>
                    <w:t>并符合园区发展规划及规划环境影响评价要求。涉及港区、资源开采区和城市规划区的建设项目</w:t>
                  </w:r>
                  <w:r>
                    <w:rPr>
                      <w:rFonts w:hint="eastAsia"/>
                      <w:color w:val="auto"/>
                      <w:lang w:eastAsia="zh-CN"/>
                    </w:rPr>
                    <w:t>，</w:t>
                  </w:r>
                  <w:r>
                    <w:rPr>
                      <w:rFonts w:hint="eastAsia"/>
                      <w:color w:val="auto"/>
                    </w:rPr>
                    <w:t>应符合相关规划及规划环境影响评价的要求。</w:t>
                  </w:r>
                </w:p>
              </w:tc>
              <w:tc>
                <w:tcPr>
                  <w:tcW w:w="0" w:type="auto"/>
                  <w:shd w:val="clear" w:color="auto" w:fill="auto"/>
                  <w:vAlign w:val="center"/>
                </w:tcPr>
                <w:p w14:paraId="69416B8A">
                  <w:pPr>
                    <w:pStyle w:val="101"/>
                    <w:rPr>
                      <w:color w:val="auto"/>
                    </w:rPr>
                  </w:pPr>
                  <w:r>
                    <w:rPr>
                      <w:rFonts w:hint="eastAsia"/>
                      <w:color w:val="auto"/>
                    </w:rPr>
                    <w:t>本项目为单纯混合分装项目</w:t>
                  </w:r>
                  <w:r>
                    <w:rPr>
                      <w:rFonts w:hint="eastAsia"/>
                      <w:color w:val="auto"/>
                      <w:lang w:eastAsia="zh-CN"/>
                    </w:rPr>
                    <w:t>，</w:t>
                  </w:r>
                  <w:r>
                    <w:rPr>
                      <w:rFonts w:hint="eastAsia"/>
                      <w:color w:val="auto"/>
                    </w:rPr>
                    <w:t>根据《关于切实加强风险防范严格环境影响评价管理的通知》（环发〔2012〕98号）及《关于新建加工硫酸铵颗粒肥项目是否必须进园入区的回复》（2</w:t>
                  </w:r>
                  <w:r>
                    <w:rPr>
                      <w:color w:val="auto"/>
                    </w:rPr>
                    <w:t>018</w:t>
                  </w:r>
                  <w:r>
                    <w:rPr>
                      <w:rFonts w:hint="eastAsia"/>
                      <w:color w:val="auto"/>
                    </w:rPr>
                    <w:t>年1</w:t>
                  </w:r>
                  <w:r>
                    <w:rPr>
                      <w:color w:val="auto"/>
                    </w:rPr>
                    <w:t>1</w:t>
                  </w:r>
                  <w:r>
                    <w:rPr>
                      <w:rFonts w:hint="eastAsia"/>
                      <w:color w:val="auto"/>
                    </w:rPr>
                    <w:t>月1</w:t>
                  </w:r>
                  <w:r>
                    <w:rPr>
                      <w:color w:val="auto"/>
                    </w:rPr>
                    <w:t>9</w:t>
                  </w:r>
                  <w:r>
                    <w:rPr>
                      <w:rFonts w:hint="eastAsia"/>
                      <w:color w:val="auto"/>
                    </w:rPr>
                    <w:t>日部长信箱回复）可知</w:t>
                  </w:r>
                  <w:r>
                    <w:rPr>
                      <w:rFonts w:hint="eastAsia"/>
                      <w:color w:val="auto"/>
                      <w:lang w:eastAsia="zh-CN"/>
                    </w:rPr>
                    <w:t>，</w:t>
                  </w:r>
                  <w:r>
                    <w:rPr>
                      <w:rFonts w:hint="eastAsia"/>
                      <w:color w:val="auto"/>
                    </w:rPr>
                    <w:t>本项目不涉及化学反应无需进入化工园区</w:t>
                  </w:r>
                  <w:r>
                    <w:rPr>
                      <w:rFonts w:hint="eastAsia"/>
                      <w:color w:val="auto"/>
                      <w:lang w:eastAsia="zh-CN"/>
                    </w:rPr>
                    <w:t>，</w:t>
                  </w:r>
                  <w:r>
                    <w:rPr>
                      <w:rFonts w:hint="eastAsia"/>
                      <w:color w:val="auto"/>
                    </w:rPr>
                    <w:t>故无需开展化工园区规划及规划环评。</w:t>
                  </w:r>
                </w:p>
              </w:tc>
              <w:tc>
                <w:tcPr>
                  <w:tcW w:w="0" w:type="auto"/>
                  <w:shd w:val="clear" w:color="auto" w:fill="auto"/>
                  <w:vAlign w:val="center"/>
                </w:tcPr>
                <w:p w14:paraId="156C6ADC">
                  <w:pPr>
                    <w:pStyle w:val="101"/>
                    <w:rPr>
                      <w:color w:val="auto"/>
                    </w:rPr>
                  </w:pPr>
                  <w:r>
                    <w:rPr>
                      <w:color w:val="auto"/>
                    </w:rPr>
                    <w:t>符合</w:t>
                  </w:r>
                </w:p>
              </w:tc>
            </w:tr>
            <w:tr w14:paraId="412A1C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3C260071">
                  <w:pPr>
                    <w:pStyle w:val="101"/>
                    <w:rPr>
                      <w:color w:val="auto"/>
                    </w:rPr>
                  </w:pPr>
                  <w:r>
                    <w:rPr>
                      <w:rFonts w:hint="eastAsia"/>
                      <w:color w:val="auto"/>
                    </w:rPr>
                    <w:t>（七）建设项目环境风险评价是相关项目环境影响评价的重要组成部分。新、改、扩建相关建设项目环境影响评价应按照相应技术导则要求</w:t>
                  </w:r>
                  <w:r>
                    <w:rPr>
                      <w:rFonts w:hint="eastAsia"/>
                      <w:color w:val="auto"/>
                      <w:lang w:eastAsia="zh-CN"/>
                    </w:rPr>
                    <w:t>，</w:t>
                  </w:r>
                  <w:r>
                    <w:rPr>
                      <w:rFonts w:hint="eastAsia"/>
                      <w:color w:val="auto"/>
                    </w:rPr>
                    <w:t>科学预测评价突发性事件或事故可能引发的环境风险</w:t>
                  </w:r>
                  <w:r>
                    <w:rPr>
                      <w:rFonts w:hint="eastAsia"/>
                      <w:color w:val="auto"/>
                      <w:lang w:eastAsia="zh-CN"/>
                    </w:rPr>
                    <w:t>，</w:t>
                  </w:r>
                  <w:r>
                    <w:rPr>
                      <w:rFonts w:hint="eastAsia"/>
                      <w:color w:val="auto"/>
                    </w:rPr>
                    <w:t>提出环境风险防范和应急措施。</w:t>
                  </w:r>
                </w:p>
              </w:tc>
              <w:tc>
                <w:tcPr>
                  <w:tcW w:w="0" w:type="auto"/>
                  <w:shd w:val="clear" w:color="auto" w:fill="auto"/>
                  <w:vAlign w:val="center"/>
                </w:tcPr>
                <w:p w14:paraId="5DF19FF3">
                  <w:pPr>
                    <w:pStyle w:val="101"/>
                    <w:rPr>
                      <w:color w:val="auto"/>
                    </w:rPr>
                  </w:pPr>
                  <w:r>
                    <w:rPr>
                      <w:rFonts w:hint="eastAsia"/>
                      <w:color w:val="auto"/>
                    </w:rPr>
                    <w:t>本评价已按照《建设项目环境影响报告表编制技术指南（污染影响类）（试行）》的要求</w:t>
                  </w:r>
                  <w:r>
                    <w:rPr>
                      <w:rFonts w:hint="eastAsia"/>
                      <w:color w:val="auto"/>
                      <w:lang w:eastAsia="zh-CN"/>
                    </w:rPr>
                    <w:t>，</w:t>
                  </w:r>
                  <w:r>
                    <w:rPr>
                      <w:rFonts w:hint="eastAsia"/>
                      <w:color w:val="auto"/>
                    </w:rPr>
                    <w:t>明确了有毒有害和易燃易爆等危险物质和风险源分布情况及可能影响途径</w:t>
                  </w:r>
                  <w:r>
                    <w:rPr>
                      <w:rFonts w:hint="eastAsia"/>
                      <w:color w:val="auto"/>
                      <w:lang w:eastAsia="zh-CN"/>
                    </w:rPr>
                    <w:t>，</w:t>
                  </w:r>
                  <w:r>
                    <w:rPr>
                      <w:rFonts w:hint="eastAsia"/>
                      <w:color w:val="auto"/>
                    </w:rPr>
                    <w:t>并提出相应环境风险防范措施。项目风险评价内容符合《建设项目环境影响报告表编制技术指南（污染影响类）（试行）》的要求。</w:t>
                  </w:r>
                </w:p>
              </w:tc>
              <w:tc>
                <w:tcPr>
                  <w:tcW w:w="0" w:type="auto"/>
                  <w:shd w:val="clear" w:color="auto" w:fill="auto"/>
                  <w:vAlign w:val="center"/>
                </w:tcPr>
                <w:p w14:paraId="04A26720">
                  <w:pPr>
                    <w:pStyle w:val="101"/>
                    <w:rPr>
                      <w:color w:val="auto"/>
                    </w:rPr>
                  </w:pPr>
                  <w:r>
                    <w:rPr>
                      <w:color w:val="auto"/>
                    </w:rPr>
                    <w:t>符合</w:t>
                  </w:r>
                </w:p>
              </w:tc>
            </w:tr>
            <w:tr w14:paraId="5A1D8C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41D40240">
                  <w:pPr>
                    <w:pStyle w:val="101"/>
                    <w:rPr>
                      <w:color w:val="auto"/>
                    </w:rPr>
                  </w:pPr>
                  <w:r>
                    <w:rPr>
                      <w:rFonts w:hint="eastAsia"/>
                      <w:color w:val="auto"/>
                    </w:rPr>
                    <w:t>（八）改、扩建相关建设项目应按照现行环境风险防范和管理要求</w:t>
                  </w:r>
                  <w:r>
                    <w:rPr>
                      <w:rFonts w:hint="eastAsia"/>
                      <w:color w:val="auto"/>
                      <w:lang w:eastAsia="zh-CN"/>
                    </w:rPr>
                    <w:t>，</w:t>
                  </w:r>
                  <w:r>
                    <w:rPr>
                      <w:rFonts w:hint="eastAsia"/>
                      <w:color w:val="auto"/>
                    </w:rPr>
                    <w:t>对现有工程的环境风险进行全面梳理和评价</w:t>
                  </w:r>
                  <w:r>
                    <w:rPr>
                      <w:rFonts w:hint="eastAsia"/>
                      <w:color w:val="auto"/>
                      <w:lang w:eastAsia="zh-CN"/>
                    </w:rPr>
                    <w:t>，</w:t>
                  </w:r>
                  <w:r>
                    <w:rPr>
                      <w:rFonts w:hint="eastAsia"/>
                      <w:color w:val="auto"/>
                    </w:rPr>
                    <w:t>针对可能存在的环境风险隐患</w:t>
                  </w:r>
                  <w:r>
                    <w:rPr>
                      <w:rFonts w:hint="eastAsia"/>
                      <w:color w:val="auto"/>
                      <w:lang w:eastAsia="zh-CN"/>
                    </w:rPr>
                    <w:t>，</w:t>
                  </w:r>
                  <w:r>
                    <w:rPr>
                      <w:rFonts w:hint="eastAsia"/>
                      <w:color w:val="auto"/>
                    </w:rPr>
                    <w:t>提出相应的补救或完善措施</w:t>
                  </w:r>
                  <w:r>
                    <w:rPr>
                      <w:rFonts w:hint="eastAsia"/>
                      <w:color w:val="auto"/>
                      <w:lang w:eastAsia="zh-CN"/>
                    </w:rPr>
                    <w:t>，</w:t>
                  </w:r>
                  <w:r>
                    <w:rPr>
                      <w:rFonts w:hint="eastAsia"/>
                      <w:color w:val="auto"/>
                    </w:rPr>
                    <w:t>并纳入改、扩建项目“三同时”验收内容。</w:t>
                  </w:r>
                </w:p>
              </w:tc>
              <w:tc>
                <w:tcPr>
                  <w:tcW w:w="0" w:type="auto"/>
                  <w:shd w:val="clear" w:color="auto" w:fill="auto"/>
                  <w:vAlign w:val="center"/>
                </w:tcPr>
                <w:p w14:paraId="03CB0DBD">
                  <w:pPr>
                    <w:pStyle w:val="101"/>
                    <w:rPr>
                      <w:color w:val="auto"/>
                    </w:rPr>
                  </w:pPr>
                  <w:r>
                    <w:rPr>
                      <w:rFonts w:hint="eastAsia"/>
                      <w:color w:val="auto"/>
                    </w:rPr>
                    <w:t>本项目为新建项目</w:t>
                  </w:r>
                </w:p>
              </w:tc>
              <w:tc>
                <w:tcPr>
                  <w:tcW w:w="0" w:type="auto"/>
                  <w:shd w:val="clear" w:color="auto" w:fill="auto"/>
                  <w:vAlign w:val="center"/>
                </w:tcPr>
                <w:p w14:paraId="47060230">
                  <w:pPr>
                    <w:pStyle w:val="101"/>
                    <w:rPr>
                      <w:color w:val="auto"/>
                    </w:rPr>
                  </w:pPr>
                  <w:r>
                    <w:rPr>
                      <w:rFonts w:hint="eastAsia"/>
                      <w:color w:val="auto"/>
                    </w:rPr>
                    <w:t>符合</w:t>
                  </w:r>
                </w:p>
              </w:tc>
            </w:tr>
            <w:tr w14:paraId="42D2B9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7B5250AE">
                  <w:pPr>
                    <w:pStyle w:val="101"/>
                    <w:rPr>
                      <w:color w:val="auto"/>
                    </w:rPr>
                  </w:pPr>
                  <w:r>
                    <w:rPr>
                      <w:rFonts w:hint="eastAsia"/>
                      <w:color w:val="auto"/>
                    </w:rPr>
                    <w:t>（十）环境风险评价结论应作为相关建设项目环境影响评价文件结论的主要内容之一。无环境风险评价专章的相关建设项目环境影响评价文件不予受理；经论证</w:t>
                  </w:r>
                  <w:r>
                    <w:rPr>
                      <w:rFonts w:hint="eastAsia"/>
                      <w:color w:val="auto"/>
                      <w:lang w:eastAsia="zh-CN"/>
                    </w:rPr>
                    <w:t>，</w:t>
                  </w:r>
                  <w:r>
                    <w:rPr>
                      <w:rFonts w:hint="eastAsia"/>
                      <w:color w:val="auto"/>
                    </w:rPr>
                    <w:t>环境风险评价内容不完善的相关建设项目环境影响评价文件不予审批。</w:t>
                  </w:r>
                </w:p>
              </w:tc>
              <w:tc>
                <w:tcPr>
                  <w:tcW w:w="0" w:type="auto"/>
                  <w:shd w:val="clear" w:color="auto" w:fill="auto"/>
                  <w:vAlign w:val="center"/>
                </w:tcPr>
                <w:p w14:paraId="1FB98409">
                  <w:pPr>
                    <w:pStyle w:val="101"/>
                    <w:rPr>
                      <w:color w:val="auto"/>
                    </w:rPr>
                  </w:pPr>
                  <w:r>
                    <w:rPr>
                      <w:rFonts w:hint="eastAsia"/>
                      <w:color w:val="auto"/>
                    </w:rPr>
                    <w:t>本评价已按照《建设项目环境影响报告表编制技术指南（污染影响类）（试行）》中环境风险评价的内容进行评价</w:t>
                  </w:r>
                  <w:r>
                    <w:rPr>
                      <w:rFonts w:hint="eastAsia"/>
                      <w:color w:val="auto"/>
                      <w:lang w:eastAsia="zh-CN"/>
                    </w:rPr>
                    <w:t>，</w:t>
                  </w:r>
                  <w:r>
                    <w:rPr>
                      <w:rFonts w:hint="eastAsia"/>
                      <w:color w:val="auto"/>
                    </w:rPr>
                    <w:t>符合审批要求。</w:t>
                  </w:r>
                </w:p>
              </w:tc>
              <w:tc>
                <w:tcPr>
                  <w:tcW w:w="0" w:type="auto"/>
                  <w:shd w:val="clear" w:color="auto" w:fill="auto"/>
                  <w:vAlign w:val="center"/>
                </w:tcPr>
                <w:p w14:paraId="1B46F8E8">
                  <w:pPr>
                    <w:pStyle w:val="101"/>
                    <w:rPr>
                      <w:color w:val="auto"/>
                    </w:rPr>
                  </w:pPr>
                  <w:r>
                    <w:rPr>
                      <w:color w:val="auto"/>
                    </w:rPr>
                    <w:t>符合</w:t>
                  </w:r>
                </w:p>
              </w:tc>
            </w:tr>
            <w:tr w14:paraId="6C7FA9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067833FF">
                  <w:pPr>
                    <w:pStyle w:val="101"/>
                    <w:rPr>
                      <w:color w:val="auto"/>
                    </w:rPr>
                  </w:pPr>
                  <w:r>
                    <w:rPr>
                      <w:rFonts w:hint="eastAsia"/>
                      <w:color w:val="auto"/>
                    </w:rPr>
                    <w:t>（十二）建设项目的环境风险防范设施和应急措施是企业环境风险防范与应急管理体系的组成部分</w:t>
                  </w:r>
                  <w:r>
                    <w:rPr>
                      <w:rFonts w:hint="eastAsia"/>
                      <w:color w:val="auto"/>
                      <w:lang w:eastAsia="zh-CN"/>
                    </w:rPr>
                    <w:t>，</w:t>
                  </w:r>
                  <w:r>
                    <w:rPr>
                      <w:rFonts w:hint="eastAsia"/>
                      <w:color w:val="auto"/>
                    </w:rPr>
                    <w:t>也是企业制定和完善突发环境事件应急预案的基础。企业突发环境事件应急预案的编制、评估、备案和实施等</w:t>
                  </w:r>
                  <w:r>
                    <w:rPr>
                      <w:rFonts w:hint="eastAsia"/>
                      <w:color w:val="auto"/>
                      <w:lang w:eastAsia="zh-CN"/>
                    </w:rPr>
                    <w:t>，</w:t>
                  </w:r>
                  <w:r>
                    <w:rPr>
                      <w:rFonts w:hint="eastAsia"/>
                      <w:color w:val="auto"/>
                    </w:rPr>
                    <w:t>应按我部《突发环境事件应急预案管理暂行办法》（环发〔2010〕113号）等相关规定执行。</w:t>
                  </w:r>
                </w:p>
              </w:tc>
              <w:tc>
                <w:tcPr>
                  <w:tcW w:w="0" w:type="auto"/>
                  <w:shd w:val="clear" w:color="auto" w:fill="auto"/>
                  <w:vAlign w:val="center"/>
                </w:tcPr>
                <w:p w14:paraId="13020510">
                  <w:pPr>
                    <w:pStyle w:val="101"/>
                    <w:rPr>
                      <w:color w:val="auto"/>
                    </w:rPr>
                  </w:pPr>
                  <w:r>
                    <w:rPr>
                      <w:rFonts w:hint="eastAsia"/>
                      <w:color w:val="auto"/>
                    </w:rPr>
                    <w:t>本次环评要求建设单位按《企业事业单位突发环境事件应急预案备案管理办法（试行）》编制突发环境事件应急预案</w:t>
                  </w:r>
                  <w:r>
                    <w:rPr>
                      <w:rFonts w:hint="eastAsia"/>
                      <w:color w:val="auto"/>
                      <w:lang w:eastAsia="zh-CN"/>
                    </w:rPr>
                    <w:t>，</w:t>
                  </w:r>
                  <w:r>
                    <w:rPr>
                      <w:rFonts w:hint="eastAsia"/>
                      <w:color w:val="auto"/>
                    </w:rPr>
                    <w:t>并进行评估、备案和实施。</w:t>
                  </w:r>
                </w:p>
              </w:tc>
              <w:tc>
                <w:tcPr>
                  <w:tcW w:w="0" w:type="auto"/>
                  <w:shd w:val="clear" w:color="auto" w:fill="auto"/>
                  <w:vAlign w:val="center"/>
                </w:tcPr>
                <w:p w14:paraId="7E8921EE">
                  <w:pPr>
                    <w:pStyle w:val="101"/>
                    <w:rPr>
                      <w:color w:val="auto"/>
                    </w:rPr>
                  </w:pPr>
                  <w:r>
                    <w:rPr>
                      <w:color w:val="auto"/>
                    </w:rPr>
                    <w:t>符合</w:t>
                  </w:r>
                </w:p>
              </w:tc>
            </w:tr>
            <w:tr w14:paraId="31DEBFE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465285D7">
                  <w:pPr>
                    <w:pStyle w:val="101"/>
                    <w:rPr>
                      <w:color w:val="auto"/>
                    </w:rPr>
                  </w:pPr>
                  <w:r>
                    <w:rPr>
                      <w:rFonts w:hint="eastAsia"/>
                      <w:color w:val="auto"/>
                    </w:rPr>
                    <w:t>（十三）建设项目设计阶段</w:t>
                  </w:r>
                  <w:r>
                    <w:rPr>
                      <w:rFonts w:hint="eastAsia"/>
                      <w:color w:val="auto"/>
                      <w:lang w:eastAsia="zh-CN"/>
                    </w:rPr>
                    <w:t>，</w:t>
                  </w:r>
                  <w:r>
                    <w:rPr>
                      <w:rFonts w:hint="eastAsia"/>
                      <w:color w:val="auto"/>
                    </w:rPr>
                    <w:t>应按照或参照《化工建设项目环境保护设计规范》（GB50483）等国家标准和规范要求</w:t>
                  </w:r>
                  <w:r>
                    <w:rPr>
                      <w:rFonts w:hint="eastAsia"/>
                      <w:color w:val="auto"/>
                      <w:lang w:eastAsia="zh-CN"/>
                    </w:rPr>
                    <w:t>，</w:t>
                  </w:r>
                  <w:r>
                    <w:rPr>
                      <w:rFonts w:hint="eastAsia"/>
                      <w:color w:val="auto"/>
                    </w:rPr>
                    <w:t>设计有效防止泄漏物质、消防水、污染雨水等扩散至外环境的收集、导流、拦截、降污等环境风险防范设施。</w:t>
                  </w:r>
                </w:p>
              </w:tc>
              <w:tc>
                <w:tcPr>
                  <w:tcW w:w="0" w:type="auto"/>
                  <w:shd w:val="clear" w:color="auto" w:fill="auto"/>
                  <w:vAlign w:val="center"/>
                </w:tcPr>
                <w:p w14:paraId="643754BE">
                  <w:pPr>
                    <w:pStyle w:val="101"/>
                    <w:rPr>
                      <w:color w:val="auto"/>
                    </w:rPr>
                  </w:pPr>
                  <w:r>
                    <w:rPr>
                      <w:rFonts w:hint="eastAsia"/>
                      <w:color w:val="auto"/>
                    </w:rPr>
                    <w:t>本项目设计按照GB50483等国家标准和规范要求</w:t>
                  </w:r>
                  <w:r>
                    <w:rPr>
                      <w:rFonts w:hint="eastAsia"/>
                      <w:color w:val="auto"/>
                      <w:lang w:eastAsia="zh-CN"/>
                    </w:rPr>
                    <w:t>，</w:t>
                  </w:r>
                  <w:r>
                    <w:rPr>
                      <w:rFonts w:hint="eastAsia"/>
                      <w:color w:val="auto"/>
                    </w:rPr>
                    <w:t>设计了气体泄漏报警仪、车间设置围堰等环</w:t>
                  </w:r>
                </w:p>
                <w:p w14:paraId="3504B6FE">
                  <w:pPr>
                    <w:pStyle w:val="101"/>
                    <w:rPr>
                      <w:color w:val="auto"/>
                    </w:rPr>
                  </w:pPr>
                  <w:r>
                    <w:rPr>
                      <w:rFonts w:hint="eastAsia"/>
                      <w:color w:val="auto"/>
                    </w:rPr>
                    <w:t>境风险防范设施。</w:t>
                  </w:r>
                </w:p>
              </w:tc>
              <w:tc>
                <w:tcPr>
                  <w:tcW w:w="0" w:type="auto"/>
                  <w:shd w:val="clear" w:color="auto" w:fill="auto"/>
                  <w:vAlign w:val="center"/>
                </w:tcPr>
                <w:p w14:paraId="48060505">
                  <w:pPr>
                    <w:pStyle w:val="101"/>
                    <w:rPr>
                      <w:color w:val="auto"/>
                    </w:rPr>
                  </w:pPr>
                  <w:r>
                    <w:rPr>
                      <w:color w:val="auto"/>
                    </w:rPr>
                    <w:t>符合</w:t>
                  </w:r>
                </w:p>
              </w:tc>
            </w:tr>
            <w:tr w14:paraId="591227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44A98D4F">
                  <w:pPr>
                    <w:pStyle w:val="101"/>
                    <w:rPr>
                      <w:color w:val="auto"/>
                    </w:rPr>
                  </w:pPr>
                  <w:r>
                    <w:rPr>
                      <w:rFonts w:hint="eastAsia"/>
                      <w:color w:val="auto"/>
                    </w:rPr>
                    <w:t>（十四）相关建设项目应在其设计方案确定后、设计文件批复前</w:t>
                  </w:r>
                  <w:r>
                    <w:rPr>
                      <w:rFonts w:hint="eastAsia"/>
                      <w:color w:val="auto"/>
                      <w:lang w:eastAsia="zh-CN"/>
                    </w:rPr>
                    <w:t>，</w:t>
                  </w:r>
                  <w:r>
                    <w:rPr>
                      <w:rFonts w:hint="eastAsia"/>
                      <w:color w:val="auto"/>
                    </w:rPr>
                    <w:t>逐项对比防治污染、防止生态破坏以及防范环境风险设施的设计方案与环境影响评价文件及批复要求的相符性。建设单位应将上述环保设施在设计阶段的落实情况报环境影响评价文件审批部门备案</w:t>
                  </w:r>
                  <w:r>
                    <w:rPr>
                      <w:rFonts w:hint="eastAsia"/>
                      <w:color w:val="auto"/>
                      <w:lang w:eastAsia="zh-CN"/>
                    </w:rPr>
                    <w:t>，</w:t>
                  </w:r>
                  <w:r>
                    <w:rPr>
                      <w:rFonts w:hint="eastAsia"/>
                      <w:color w:val="auto"/>
                    </w:rPr>
                    <w:t>并抄报当地环保部门。对我部审批的建设项目</w:t>
                  </w:r>
                  <w:r>
                    <w:rPr>
                      <w:rFonts w:hint="eastAsia"/>
                      <w:color w:val="auto"/>
                      <w:lang w:eastAsia="zh-CN"/>
                    </w:rPr>
                    <w:t>，</w:t>
                  </w:r>
                  <w:r>
                    <w:rPr>
                      <w:rFonts w:hint="eastAsia"/>
                      <w:color w:val="auto"/>
                    </w:rPr>
                    <w:t>应同时抄报所在区域环境保护督查中心。</w:t>
                  </w:r>
                </w:p>
              </w:tc>
              <w:tc>
                <w:tcPr>
                  <w:tcW w:w="0" w:type="auto"/>
                  <w:shd w:val="clear" w:color="auto" w:fill="auto"/>
                  <w:vAlign w:val="center"/>
                </w:tcPr>
                <w:p w14:paraId="05B0DD91">
                  <w:pPr>
                    <w:pStyle w:val="101"/>
                    <w:rPr>
                      <w:color w:val="auto"/>
                    </w:rPr>
                  </w:pPr>
                  <w:r>
                    <w:rPr>
                      <w:rFonts w:hint="eastAsia"/>
                      <w:color w:val="auto"/>
                    </w:rPr>
                    <w:t>本次环评要求建设单位将环保设施在设计阶段的落实情况报生态环境主管部门备案。</w:t>
                  </w:r>
                </w:p>
              </w:tc>
              <w:tc>
                <w:tcPr>
                  <w:tcW w:w="0" w:type="auto"/>
                  <w:shd w:val="clear" w:color="auto" w:fill="auto"/>
                  <w:vAlign w:val="center"/>
                </w:tcPr>
                <w:p w14:paraId="155C3BE8">
                  <w:pPr>
                    <w:pStyle w:val="101"/>
                    <w:rPr>
                      <w:color w:val="auto"/>
                    </w:rPr>
                  </w:pPr>
                  <w:r>
                    <w:rPr>
                      <w:color w:val="auto"/>
                    </w:rPr>
                    <w:t>符合</w:t>
                  </w:r>
                </w:p>
              </w:tc>
            </w:tr>
            <w:tr w14:paraId="5F203A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54C5C979">
                  <w:pPr>
                    <w:pStyle w:val="101"/>
                    <w:rPr>
                      <w:color w:val="auto"/>
                    </w:rPr>
                  </w:pPr>
                  <w:r>
                    <w:rPr>
                      <w:rFonts w:hint="eastAsia"/>
                      <w:color w:val="auto"/>
                    </w:rPr>
                    <w:t>（十九）企业应建设并完善日常和应急监测系统</w:t>
                  </w:r>
                  <w:r>
                    <w:rPr>
                      <w:rFonts w:hint="eastAsia"/>
                      <w:color w:val="auto"/>
                      <w:lang w:eastAsia="zh-CN"/>
                    </w:rPr>
                    <w:t>，</w:t>
                  </w:r>
                  <w:r>
                    <w:rPr>
                      <w:rFonts w:hint="eastAsia"/>
                      <w:color w:val="auto"/>
                    </w:rPr>
                    <w:t>配备大气、水环境特征污染物监控设备</w:t>
                  </w:r>
                  <w:r>
                    <w:rPr>
                      <w:rFonts w:hint="eastAsia"/>
                      <w:color w:val="auto"/>
                      <w:lang w:eastAsia="zh-CN"/>
                    </w:rPr>
                    <w:t>，</w:t>
                  </w:r>
                  <w:r>
                    <w:rPr>
                      <w:rFonts w:hint="eastAsia"/>
                      <w:color w:val="auto"/>
                    </w:rPr>
                    <w:t>编制日常和应急监测方案</w:t>
                  </w:r>
                  <w:r>
                    <w:rPr>
                      <w:rFonts w:hint="eastAsia"/>
                      <w:color w:val="auto"/>
                      <w:lang w:eastAsia="zh-CN"/>
                    </w:rPr>
                    <w:t>，</w:t>
                  </w:r>
                  <w:r>
                    <w:rPr>
                      <w:rFonts w:hint="eastAsia"/>
                      <w:color w:val="auto"/>
                    </w:rPr>
                    <w:t>提高监控水平、应急响应速度和应急处理能力；建立完备的环境信息平台</w:t>
                  </w:r>
                  <w:r>
                    <w:rPr>
                      <w:rFonts w:hint="eastAsia"/>
                      <w:color w:val="auto"/>
                      <w:lang w:eastAsia="zh-CN"/>
                    </w:rPr>
                    <w:t>，</w:t>
                  </w:r>
                  <w:r>
                    <w:rPr>
                      <w:rFonts w:hint="eastAsia"/>
                      <w:color w:val="auto"/>
                    </w:rPr>
                    <w:t>定期向社会公布企业环境信息</w:t>
                  </w:r>
                  <w:r>
                    <w:rPr>
                      <w:rFonts w:hint="eastAsia"/>
                      <w:color w:val="auto"/>
                      <w:lang w:eastAsia="zh-CN"/>
                    </w:rPr>
                    <w:t>，</w:t>
                  </w:r>
                  <w:r>
                    <w:rPr>
                      <w:rFonts w:hint="eastAsia"/>
                      <w:color w:val="auto"/>
                    </w:rPr>
                    <w:t>接受公众监督。将企业突发环境事件应急预案演练和应急物资管理作为日常工作任务</w:t>
                  </w:r>
                  <w:r>
                    <w:rPr>
                      <w:rFonts w:hint="eastAsia"/>
                      <w:color w:val="auto"/>
                      <w:lang w:eastAsia="zh-CN"/>
                    </w:rPr>
                    <w:t>，</w:t>
                  </w:r>
                  <w:r>
                    <w:rPr>
                      <w:rFonts w:hint="eastAsia"/>
                      <w:color w:val="auto"/>
                    </w:rPr>
                    <w:t>不断提升环境风险防范应急保障能力。</w:t>
                  </w:r>
                </w:p>
              </w:tc>
              <w:tc>
                <w:tcPr>
                  <w:tcW w:w="0" w:type="auto"/>
                  <w:shd w:val="clear" w:color="auto" w:fill="auto"/>
                  <w:vAlign w:val="center"/>
                </w:tcPr>
                <w:p w14:paraId="72834AA1">
                  <w:pPr>
                    <w:pStyle w:val="101"/>
                    <w:rPr>
                      <w:color w:val="auto"/>
                    </w:rPr>
                  </w:pPr>
                  <w:r>
                    <w:rPr>
                      <w:rFonts w:hint="eastAsia"/>
                      <w:color w:val="auto"/>
                    </w:rPr>
                    <w:t>本次环评提出了日常和应急监测</w:t>
                  </w:r>
                  <w:r>
                    <w:rPr>
                      <w:rFonts w:hint="eastAsia"/>
                      <w:color w:val="auto"/>
                      <w:lang w:eastAsia="zh-CN"/>
                    </w:rPr>
                    <w:t>，</w:t>
                  </w:r>
                  <w:r>
                    <w:rPr>
                      <w:rFonts w:hint="eastAsia"/>
                      <w:color w:val="auto"/>
                    </w:rPr>
                    <w:t>项目配备大气特征污染物监控设备</w:t>
                  </w:r>
                  <w:r>
                    <w:rPr>
                      <w:rFonts w:hint="eastAsia"/>
                      <w:color w:val="auto"/>
                      <w:lang w:eastAsia="zh-CN"/>
                    </w:rPr>
                    <w:t>，</w:t>
                  </w:r>
                  <w:r>
                    <w:rPr>
                      <w:rFonts w:hint="eastAsia"/>
                      <w:color w:val="auto"/>
                    </w:rPr>
                    <w:t>建立完备的环境信息平台</w:t>
                  </w:r>
                  <w:r>
                    <w:rPr>
                      <w:rFonts w:hint="eastAsia"/>
                      <w:color w:val="auto"/>
                      <w:lang w:eastAsia="zh-CN"/>
                    </w:rPr>
                    <w:t>，</w:t>
                  </w:r>
                  <w:r>
                    <w:rPr>
                      <w:rFonts w:hint="eastAsia"/>
                      <w:color w:val="auto"/>
                    </w:rPr>
                    <w:t>定期向社会公布企业环境信息</w:t>
                  </w:r>
                  <w:r>
                    <w:rPr>
                      <w:rFonts w:hint="eastAsia"/>
                      <w:color w:val="auto"/>
                      <w:lang w:eastAsia="zh-CN"/>
                    </w:rPr>
                    <w:t>，</w:t>
                  </w:r>
                  <w:r>
                    <w:rPr>
                      <w:rFonts w:hint="eastAsia"/>
                      <w:color w:val="auto"/>
                    </w:rPr>
                    <w:t>将突发环境事件应急预案演练和应急物资管理作为日常工作任务。</w:t>
                  </w:r>
                </w:p>
              </w:tc>
              <w:tc>
                <w:tcPr>
                  <w:tcW w:w="0" w:type="auto"/>
                  <w:shd w:val="clear" w:color="auto" w:fill="auto"/>
                  <w:vAlign w:val="center"/>
                </w:tcPr>
                <w:p w14:paraId="3A55B4D2">
                  <w:pPr>
                    <w:pStyle w:val="101"/>
                    <w:rPr>
                      <w:color w:val="auto"/>
                    </w:rPr>
                  </w:pPr>
                  <w:r>
                    <w:rPr>
                      <w:color w:val="auto"/>
                    </w:rPr>
                    <w:t>符合</w:t>
                  </w:r>
                </w:p>
              </w:tc>
            </w:tr>
            <w:tr w14:paraId="4B46A5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0" w:type="auto"/>
                  <w:shd w:val="clear" w:color="auto" w:fill="auto"/>
                  <w:vAlign w:val="center"/>
                </w:tcPr>
                <w:p w14:paraId="18C25DDE">
                  <w:pPr>
                    <w:pStyle w:val="101"/>
                    <w:rPr>
                      <w:color w:val="auto"/>
                    </w:rPr>
                  </w:pPr>
                  <w:r>
                    <w:rPr>
                      <w:rFonts w:hint="eastAsia"/>
                      <w:color w:val="auto"/>
                    </w:rPr>
                    <w:t>（二十）企业应积极配合当地政府建设和完善项目所在园区（港区、资源开采区）环境风险预警体系、环境风险防控工程、环境应急保障体系。企业突发环境事件应急预案应与当地政府和相关部门以及周边企业、园区（港区、资源开采区）的应急预案相衔接</w:t>
                  </w:r>
                  <w:r>
                    <w:rPr>
                      <w:rFonts w:hint="eastAsia"/>
                      <w:color w:val="auto"/>
                      <w:lang w:eastAsia="zh-CN"/>
                    </w:rPr>
                    <w:t>，</w:t>
                  </w:r>
                  <w:r>
                    <w:rPr>
                      <w:rFonts w:hint="eastAsia"/>
                      <w:color w:val="auto"/>
                    </w:rPr>
                    <w:t>加强区域应急物资调配管理</w:t>
                  </w:r>
                  <w:r>
                    <w:rPr>
                      <w:rFonts w:hint="eastAsia"/>
                      <w:color w:val="auto"/>
                      <w:lang w:eastAsia="zh-CN"/>
                    </w:rPr>
                    <w:t>，</w:t>
                  </w:r>
                  <w:r>
                    <w:rPr>
                      <w:rFonts w:hint="eastAsia"/>
                      <w:color w:val="auto"/>
                    </w:rPr>
                    <w:t>构建区域环境风险联控机制。</w:t>
                  </w:r>
                </w:p>
              </w:tc>
              <w:tc>
                <w:tcPr>
                  <w:tcW w:w="0" w:type="auto"/>
                  <w:shd w:val="clear" w:color="auto" w:fill="auto"/>
                  <w:vAlign w:val="center"/>
                </w:tcPr>
                <w:p w14:paraId="03951566">
                  <w:pPr>
                    <w:pStyle w:val="101"/>
                    <w:rPr>
                      <w:color w:val="auto"/>
                    </w:rPr>
                  </w:pPr>
                  <w:r>
                    <w:rPr>
                      <w:rFonts w:hint="eastAsia"/>
                      <w:color w:val="auto"/>
                    </w:rPr>
                    <w:t>本次环评要求企业制定的突发环境事件应急预案应与当地政府和相关部门以及周边企业的应急预案相衔接。</w:t>
                  </w:r>
                </w:p>
              </w:tc>
              <w:tc>
                <w:tcPr>
                  <w:tcW w:w="0" w:type="auto"/>
                  <w:shd w:val="clear" w:color="auto" w:fill="auto"/>
                  <w:vAlign w:val="center"/>
                </w:tcPr>
                <w:p w14:paraId="7B61EF4F">
                  <w:pPr>
                    <w:pStyle w:val="101"/>
                    <w:rPr>
                      <w:color w:val="auto"/>
                    </w:rPr>
                  </w:pPr>
                  <w:r>
                    <w:rPr>
                      <w:color w:val="auto"/>
                    </w:rPr>
                    <w:t>符合</w:t>
                  </w:r>
                </w:p>
              </w:tc>
            </w:tr>
          </w:tbl>
          <w:p w14:paraId="69217FAC">
            <w:pPr>
              <w:pStyle w:val="114"/>
              <w:rPr>
                <w:color w:val="auto"/>
              </w:rPr>
            </w:pPr>
            <w:r>
              <w:rPr>
                <w:rFonts w:hint="eastAsia"/>
                <w:color w:val="auto"/>
              </w:rPr>
              <w:t>表1</w:t>
            </w:r>
            <w:r>
              <w:rPr>
                <w:color w:val="auto"/>
              </w:rPr>
              <w:t xml:space="preserve">-3  </w:t>
            </w:r>
            <w:r>
              <w:rPr>
                <w:rFonts w:hint="eastAsia"/>
                <w:color w:val="auto"/>
              </w:rPr>
              <w:t>本项目与环发〔2012〕98号文符合性一览表</w:t>
            </w:r>
          </w:p>
          <w:tbl>
            <w:tblPr>
              <w:tblStyle w:val="43"/>
              <w:tblW w:w="0" w:type="auto"/>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76"/>
              <w:gridCol w:w="4595"/>
              <w:gridCol w:w="846"/>
            </w:tblGrid>
            <w:tr w14:paraId="5189D25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76" w:type="dxa"/>
                  <w:shd w:val="clear" w:color="auto" w:fill="auto"/>
                  <w:vAlign w:val="center"/>
                </w:tcPr>
                <w:p w14:paraId="2CE3E788">
                  <w:pPr>
                    <w:pStyle w:val="101"/>
                    <w:rPr>
                      <w:color w:val="auto"/>
                    </w:rPr>
                  </w:pPr>
                  <w:r>
                    <w:rPr>
                      <w:rFonts w:hint="eastAsia"/>
                      <w:color w:val="auto"/>
                    </w:rPr>
                    <w:t>环发〔2012〕</w:t>
                  </w:r>
                  <w:r>
                    <w:rPr>
                      <w:color w:val="auto"/>
                    </w:rPr>
                    <w:t>98</w:t>
                  </w:r>
                  <w:r>
                    <w:rPr>
                      <w:rFonts w:hint="eastAsia"/>
                      <w:color w:val="auto"/>
                    </w:rPr>
                    <w:t xml:space="preserve"> 号要求</w:t>
                  </w:r>
                </w:p>
              </w:tc>
              <w:tc>
                <w:tcPr>
                  <w:tcW w:w="4595" w:type="dxa"/>
                  <w:shd w:val="clear" w:color="auto" w:fill="auto"/>
                  <w:vAlign w:val="center"/>
                </w:tcPr>
                <w:p w14:paraId="0BC31F97">
                  <w:pPr>
                    <w:pStyle w:val="101"/>
                    <w:rPr>
                      <w:color w:val="auto"/>
                    </w:rPr>
                  </w:pPr>
                  <w:r>
                    <w:rPr>
                      <w:rFonts w:hint="eastAsia"/>
                      <w:color w:val="auto"/>
                    </w:rPr>
                    <w:t>项目情况</w:t>
                  </w:r>
                </w:p>
              </w:tc>
              <w:tc>
                <w:tcPr>
                  <w:tcW w:w="0" w:type="auto"/>
                  <w:shd w:val="clear" w:color="auto" w:fill="auto"/>
                  <w:vAlign w:val="center"/>
                </w:tcPr>
                <w:p w14:paraId="5E9CA3D8">
                  <w:pPr>
                    <w:pStyle w:val="101"/>
                    <w:rPr>
                      <w:color w:val="auto"/>
                    </w:rPr>
                  </w:pPr>
                  <w:r>
                    <w:rPr>
                      <w:rFonts w:hint="eastAsia"/>
                      <w:color w:val="auto"/>
                    </w:rPr>
                    <w:t>符合性</w:t>
                  </w:r>
                </w:p>
              </w:tc>
            </w:tr>
            <w:tr w14:paraId="1DA61EE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76" w:type="dxa"/>
                  <w:shd w:val="clear" w:color="auto" w:fill="auto"/>
                  <w:vAlign w:val="center"/>
                </w:tcPr>
                <w:p w14:paraId="1CB85AEE">
                  <w:pPr>
                    <w:pStyle w:val="101"/>
                    <w:rPr>
                      <w:color w:val="auto"/>
                    </w:rPr>
                  </w:pPr>
                  <w:r>
                    <w:rPr>
                      <w:rFonts w:hint="eastAsia"/>
                      <w:color w:val="auto"/>
                    </w:rPr>
                    <w:t>化工石化、有色冶炼、制浆造纸等可能引发环境风险的项目</w:t>
                  </w:r>
                  <w:r>
                    <w:rPr>
                      <w:rFonts w:hint="eastAsia"/>
                      <w:color w:val="auto"/>
                      <w:lang w:eastAsia="zh-CN"/>
                    </w:rPr>
                    <w:t>，</w:t>
                  </w:r>
                  <w:r>
                    <w:rPr>
                      <w:rFonts w:hint="eastAsia"/>
                      <w:color w:val="auto"/>
                    </w:rPr>
                    <w:t>在符合国家产业政策和清洁生产水平要求、满足污染物排放标准以及污染物排放总量控制指标的前提下</w:t>
                  </w:r>
                  <w:r>
                    <w:rPr>
                      <w:rFonts w:hint="eastAsia"/>
                      <w:color w:val="auto"/>
                      <w:lang w:eastAsia="zh-CN"/>
                    </w:rPr>
                    <w:t>，</w:t>
                  </w:r>
                  <w:r>
                    <w:rPr>
                      <w:rFonts w:hint="eastAsia"/>
                      <w:color w:val="auto"/>
                    </w:rPr>
                    <w:t>必须在依法设立、环境保护基础设施齐全并经规划环评的产业园区内布设。在环境风险防控重点区域如居民集中区、医院和学校附近、重要水源涵养生态功能区等</w:t>
                  </w:r>
                  <w:r>
                    <w:rPr>
                      <w:rFonts w:hint="eastAsia"/>
                      <w:color w:val="auto"/>
                      <w:lang w:eastAsia="zh-CN"/>
                    </w:rPr>
                    <w:t>，</w:t>
                  </w:r>
                  <w:r>
                    <w:rPr>
                      <w:rFonts w:hint="eastAsia"/>
                      <w:color w:val="auto"/>
                    </w:rPr>
                    <w:t>以及因环境污染导致环境质量不能稳定达标的区域内</w:t>
                  </w:r>
                  <w:r>
                    <w:rPr>
                      <w:rFonts w:hint="eastAsia"/>
                      <w:color w:val="auto"/>
                      <w:lang w:eastAsia="zh-CN"/>
                    </w:rPr>
                    <w:t>，</w:t>
                  </w:r>
                  <w:r>
                    <w:rPr>
                      <w:rFonts w:hint="eastAsia"/>
                      <w:color w:val="auto"/>
                    </w:rPr>
                    <w:t>禁止新建或扩建可能引发环境风险的项目。</w:t>
                  </w:r>
                </w:p>
              </w:tc>
              <w:tc>
                <w:tcPr>
                  <w:tcW w:w="4595" w:type="dxa"/>
                  <w:shd w:val="clear" w:color="auto" w:fill="auto"/>
                  <w:vAlign w:val="center"/>
                </w:tcPr>
                <w:p w14:paraId="45025B53">
                  <w:pPr>
                    <w:pStyle w:val="101"/>
                    <w:rPr>
                      <w:color w:val="auto"/>
                    </w:rPr>
                  </w:pPr>
                  <w:r>
                    <w:rPr>
                      <w:rFonts w:hint="eastAsia"/>
                      <w:color w:val="auto"/>
                    </w:rPr>
                    <w:t>本项目为单纯混合灌装项目</w:t>
                  </w:r>
                  <w:r>
                    <w:rPr>
                      <w:rFonts w:hint="eastAsia"/>
                      <w:color w:val="auto"/>
                      <w:lang w:eastAsia="zh-CN"/>
                    </w:rPr>
                    <w:t>，</w:t>
                  </w:r>
                  <w:r>
                    <w:rPr>
                      <w:rFonts w:hint="eastAsia"/>
                      <w:color w:val="auto"/>
                    </w:rPr>
                    <w:t>符合国家产业政策和清洁生产水平要求</w:t>
                  </w:r>
                  <w:r>
                    <w:rPr>
                      <w:rFonts w:hint="eastAsia"/>
                      <w:color w:val="auto"/>
                      <w:lang w:eastAsia="zh-CN"/>
                    </w:rPr>
                    <w:t>，</w:t>
                  </w:r>
                  <w:r>
                    <w:rPr>
                      <w:rFonts w:hint="eastAsia"/>
                      <w:color w:val="auto"/>
                    </w:rPr>
                    <w:t>项目不涉及燃料燃烧</w:t>
                  </w:r>
                  <w:r>
                    <w:rPr>
                      <w:rFonts w:hint="eastAsia"/>
                      <w:color w:val="auto"/>
                      <w:lang w:eastAsia="zh-CN"/>
                    </w:rPr>
                    <w:t>，</w:t>
                  </w:r>
                  <w:r>
                    <w:rPr>
                      <w:rFonts w:hint="eastAsia"/>
                      <w:color w:val="auto"/>
                    </w:rPr>
                    <w:t>各项污染物采取了有效的治理措施</w:t>
                  </w:r>
                  <w:r>
                    <w:rPr>
                      <w:rFonts w:hint="eastAsia"/>
                      <w:color w:val="auto"/>
                      <w:lang w:eastAsia="zh-CN"/>
                    </w:rPr>
                    <w:t>，</w:t>
                  </w:r>
                  <w:r>
                    <w:rPr>
                      <w:rFonts w:hint="eastAsia"/>
                      <w:color w:val="auto"/>
                    </w:rPr>
                    <w:t>满足污染物排放标准以及污染物排放总量控制指标的要求</w:t>
                  </w:r>
                  <w:r>
                    <w:rPr>
                      <w:rFonts w:hint="eastAsia"/>
                      <w:color w:val="auto"/>
                      <w:lang w:eastAsia="zh-CN"/>
                    </w:rPr>
                    <w:t>，</w:t>
                  </w:r>
                  <w:r>
                    <w:rPr>
                      <w:rFonts w:hint="eastAsia"/>
                      <w:color w:val="auto"/>
                    </w:rPr>
                    <w:t>由《关于新建加工硫酸铵颗粒肥项目是否必须进园入区的回复》（2</w:t>
                  </w:r>
                  <w:r>
                    <w:rPr>
                      <w:color w:val="auto"/>
                    </w:rPr>
                    <w:t>018</w:t>
                  </w:r>
                  <w:r>
                    <w:rPr>
                      <w:rFonts w:hint="eastAsia"/>
                      <w:color w:val="auto"/>
                    </w:rPr>
                    <w:t>年1</w:t>
                  </w:r>
                  <w:r>
                    <w:rPr>
                      <w:color w:val="auto"/>
                    </w:rPr>
                    <w:t>1</w:t>
                  </w:r>
                  <w:r>
                    <w:rPr>
                      <w:rFonts w:hint="eastAsia"/>
                      <w:color w:val="auto"/>
                    </w:rPr>
                    <w:t>月1</w:t>
                  </w:r>
                  <w:r>
                    <w:rPr>
                      <w:color w:val="auto"/>
                    </w:rPr>
                    <w:t>9</w:t>
                  </w:r>
                  <w:r>
                    <w:rPr>
                      <w:rFonts w:hint="eastAsia"/>
                      <w:color w:val="auto"/>
                    </w:rPr>
                    <w:t>日部长信箱回复）可知</w:t>
                  </w:r>
                  <w:r>
                    <w:rPr>
                      <w:rFonts w:hint="eastAsia"/>
                      <w:color w:val="auto"/>
                      <w:lang w:eastAsia="zh-CN"/>
                    </w:rPr>
                    <w:t>，</w:t>
                  </w:r>
                  <w:r>
                    <w:rPr>
                      <w:rFonts w:hint="eastAsia"/>
                      <w:color w:val="auto"/>
                    </w:rPr>
                    <w:t>本项目无需进入专用的化工园区。项目5</w:t>
                  </w:r>
                  <w:r>
                    <w:rPr>
                      <w:color w:val="auto"/>
                    </w:rPr>
                    <w:t>00</w:t>
                  </w:r>
                  <w:r>
                    <w:rPr>
                      <w:rFonts w:hint="eastAsia"/>
                      <w:color w:val="auto"/>
                    </w:rPr>
                    <w:t>m范围内不涉及居民集中区、医院和学校、重要水源涵养生态功能区等</w:t>
                  </w:r>
                  <w:r>
                    <w:rPr>
                      <w:rFonts w:hint="eastAsia"/>
                      <w:color w:val="auto"/>
                      <w:lang w:eastAsia="zh-CN"/>
                    </w:rPr>
                    <w:t>，</w:t>
                  </w:r>
                  <w:r>
                    <w:rPr>
                      <w:rFonts w:hint="eastAsia"/>
                      <w:color w:val="auto"/>
                      <w:lang w:val="en-US" w:eastAsia="zh-CN"/>
                    </w:rPr>
                    <w:t>鹤岗</w:t>
                  </w:r>
                  <w:r>
                    <w:rPr>
                      <w:rFonts w:hint="eastAsia"/>
                      <w:color w:val="auto"/>
                    </w:rPr>
                    <w:t>市为环境空气质量达标区</w:t>
                  </w:r>
                  <w:r>
                    <w:rPr>
                      <w:rFonts w:hint="eastAsia"/>
                      <w:color w:val="auto"/>
                      <w:lang w:eastAsia="zh-CN"/>
                    </w:rPr>
                    <w:t>，</w:t>
                  </w:r>
                  <w:r>
                    <w:rPr>
                      <w:rFonts w:hint="eastAsia"/>
                      <w:color w:val="auto"/>
                    </w:rPr>
                    <w:t>故本项目建设符合要求。</w:t>
                  </w:r>
                </w:p>
              </w:tc>
              <w:tc>
                <w:tcPr>
                  <w:tcW w:w="0" w:type="auto"/>
                  <w:shd w:val="clear" w:color="auto" w:fill="auto"/>
                  <w:vAlign w:val="center"/>
                </w:tcPr>
                <w:p w14:paraId="55E337A4">
                  <w:pPr>
                    <w:pStyle w:val="101"/>
                    <w:rPr>
                      <w:color w:val="auto"/>
                    </w:rPr>
                  </w:pPr>
                  <w:r>
                    <w:rPr>
                      <w:color w:val="auto"/>
                    </w:rPr>
                    <w:t>符合</w:t>
                  </w:r>
                </w:p>
              </w:tc>
            </w:tr>
            <w:tr w14:paraId="784F75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2876" w:type="dxa"/>
                  <w:shd w:val="clear" w:color="auto" w:fill="auto"/>
                  <w:vAlign w:val="center"/>
                </w:tcPr>
                <w:p w14:paraId="495AB0DC">
                  <w:pPr>
                    <w:pStyle w:val="101"/>
                    <w:rPr>
                      <w:color w:val="auto"/>
                    </w:rPr>
                  </w:pPr>
                  <w:r>
                    <w:rPr>
                      <w:rFonts w:hint="eastAsia"/>
                      <w:color w:val="auto"/>
                    </w:rPr>
                    <w:t>各级环保部门在环评受理和审批中</w:t>
                  </w:r>
                  <w:r>
                    <w:rPr>
                      <w:rFonts w:hint="eastAsia"/>
                      <w:color w:val="auto"/>
                      <w:lang w:eastAsia="zh-CN"/>
                    </w:rPr>
                    <w:t>，</w:t>
                  </w:r>
                  <w:r>
                    <w:rPr>
                      <w:rFonts w:hint="eastAsia"/>
                      <w:color w:val="auto"/>
                    </w:rPr>
                    <w:t>要重点关注环境敏感目标保护、所涉及环境敏感区的主管部门相关意见、规划调整控制、防护距离内的居民搬迁安置方案和项目依托的公用环保设施或工程是否可行、是否存在环评违法行为等内容；对可能引发环境风险的项目</w:t>
                  </w:r>
                  <w:r>
                    <w:rPr>
                      <w:rFonts w:hint="eastAsia"/>
                      <w:color w:val="auto"/>
                      <w:lang w:eastAsia="zh-CN"/>
                    </w:rPr>
                    <w:t>，</w:t>
                  </w:r>
                  <w:r>
                    <w:rPr>
                      <w:rFonts w:hint="eastAsia"/>
                      <w:color w:val="auto"/>
                    </w:rPr>
                    <w:t>还要重点关注环境风险评价专章和环境风险防范措施；对水利水电、铁路、公路、机场、轨道交通、污水处理、垃圾处理处置、固废处理处置等社会关注度高的项目</w:t>
                  </w:r>
                  <w:r>
                    <w:rPr>
                      <w:rFonts w:hint="eastAsia"/>
                      <w:color w:val="auto"/>
                      <w:lang w:eastAsia="zh-CN"/>
                    </w:rPr>
                    <w:t>，</w:t>
                  </w:r>
                  <w:r>
                    <w:rPr>
                      <w:rFonts w:hint="eastAsia"/>
                      <w:color w:val="auto"/>
                    </w:rPr>
                    <w:t>还要重点关注选址选线是否具有环境优化空间。</w:t>
                  </w:r>
                </w:p>
              </w:tc>
              <w:tc>
                <w:tcPr>
                  <w:tcW w:w="4595" w:type="dxa"/>
                  <w:shd w:val="clear" w:color="auto" w:fill="auto"/>
                  <w:vAlign w:val="center"/>
                </w:tcPr>
                <w:p w14:paraId="2CB4D950">
                  <w:pPr>
                    <w:pStyle w:val="101"/>
                    <w:rPr>
                      <w:color w:val="auto"/>
                    </w:rPr>
                  </w:pPr>
                  <w:r>
                    <w:rPr>
                      <w:rFonts w:hint="eastAsia"/>
                      <w:color w:val="auto"/>
                    </w:rPr>
                    <w:t>本项目5</w:t>
                  </w:r>
                  <w:r>
                    <w:rPr>
                      <w:color w:val="auto"/>
                    </w:rPr>
                    <w:t>00m范围内</w:t>
                  </w:r>
                  <w:r>
                    <w:rPr>
                      <w:rFonts w:hint="eastAsia"/>
                      <w:color w:val="auto"/>
                    </w:rPr>
                    <w:t>不涉及环境敏感目标保护、环境敏感区</w:t>
                  </w:r>
                  <w:r>
                    <w:rPr>
                      <w:rFonts w:hint="eastAsia"/>
                      <w:color w:val="auto"/>
                      <w:lang w:eastAsia="zh-CN"/>
                    </w:rPr>
                    <w:t>，</w:t>
                  </w:r>
                  <w:r>
                    <w:rPr>
                      <w:rFonts w:hint="eastAsia"/>
                      <w:color w:val="auto"/>
                    </w:rPr>
                    <w:t>本评价已按照《建设项目环境影响报告表编制技术指南（污染影响类）（试行）》的要求</w:t>
                  </w:r>
                  <w:r>
                    <w:rPr>
                      <w:rFonts w:hint="eastAsia"/>
                      <w:color w:val="auto"/>
                      <w:lang w:eastAsia="zh-CN"/>
                    </w:rPr>
                    <w:t>，</w:t>
                  </w:r>
                  <w:r>
                    <w:rPr>
                      <w:rFonts w:hint="eastAsia"/>
                      <w:color w:val="auto"/>
                    </w:rPr>
                    <w:t>明确了有毒有害和易燃易爆等危险物质和风险源分布情况及可能影响途径</w:t>
                  </w:r>
                  <w:r>
                    <w:rPr>
                      <w:rFonts w:hint="eastAsia"/>
                      <w:color w:val="auto"/>
                      <w:lang w:eastAsia="zh-CN"/>
                    </w:rPr>
                    <w:t>，</w:t>
                  </w:r>
                  <w:r>
                    <w:rPr>
                      <w:rFonts w:hint="eastAsia"/>
                      <w:color w:val="auto"/>
                    </w:rPr>
                    <w:t>并提出相应环境风险防范措施。</w:t>
                  </w:r>
                </w:p>
              </w:tc>
              <w:tc>
                <w:tcPr>
                  <w:tcW w:w="0" w:type="auto"/>
                  <w:shd w:val="clear" w:color="auto" w:fill="auto"/>
                  <w:vAlign w:val="center"/>
                </w:tcPr>
                <w:p w14:paraId="72460B45">
                  <w:pPr>
                    <w:pStyle w:val="101"/>
                    <w:rPr>
                      <w:color w:val="auto"/>
                    </w:rPr>
                  </w:pPr>
                  <w:r>
                    <w:rPr>
                      <w:color w:val="auto"/>
                    </w:rPr>
                    <w:t>符合</w:t>
                  </w:r>
                </w:p>
              </w:tc>
            </w:tr>
          </w:tbl>
          <w:p w14:paraId="27512823">
            <w:pPr>
              <w:pStyle w:val="102"/>
              <w:ind w:firstLine="480"/>
              <w:rPr>
                <w:color w:val="auto"/>
              </w:rPr>
            </w:pPr>
            <w:r>
              <w:rPr>
                <w:rFonts w:hint="eastAsia"/>
                <w:color w:val="auto"/>
              </w:rPr>
              <w:t>由表1</w:t>
            </w:r>
            <w:r>
              <w:rPr>
                <w:color w:val="auto"/>
              </w:rPr>
              <w:t>-2</w:t>
            </w:r>
            <w:r>
              <w:rPr>
                <w:rFonts w:hint="eastAsia"/>
                <w:color w:val="auto"/>
              </w:rPr>
              <w:t>、表1</w:t>
            </w:r>
            <w:r>
              <w:rPr>
                <w:color w:val="auto"/>
              </w:rPr>
              <w:t>-3</w:t>
            </w:r>
            <w:r>
              <w:rPr>
                <w:rFonts w:hint="eastAsia"/>
                <w:color w:val="auto"/>
              </w:rPr>
              <w:t>分析可知</w:t>
            </w:r>
            <w:r>
              <w:rPr>
                <w:rFonts w:hint="eastAsia"/>
                <w:color w:val="auto"/>
                <w:lang w:eastAsia="zh-CN"/>
              </w:rPr>
              <w:t>，</w:t>
            </w:r>
            <w:r>
              <w:rPr>
                <w:rFonts w:hint="eastAsia"/>
                <w:color w:val="auto"/>
              </w:rPr>
              <w:t>本项目建设符合《关于进一步加强环境影响评价管理防范环境风险的通知》(环发〔2012〕77号)、《关于切实加强风险防范严格环境影响评价管理的通知》（环发〔2012〕98号）中的相关要求。</w:t>
            </w:r>
          </w:p>
          <w:p w14:paraId="5DC1E128">
            <w:pPr>
              <w:pStyle w:val="102"/>
              <w:ind w:firstLine="480"/>
              <w:rPr>
                <w:color w:val="auto"/>
                <w:highlight w:val="none"/>
              </w:rPr>
            </w:pPr>
            <w:r>
              <w:rPr>
                <w:rFonts w:hint="eastAsia"/>
                <w:color w:val="auto"/>
                <w:highlight w:val="none"/>
                <w:lang w:val="en-US" w:eastAsia="zh-CN"/>
              </w:rPr>
              <w:t>9</w:t>
            </w:r>
            <w:r>
              <w:rPr>
                <w:rFonts w:hint="eastAsia"/>
                <w:color w:val="auto"/>
                <w:highlight w:val="none"/>
              </w:rPr>
              <w:t>、选址合理性</w:t>
            </w:r>
            <w:r>
              <w:rPr>
                <w:color w:val="auto"/>
                <w:highlight w:val="none"/>
              </w:rPr>
              <w:t>分析</w:t>
            </w:r>
          </w:p>
          <w:p w14:paraId="13397BC1">
            <w:pPr>
              <w:pStyle w:val="102"/>
              <w:ind w:firstLine="480"/>
              <w:rPr>
                <w:color w:val="auto"/>
                <w:highlight w:val="none"/>
              </w:rPr>
            </w:pPr>
            <w:r>
              <w:rPr>
                <w:rFonts w:hint="eastAsia"/>
                <w:color w:val="auto"/>
                <w:highlight w:val="none"/>
              </w:rPr>
              <w:t>本</w:t>
            </w:r>
            <w:r>
              <w:rPr>
                <w:color w:val="auto"/>
                <w:highlight w:val="none"/>
              </w:rPr>
              <w:t>项目位于</w:t>
            </w:r>
            <w:r>
              <w:rPr>
                <w:rFonts w:hint="eastAsia"/>
                <w:color w:val="auto"/>
                <w:highlight w:val="none"/>
                <w:lang w:eastAsia="zh-CN"/>
              </w:rPr>
              <w:t>黑龙江省鹤岗市南山区五委十三组南山煤矿院内，</w:t>
            </w:r>
            <w:r>
              <w:rPr>
                <w:rFonts w:hint="eastAsia"/>
                <w:color w:val="auto"/>
                <w:highlight w:val="none"/>
                <w:lang w:val="en-US" w:eastAsia="zh-CN"/>
              </w:rPr>
              <w:t>租赁黑龙江省鹤岗矿业集团南山煤矿闲置厂房，</w:t>
            </w:r>
            <w:r>
              <w:rPr>
                <w:color w:val="auto"/>
                <w:sz w:val="24"/>
                <w:highlight w:val="none"/>
              </w:rPr>
              <w:t>厂址坐标：</w:t>
            </w:r>
            <w:r>
              <w:rPr>
                <w:rFonts w:hint="eastAsia"/>
                <w:color w:val="auto"/>
                <w:sz w:val="24"/>
                <w:highlight w:val="none"/>
              </w:rPr>
              <w:t>经度130.283711</w:t>
            </w:r>
            <w:r>
              <w:rPr>
                <w:color w:val="auto"/>
                <w:sz w:val="24"/>
                <w:highlight w:val="none"/>
              </w:rPr>
              <w:t>°</w:t>
            </w:r>
            <w:r>
              <w:rPr>
                <w:rFonts w:hint="eastAsia"/>
                <w:color w:val="auto"/>
                <w:sz w:val="24"/>
                <w:highlight w:val="none"/>
                <w:lang w:eastAsia="zh-CN"/>
              </w:rPr>
              <w:t>，</w:t>
            </w:r>
            <w:r>
              <w:rPr>
                <w:rFonts w:hint="eastAsia"/>
                <w:color w:val="auto"/>
                <w:sz w:val="24"/>
                <w:highlight w:val="none"/>
                <w:lang w:val="en-US" w:eastAsia="zh-CN"/>
              </w:rPr>
              <w:t>纬度</w:t>
            </w:r>
            <w:r>
              <w:rPr>
                <w:rFonts w:hint="eastAsia"/>
                <w:color w:val="auto"/>
                <w:sz w:val="24"/>
                <w:highlight w:val="none"/>
              </w:rPr>
              <w:t>47.300400</w:t>
            </w:r>
            <w:r>
              <w:rPr>
                <w:color w:val="auto"/>
                <w:sz w:val="24"/>
                <w:highlight w:val="none"/>
              </w:rPr>
              <w:t>°。</w:t>
            </w:r>
            <w:r>
              <w:rPr>
                <w:rFonts w:hint="eastAsia"/>
                <w:color w:val="auto"/>
                <w:highlight w:val="none"/>
              </w:rPr>
              <w:t>占地面积</w:t>
            </w:r>
            <w:r>
              <w:rPr>
                <w:rFonts w:hint="eastAsia"/>
                <w:color w:val="auto"/>
                <w:highlight w:val="none"/>
                <w:lang w:eastAsia="zh-CN"/>
              </w:rPr>
              <w:t>1000</w:t>
            </w:r>
            <w:r>
              <w:rPr>
                <w:rFonts w:hint="eastAsia"/>
                <w:color w:val="auto"/>
                <w:highlight w:val="none"/>
              </w:rPr>
              <w:t>m</w:t>
            </w:r>
            <w:r>
              <w:rPr>
                <w:color w:val="auto"/>
                <w:highlight w:val="none"/>
                <w:vertAlign w:val="superscript"/>
              </w:rPr>
              <w:t>2</w:t>
            </w:r>
            <w:r>
              <w:rPr>
                <w:rFonts w:hint="eastAsia"/>
                <w:color w:val="auto"/>
                <w:highlight w:val="none"/>
                <w:lang w:eastAsia="zh-CN"/>
              </w:rPr>
              <w:t>，</w:t>
            </w:r>
            <w:r>
              <w:rPr>
                <w:rFonts w:hint="eastAsia"/>
                <w:color w:val="auto"/>
                <w:highlight w:val="none"/>
              </w:rPr>
              <w:t>用地性质为工业用地</w:t>
            </w:r>
            <w:r>
              <w:rPr>
                <w:color w:val="auto"/>
                <w:highlight w:val="none"/>
              </w:rPr>
              <w:t>。</w:t>
            </w:r>
            <w:r>
              <w:rPr>
                <w:rFonts w:hint="eastAsia"/>
                <w:color w:val="auto"/>
                <w:highlight w:val="none"/>
              </w:rPr>
              <w:t>项目南侧</w:t>
            </w:r>
            <w:r>
              <w:rPr>
                <w:rFonts w:hint="eastAsia"/>
                <w:color w:val="auto"/>
                <w:highlight w:val="none"/>
                <w:lang w:val="en-US" w:eastAsia="zh-CN"/>
              </w:rPr>
              <w:t>及西侧</w:t>
            </w:r>
            <w:r>
              <w:rPr>
                <w:rFonts w:hint="eastAsia"/>
                <w:color w:val="auto"/>
                <w:highlight w:val="none"/>
              </w:rPr>
              <w:t>为</w:t>
            </w:r>
            <w:r>
              <w:rPr>
                <w:rFonts w:hint="eastAsia"/>
                <w:color w:val="auto"/>
                <w:highlight w:val="none"/>
                <w:lang w:val="en-US" w:eastAsia="zh-CN"/>
              </w:rPr>
              <w:t>南山</w:t>
            </w:r>
            <w:r>
              <w:rPr>
                <w:rFonts w:hint="eastAsia"/>
                <w:color w:val="auto"/>
                <w:highlight w:val="none"/>
              </w:rPr>
              <w:t>煤矿</w:t>
            </w:r>
            <w:r>
              <w:rPr>
                <w:rFonts w:hint="eastAsia"/>
                <w:color w:val="auto"/>
                <w:highlight w:val="none"/>
                <w:lang w:val="en-US" w:eastAsia="zh-CN"/>
              </w:rPr>
              <w:t>闲置厂房，东侧及北侧南山煤矿空地</w:t>
            </w:r>
            <w:r>
              <w:rPr>
                <w:rFonts w:hint="eastAsia"/>
                <w:color w:val="auto"/>
                <w:highlight w:val="none"/>
              </w:rPr>
              <w:t>。</w:t>
            </w:r>
          </w:p>
          <w:p w14:paraId="14204EBF">
            <w:pPr>
              <w:pStyle w:val="102"/>
              <w:ind w:firstLine="480"/>
              <w:rPr>
                <w:color w:val="auto"/>
              </w:rPr>
            </w:pPr>
            <w:r>
              <w:rPr>
                <w:rFonts w:hint="eastAsia"/>
                <w:color w:val="auto"/>
                <w:highlight w:val="none"/>
              </w:rPr>
              <w:t>本项目为单纯混合</w:t>
            </w:r>
            <w:r>
              <w:rPr>
                <w:rFonts w:hint="eastAsia"/>
                <w:color w:val="auto"/>
              </w:rPr>
              <w:t>分装工艺</w:t>
            </w:r>
            <w:r>
              <w:rPr>
                <w:rFonts w:hint="eastAsia"/>
                <w:color w:val="auto"/>
                <w:lang w:eastAsia="zh-CN"/>
              </w:rPr>
              <w:t>，</w:t>
            </w:r>
            <w:r>
              <w:rPr>
                <w:rFonts w:hint="eastAsia"/>
                <w:color w:val="auto"/>
              </w:rPr>
              <w:t>本项目建设符合《关于进一步加强环境影响评价管理防范环境风险的通知》(环发〔2012〕77号)、《关于切实加强风险防范严格环境影响评价管理的通知》（环发〔2012〕98号）中的相关要求</w:t>
            </w:r>
            <w:r>
              <w:rPr>
                <w:rFonts w:hint="eastAsia"/>
                <w:color w:val="auto"/>
                <w:lang w:eastAsia="zh-CN"/>
              </w:rPr>
              <w:t>，</w:t>
            </w:r>
            <w:r>
              <w:rPr>
                <w:rFonts w:hint="eastAsia"/>
                <w:color w:val="auto"/>
              </w:rPr>
              <w:t>本项目利用其中一栋闲置建筑进行生产</w:t>
            </w:r>
            <w:r>
              <w:rPr>
                <w:rFonts w:hint="eastAsia"/>
                <w:color w:val="auto"/>
                <w:lang w:eastAsia="zh-CN"/>
              </w:rPr>
              <w:t>，</w:t>
            </w:r>
            <w:r>
              <w:rPr>
                <w:rFonts w:hint="eastAsia"/>
                <w:color w:val="auto"/>
              </w:rPr>
              <w:t>项目不在居住区范围内建厂</w:t>
            </w:r>
            <w:r>
              <w:rPr>
                <w:rFonts w:hint="eastAsia"/>
                <w:color w:val="auto"/>
                <w:lang w:eastAsia="zh-CN"/>
              </w:rPr>
              <w:t>，</w:t>
            </w:r>
            <w:r>
              <w:rPr>
                <w:color w:val="auto"/>
              </w:rPr>
              <w:t>项目选址不属于</w:t>
            </w:r>
            <w:r>
              <w:rPr>
                <w:rFonts w:hint="eastAsia"/>
                <w:color w:val="auto"/>
              </w:rPr>
              <w:t>自然保护区、风景名胜区、</w:t>
            </w:r>
            <w:r>
              <w:rPr>
                <w:color w:val="auto"/>
              </w:rPr>
              <w:t>生活饮用水源地保护区、温泉疗养区、水产养殖区、基本农田保护区等</w:t>
            </w:r>
            <w:r>
              <w:rPr>
                <w:rFonts w:hint="eastAsia"/>
                <w:color w:val="auto"/>
              </w:rPr>
              <w:t>其他</w:t>
            </w:r>
            <w:r>
              <w:rPr>
                <w:color w:val="auto"/>
              </w:rPr>
              <w:t>需要特殊保护区域</w:t>
            </w:r>
            <w:r>
              <w:rPr>
                <w:rFonts w:hint="eastAsia"/>
                <w:color w:val="auto"/>
              </w:rPr>
              <w:t>。本项目主要为混配工艺</w:t>
            </w:r>
            <w:r>
              <w:rPr>
                <w:rFonts w:hint="eastAsia"/>
                <w:color w:val="auto"/>
                <w:lang w:eastAsia="zh-CN"/>
              </w:rPr>
              <w:t>，</w:t>
            </w:r>
            <w:r>
              <w:rPr>
                <w:rFonts w:hint="eastAsia"/>
                <w:color w:val="auto"/>
              </w:rPr>
              <w:t>生产工艺简单</w:t>
            </w:r>
            <w:r>
              <w:rPr>
                <w:rFonts w:hint="eastAsia"/>
                <w:color w:val="auto"/>
                <w:lang w:eastAsia="zh-CN"/>
              </w:rPr>
              <w:t>，</w:t>
            </w:r>
            <w:r>
              <w:rPr>
                <w:rFonts w:hint="eastAsia"/>
                <w:color w:val="auto"/>
              </w:rPr>
              <w:t>生产过程中通过采取相应措施后对周围环境影响接受</w:t>
            </w:r>
            <w:r>
              <w:rPr>
                <w:rFonts w:hint="eastAsia"/>
                <w:color w:val="auto"/>
                <w:lang w:eastAsia="zh-CN"/>
              </w:rPr>
              <w:t>，</w:t>
            </w:r>
            <w:r>
              <w:rPr>
                <w:rFonts w:hint="eastAsia"/>
                <w:color w:val="auto"/>
              </w:rPr>
              <w:t>项目厂区下风向无敏感区分布</w:t>
            </w:r>
            <w:r>
              <w:rPr>
                <w:rFonts w:hint="eastAsia"/>
                <w:color w:val="auto"/>
                <w:lang w:eastAsia="zh-CN"/>
              </w:rPr>
              <w:t>，</w:t>
            </w:r>
            <w:r>
              <w:rPr>
                <w:rFonts w:hint="eastAsia"/>
                <w:color w:val="auto"/>
              </w:rPr>
              <w:t>故本项目建设对环境影响可接受。本项目地理位置优越</w:t>
            </w:r>
            <w:r>
              <w:rPr>
                <w:rFonts w:hint="eastAsia"/>
                <w:color w:val="auto"/>
                <w:lang w:eastAsia="zh-CN"/>
              </w:rPr>
              <w:t>，</w:t>
            </w:r>
            <w:r>
              <w:rPr>
                <w:rFonts w:hint="eastAsia"/>
                <w:color w:val="auto"/>
              </w:rPr>
              <w:t>生产的产品可直接外售给正阳煤矿使用</w:t>
            </w:r>
            <w:r>
              <w:rPr>
                <w:rFonts w:hint="eastAsia"/>
                <w:color w:val="auto"/>
                <w:lang w:eastAsia="zh-CN"/>
              </w:rPr>
              <w:t>，</w:t>
            </w:r>
            <w:r>
              <w:rPr>
                <w:rFonts w:hint="eastAsia"/>
                <w:color w:val="auto"/>
              </w:rPr>
              <w:t>有利于产品的外售。因此</w:t>
            </w:r>
            <w:r>
              <w:rPr>
                <w:rFonts w:hint="eastAsia"/>
                <w:color w:val="auto"/>
                <w:lang w:eastAsia="zh-CN"/>
              </w:rPr>
              <w:t>，</w:t>
            </w:r>
            <w:r>
              <w:rPr>
                <w:rFonts w:hint="eastAsia"/>
                <w:color w:val="auto"/>
              </w:rPr>
              <w:t>本项目选址合理。</w:t>
            </w:r>
          </w:p>
          <w:p w14:paraId="59784676">
            <w:pPr>
              <w:pStyle w:val="102"/>
              <w:ind w:firstLine="0" w:firstLineChars="0"/>
              <w:rPr>
                <w:color w:val="auto"/>
              </w:rPr>
            </w:pPr>
          </w:p>
          <w:p w14:paraId="48183ED5">
            <w:pPr>
              <w:pStyle w:val="102"/>
              <w:ind w:firstLine="0" w:firstLineChars="0"/>
              <w:rPr>
                <w:color w:val="auto"/>
              </w:rPr>
            </w:pPr>
          </w:p>
          <w:p w14:paraId="7103806D">
            <w:pPr>
              <w:pStyle w:val="102"/>
              <w:ind w:firstLine="0" w:firstLineChars="0"/>
              <w:rPr>
                <w:color w:val="auto"/>
              </w:rPr>
            </w:pPr>
          </w:p>
          <w:p w14:paraId="374A7D73">
            <w:pPr>
              <w:pStyle w:val="102"/>
              <w:ind w:firstLine="0" w:firstLineChars="0"/>
              <w:rPr>
                <w:color w:val="auto"/>
              </w:rPr>
            </w:pPr>
          </w:p>
          <w:p w14:paraId="3BF80E5F">
            <w:pPr>
              <w:pStyle w:val="102"/>
              <w:ind w:firstLine="0" w:firstLineChars="0"/>
              <w:rPr>
                <w:color w:val="auto"/>
              </w:rPr>
            </w:pPr>
          </w:p>
        </w:tc>
      </w:tr>
    </w:tbl>
    <w:p w14:paraId="3A7946B5">
      <w:pPr>
        <w:rPr>
          <w:rFonts w:ascii="Times New Roman" w:hAnsi="Times New Roman"/>
          <w:snapToGrid w:val="0"/>
          <w:color w:val="auto"/>
          <w:sz w:val="30"/>
          <w:szCs w:val="30"/>
        </w:rPr>
      </w:pPr>
      <w:bookmarkStart w:id="4" w:name="_Toc83393931"/>
      <w:r>
        <w:rPr>
          <w:rFonts w:ascii="Times New Roman" w:hAnsi="Times New Roman"/>
          <w:snapToGrid w:val="0"/>
          <w:color w:val="auto"/>
          <w:sz w:val="30"/>
          <w:szCs w:val="30"/>
        </w:rPr>
        <w:br w:type="page"/>
      </w:r>
    </w:p>
    <w:p w14:paraId="6C6E6936">
      <w:pPr>
        <w:pStyle w:val="38"/>
        <w:keepNext/>
        <w:widowControl w:val="0"/>
        <w:jc w:val="center"/>
        <w:outlineLvl w:val="0"/>
        <w:rPr>
          <w:rFonts w:ascii="Times New Roman" w:hAnsi="Times New Roman"/>
          <w:snapToGrid w:val="0"/>
          <w:color w:val="auto"/>
          <w:sz w:val="30"/>
          <w:szCs w:val="30"/>
        </w:rPr>
      </w:pPr>
      <w:r>
        <w:rPr>
          <w:rFonts w:ascii="Times New Roman" w:hAnsi="Times New Roman"/>
          <w:snapToGrid w:val="0"/>
          <w:color w:val="auto"/>
          <w:sz w:val="30"/>
          <w:szCs w:val="30"/>
        </w:rPr>
        <w:t>二、建设项目工程分析</w:t>
      </w:r>
      <w:bookmarkEnd w:id="4"/>
    </w:p>
    <w:tbl>
      <w:tblPr>
        <w:tblStyle w:val="4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421"/>
        <w:gridCol w:w="8639"/>
      </w:tblGrid>
      <w:tr w14:paraId="7D08CAE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PrEx>
        <w:trPr>
          <w:trHeight w:val="680" w:hRule="atLeast"/>
          <w:jc w:val="center"/>
        </w:trPr>
        <w:tc>
          <w:tcPr>
            <w:tcW w:w="392" w:type="dxa"/>
            <w:vAlign w:val="center"/>
          </w:tcPr>
          <w:p w14:paraId="48474FF1">
            <w:pPr>
              <w:pStyle w:val="38"/>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建设内容</w:t>
            </w:r>
          </w:p>
        </w:tc>
        <w:tc>
          <w:tcPr>
            <w:tcW w:w="8668" w:type="dxa"/>
          </w:tcPr>
          <w:p w14:paraId="369091F5">
            <w:pPr>
              <w:pStyle w:val="102"/>
              <w:ind w:firstLine="480"/>
              <w:rPr>
                <w:color w:val="auto"/>
              </w:rPr>
            </w:pPr>
            <w:r>
              <w:rPr>
                <w:color w:val="auto"/>
              </w:rPr>
              <w:t>1、建设内容及规模</w:t>
            </w:r>
          </w:p>
          <w:p w14:paraId="65722094">
            <w:pPr>
              <w:pStyle w:val="102"/>
              <w:ind w:firstLine="480"/>
              <w:rPr>
                <w:color w:val="auto"/>
              </w:rPr>
            </w:pPr>
            <w:r>
              <w:rPr>
                <w:rFonts w:hint="eastAsia"/>
                <w:color w:val="auto"/>
              </w:rPr>
              <w:t>本</w:t>
            </w:r>
            <w:r>
              <w:rPr>
                <w:color w:val="auto"/>
              </w:rPr>
              <w:t>项目位于</w:t>
            </w:r>
            <w:r>
              <w:rPr>
                <w:rFonts w:hint="eastAsia"/>
                <w:color w:val="auto"/>
                <w:lang w:eastAsia="zh-CN"/>
              </w:rPr>
              <w:t>黑龙江省鹤岗市南山区五委十三组南山煤矿院内，</w:t>
            </w:r>
            <w:r>
              <w:rPr>
                <w:rFonts w:hint="eastAsia"/>
                <w:color w:val="auto"/>
                <w:highlight w:val="none"/>
                <w:lang w:val="en-US" w:eastAsia="zh-CN"/>
              </w:rPr>
              <w:t>租赁黑龙江省鹤岗矿业集团南山煤矿闲置厂房，</w:t>
            </w:r>
            <w:r>
              <w:rPr>
                <w:rFonts w:hint="eastAsia"/>
                <w:color w:val="auto"/>
              </w:rPr>
              <w:t>占地面积</w:t>
            </w:r>
            <w:r>
              <w:rPr>
                <w:rFonts w:hint="eastAsia"/>
                <w:color w:val="auto"/>
                <w:lang w:eastAsia="zh-CN"/>
              </w:rPr>
              <w:t>1000</w:t>
            </w:r>
            <w:r>
              <w:rPr>
                <w:rFonts w:hint="eastAsia"/>
                <w:color w:val="auto"/>
              </w:rPr>
              <w:t>m</w:t>
            </w:r>
            <w:r>
              <w:rPr>
                <w:color w:val="auto"/>
                <w:vertAlign w:val="superscript"/>
              </w:rPr>
              <w:t>2</w:t>
            </w:r>
            <w:r>
              <w:rPr>
                <w:rFonts w:hint="eastAsia"/>
                <w:color w:val="auto"/>
                <w:lang w:eastAsia="zh-CN"/>
              </w:rPr>
              <w:t>，</w:t>
            </w:r>
            <w:r>
              <w:rPr>
                <w:rFonts w:hint="eastAsia"/>
                <w:color w:val="auto"/>
              </w:rPr>
              <w:t>用地性质为工业用地</w:t>
            </w:r>
            <w:r>
              <w:rPr>
                <w:rFonts w:hint="eastAsia"/>
                <w:color w:val="auto"/>
                <w:lang w:eastAsia="zh-CN"/>
              </w:rPr>
              <w:t>，</w:t>
            </w:r>
            <w:r>
              <w:rPr>
                <w:rFonts w:hint="eastAsia"/>
                <w:color w:val="auto"/>
                <w:lang w:val="en-US" w:eastAsia="zh-CN"/>
              </w:rPr>
              <w:t>本项目使用一部分进行生产</w:t>
            </w:r>
            <w:r>
              <w:rPr>
                <w:color w:val="auto"/>
              </w:rPr>
              <w:t>。</w:t>
            </w:r>
            <w:r>
              <w:rPr>
                <w:rFonts w:hint="eastAsia"/>
                <w:color w:val="auto"/>
              </w:rPr>
              <w:t>本项目利用其中厂区</w:t>
            </w:r>
            <w:r>
              <w:rPr>
                <w:rFonts w:hint="eastAsia"/>
                <w:color w:val="auto"/>
                <w:lang w:val="en-US" w:eastAsia="zh-CN"/>
              </w:rPr>
              <w:t>2栋</w:t>
            </w:r>
            <w:r>
              <w:rPr>
                <w:rFonts w:hint="eastAsia"/>
                <w:color w:val="auto"/>
              </w:rPr>
              <w:t>闲置建筑中部分区域进行生产</w:t>
            </w:r>
            <w:r>
              <w:rPr>
                <w:rFonts w:hint="eastAsia"/>
                <w:color w:val="auto"/>
                <w:lang w:eastAsia="zh-CN"/>
              </w:rPr>
              <w:t>，</w:t>
            </w:r>
            <w:r>
              <w:rPr>
                <w:rFonts w:hint="eastAsia"/>
                <w:color w:val="auto"/>
                <w:lang w:val="en-US" w:eastAsia="zh-CN"/>
              </w:rPr>
              <w:t>总</w:t>
            </w:r>
            <w:r>
              <w:rPr>
                <w:rFonts w:hint="eastAsia"/>
                <w:color w:val="auto"/>
              </w:rPr>
              <w:t>建筑</w:t>
            </w:r>
            <w:r>
              <w:rPr>
                <w:color w:val="auto"/>
              </w:rPr>
              <w:t>面积</w:t>
            </w:r>
            <w:r>
              <w:rPr>
                <w:rFonts w:hint="eastAsia"/>
                <w:color w:val="auto"/>
                <w:lang w:val="en-US" w:eastAsia="zh-CN"/>
              </w:rPr>
              <w:t>550</w:t>
            </w:r>
            <w:r>
              <w:rPr>
                <w:rFonts w:hint="eastAsia"/>
                <w:color w:val="auto"/>
              </w:rPr>
              <w:t>m</w:t>
            </w:r>
            <w:r>
              <w:rPr>
                <w:color w:val="auto"/>
                <w:vertAlign w:val="superscript"/>
              </w:rPr>
              <w:t>2</w:t>
            </w:r>
            <w:r>
              <w:rPr>
                <w:rFonts w:hint="eastAsia"/>
                <w:color w:val="auto"/>
                <w:lang w:eastAsia="zh-CN"/>
              </w:rPr>
              <w:t>，</w:t>
            </w:r>
            <w:r>
              <w:rPr>
                <w:rFonts w:hint="eastAsia"/>
                <w:color w:val="auto"/>
                <w:lang w:val="en-US" w:eastAsia="zh-CN"/>
              </w:rPr>
              <w:t>包括生产车间、办公室、化验室。</w:t>
            </w:r>
            <w:r>
              <w:rPr>
                <w:rFonts w:hint="eastAsia"/>
                <w:color w:val="auto"/>
              </w:rPr>
              <w:t>项目建成后</w:t>
            </w:r>
            <w:r>
              <w:rPr>
                <w:rFonts w:hint="eastAsia"/>
                <w:color w:val="auto"/>
                <w:lang w:eastAsia="zh-CN"/>
              </w:rPr>
              <w:t>，</w:t>
            </w:r>
            <w:r>
              <w:rPr>
                <w:color w:val="auto"/>
              </w:rPr>
              <w:t>年</w:t>
            </w:r>
            <w:r>
              <w:rPr>
                <w:rFonts w:hint="eastAsia"/>
                <w:color w:val="auto"/>
              </w:rPr>
              <w:t>生产</w:t>
            </w:r>
            <w:r>
              <w:rPr>
                <w:rFonts w:hint="eastAsia"/>
                <w:color w:val="auto"/>
                <w:lang w:eastAsia="zh-CN"/>
              </w:rPr>
              <w:t>煤矿加固煤岩体用硅酸盐改性聚氨醋材料3000</w:t>
            </w:r>
            <w:r>
              <w:rPr>
                <w:rFonts w:hint="eastAsia"/>
                <w:color w:val="auto"/>
              </w:rPr>
              <w:t>t</w:t>
            </w:r>
            <w:r>
              <w:rPr>
                <w:color w:val="auto"/>
              </w:rPr>
              <w:t>/</w:t>
            </w:r>
            <w:r>
              <w:rPr>
                <w:rFonts w:hint="eastAsia"/>
                <w:color w:val="auto"/>
              </w:rPr>
              <w:t>a</w:t>
            </w:r>
            <w:r>
              <w:rPr>
                <w:color w:val="auto"/>
              </w:rPr>
              <w:t>。建设内容见表2-1。</w:t>
            </w:r>
          </w:p>
          <w:p w14:paraId="59506C27">
            <w:pPr>
              <w:pStyle w:val="12"/>
              <w:keepNext/>
              <w:adjustRightInd w:val="0"/>
              <w:snapToGrid w:val="0"/>
              <w:ind w:firstLine="0"/>
              <w:jc w:val="center"/>
              <w:rPr>
                <w:b/>
                <w:color w:val="auto"/>
                <w:sz w:val="21"/>
                <w:szCs w:val="21"/>
              </w:rPr>
            </w:pPr>
            <w:r>
              <w:rPr>
                <w:b/>
                <w:color w:val="auto"/>
                <w:sz w:val="21"/>
                <w:szCs w:val="21"/>
              </w:rPr>
              <w:t xml:space="preserve">表2-1 </w:t>
            </w:r>
            <w:r>
              <w:rPr>
                <w:rFonts w:hint="eastAsia"/>
                <w:b/>
                <w:color w:val="auto"/>
                <w:sz w:val="21"/>
                <w:szCs w:val="21"/>
                <w:lang w:val="en-US" w:eastAsia="zh-CN"/>
              </w:rPr>
              <w:t xml:space="preserve"> </w:t>
            </w:r>
            <w:r>
              <w:rPr>
                <w:b/>
                <w:color w:val="auto"/>
                <w:sz w:val="21"/>
                <w:szCs w:val="21"/>
              </w:rPr>
              <w:t>项目建设内容一览表</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1"/>
              <w:gridCol w:w="849"/>
              <w:gridCol w:w="6863"/>
            </w:tblGrid>
            <w:tr w14:paraId="0D854D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Align w:val="center"/>
                </w:tcPr>
                <w:p w14:paraId="6ADEB448">
                  <w:pPr>
                    <w:widowControl/>
                    <w:jc w:val="center"/>
                    <w:rPr>
                      <w:color w:val="auto"/>
                      <w:szCs w:val="21"/>
                    </w:rPr>
                  </w:pPr>
                  <w:r>
                    <w:rPr>
                      <w:rFonts w:hint="eastAsia"/>
                      <w:color w:val="auto"/>
                      <w:szCs w:val="21"/>
                    </w:rPr>
                    <w:t>工程类别</w:t>
                  </w:r>
                </w:p>
              </w:tc>
              <w:tc>
                <w:tcPr>
                  <w:tcW w:w="504" w:type="pct"/>
                  <w:vAlign w:val="center"/>
                </w:tcPr>
                <w:p w14:paraId="5352FB56">
                  <w:pPr>
                    <w:widowControl/>
                    <w:jc w:val="center"/>
                    <w:rPr>
                      <w:color w:val="auto"/>
                      <w:szCs w:val="21"/>
                    </w:rPr>
                  </w:pPr>
                  <w:r>
                    <w:rPr>
                      <w:rFonts w:hint="eastAsia"/>
                      <w:color w:val="auto"/>
                      <w:szCs w:val="21"/>
                    </w:rPr>
                    <w:t>工程名称</w:t>
                  </w:r>
                </w:p>
              </w:tc>
              <w:tc>
                <w:tcPr>
                  <w:tcW w:w="4072" w:type="pct"/>
                  <w:vAlign w:val="center"/>
                </w:tcPr>
                <w:p w14:paraId="40D3FA11">
                  <w:pPr>
                    <w:widowControl/>
                    <w:jc w:val="center"/>
                    <w:rPr>
                      <w:color w:val="auto"/>
                      <w:szCs w:val="21"/>
                    </w:rPr>
                  </w:pPr>
                  <w:r>
                    <w:rPr>
                      <w:rFonts w:hint="eastAsia"/>
                      <w:color w:val="auto"/>
                      <w:szCs w:val="21"/>
                    </w:rPr>
                    <w:t>工程内容</w:t>
                  </w:r>
                </w:p>
              </w:tc>
            </w:tr>
            <w:tr w14:paraId="0B54A4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Align w:val="center"/>
                </w:tcPr>
                <w:p w14:paraId="4C1D26D0">
                  <w:pPr>
                    <w:jc w:val="center"/>
                    <w:rPr>
                      <w:color w:val="auto"/>
                      <w:szCs w:val="21"/>
                    </w:rPr>
                  </w:pPr>
                  <w:r>
                    <w:rPr>
                      <w:rFonts w:hint="eastAsia"/>
                      <w:color w:val="auto"/>
                      <w:szCs w:val="21"/>
                    </w:rPr>
                    <w:t>主体工程</w:t>
                  </w:r>
                </w:p>
              </w:tc>
              <w:tc>
                <w:tcPr>
                  <w:tcW w:w="504" w:type="pct"/>
                  <w:vAlign w:val="center"/>
                </w:tcPr>
                <w:p w14:paraId="2AF74A09">
                  <w:pPr>
                    <w:widowControl/>
                    <w:jc w:val="center"/>
                    <w:rPr>
                      <w:rFonts w:hint="eastAsia"/>
                      <w:color w:val="auto"/>
                      <w:szCs w:val="21"/>
                      <w:lang w:val="en-US" w:eastAsia="zh-CN"/>
                    </w:rPr>
                  </w:pPr>
                  <w:r>
                    <w:rPr>
                      <w:rFonts w:hint="eastAsia"/>
                      <w:color w:val="auto"/>
                      <w:szCs w:val="21"/>
                      <w:lang w:val="en-US" w:eastAsia="zh-CN"/>
                    </w:rPr>
                    <w:t>生产</w:t>
                  </w:r>
                </w:p>
                <w:p w14:paraId="23706048">
                  <w:pPr>
                    <w:widowControl/>
                    <w:jc w:val="center"/>
                    <w:rPr>
                      <w:rFonts w:hint="default" w:eastAsia="宋体"/>
                      <w:color w:val="auto"/>
                      <w:szCs w:val="21"/>
                      <w:lang w:val="en-US" w:eastAsia="zh-CN"/>
                    </w:rPr>
                  </w:pPr>
                  <w:r>
                    <w:rPr>
                      <w:rFonts w:hint="eastAsia"/>
                      <w:color w:val="auto"/>
                      <w:szCs w:val="21"/>
                      <w:lang w:val="en-US" w:eastAsia="zh-CN"/>
                    </w:rPr>
                    <w:t>车间</w:t>
                  </w:r>
                </w:p>
              </w:tc>
              <w:tc>
                <w:tcPr>
                  <w:tcW w:w="4072" w:type="pct"/>
                  <w:vAlign w:val="center"/>
                </w:tcPr>
                <w:p w14:paraId="738FEAB1">
                  <w:pPr>
                    <w:widowControl/>
                    <w:rPr>
                      <w:rFonts w:hint="eastAsia"/>
                      <w:color w:val="auto"/>
                    </w:rPr>
                  </w:pPr>
                  <w:r>
                    <w:rPr>
                      <w:rFonts w:hint="eastAsia"/>
                      <w:color w:val="auto"/>
                      <w:szCs w:val="21"/>
                      <w:lang w:val="en-US" w:eastAsia="zh-CN"/>
                    </w:rPr>
                    <w:t>生产车间1座，利用原有建筑物，</w:t>
                  </w:r>
                  <w:r>
                    <w:rPr>
                      <w:rFonts w:hint="eastAsia"/>
                      <w:color w:val="auto"/>
                      <w:szCs w:val="21"/>
                    </w:rPr>
                    <w:t>建筑面积</w:t>
                  </w:r>
                  <w:r>
                    <w:rPr>
                      <w:rFonts w:hint="eastAsia"/>
                      <w:color w:val="auto"/>
                      <w:szCs w:val="21"/>
                      <w:lang w:val="en-US" w:eastAsia="zh-CN"/>
                    </w:rPr>
                    <w:t>30</w:t>
                  </w:r>
                  <w:r>
                    <w:rPr>
                      <w:color w:val="auto"/>
                      <w:szCs w:val="21"/>
                    </w:rPr>
                    <w:t>0</w:t>
                  </w:r>
                  <w:r>
                    <w:rPr>
                      <w:rFonts w:hint="eastAsia"/>
                      <w:color w:val="auto"/>
                      <w:szCs w:val="21"/>
                    </w:rPr>
                    <w:t>m</w:t>
                  </w:r>
                  <w:r>
                    <w:rPr>
                      <w:rFonts w:hint="eastAsia"/>
                      <w:color w:val="auto"/>
                      <w:szCs w:val="21"/>
                      <w:vertAlign w:val="superscript"/>
                    </w:rPr>
                    <w:t>2</w:t>
                  </w:r>
                  <w:r>
                    <w:rPr>
                      <w:rFonts w:hint="eastAsia"/>
                      <w:color w:val="auto"/>
                      <w:szCs w:val="21"/>
                      <w:lang w:eastAsia="zh-CN"/>
                    </w:rPr>
                    <w:t>，</w:t>
                  </w:r>
                  <w:r>
                    <w:rPr>
                      <w:rFonts w:hint="eastAsia"/>
                      <w:color w:val="auto"/>
                      <w:szCs w:val="21"/>
                    </w:rPr>
                    <w:t>1层建筑</w:t>
                  </w:r>
                  <w:r>
                    <w:rPr>
                      <w:rFonts w:hint="eastAsia"/>
                      <w:color w:val="auto"/>
                      <w:szCs w:val="21"/>
                      <w:lang w:eastAsia="zh-CN"/>
                    </w:rPr>
                    <w:t>，</w:t>
                  </w:r>
                  <w:r>
                    <w:rPr>
                      <w:rFonts w:hint="eastAsia"/>
                      <w:color w:val="auto"/>
                      <w:szCs w:val="21"/>
                    </w:rPr>
                    <w:t>砖混结构</w:t>
                  </w:r>
                  <w:r>
                    <w:rPr>
                      <w:rFonts w:hint="eastAsia"/>
                      <w:color w:val="auto"/>
                      <w:szCs w:val="21"/>
                      <w:lang w:eastAsia="zh-CN"/>
                    </w:rPr>
                    <w:t>，</w:t>
                  </w:r>
                  <w:r>
                    <w:rPr>
                      <w:rStyle w:val="100"/>
                      <w:rFonts w:hint="eastAsia"/>
                      <w:color w:val="auto"/>
                    </w:rPr>
                    <w:t>车间内设置</w:t>
                  </w:r>
                  <w:r>
                    <w:rPr>
                      <w:rStyle w:val="100"/>
                      <w:color w:val="auto"/>
                    </w:rPr>
                    <w:t>2</w:t>
                  </w:r>
                  <w:r>
                    <w:rPr>
                      <w:rStyle w:val="100"/>
                      <w:rFonts w:hint="eastAsia"/>
                      <w:color w:val="auto"/>
                    </w:rPr>
                    <w:t>条生产线</w:t>
                  </w:r>
                  <w:r>
                    <w:rPr>
                      <w:rStyle w:val="100"/>
                      <w:rFonts w:hint="eastAsia"/>
                      <w:color w:val="auto"/>
                      <w:lang w:eastAsia="zh-CN"/>
                    </w:rPr>
                    <w:t>，</w:t>
                  </w:r>
                  <w:r>
                    <w:rPr>
                      <w:rStyle w:val="100"/>
                      <w:rFonts w:hint="eastAsia"/>
                      <w:color w:val="auto"/>
                    </w:rPr>
                    <w:t>分别为A组分混合生产线、B组分混合生产线</w:t>
                  </w:r>
                  <w:r>
                    <w:rPr>
                      <w:rStyle w:val="100"/>
                      <w:rFonts w:hint="eastAsia"/>
                      <w:color w:val="auto"/>
                      <w:lang w:eastAsia="zh-CN"/>
                    </w:rPr>
                    <w:t>，</w:t>
                  </w:r>
                  <w:r>
                    <w:rPr>
                      <w:rStyle w:val="100"/>
                      <w:rFonts w:hint="eastAsia"/>
                      <w:color w:val="auto"/>
                    </w:rPr>
                    <w:t>每条生产线设置</w:t>
                  </w:r>
                  <w:r>
                    <w:rPr>
                      <w:rStyle w:val="100"/>
                      <w:rFonts w:hint="eastAsia"/>
                      <w:color w:val="auto"/>
                      <w:lang w:val="en-US" w:eastAsia="zh-CN"/>
                    </w:rPr>
                    <w:t>1个3</w:t>
                  </w:r>
                  <w:r>
                    <w:rPr>
                      <w:rStyle w:val="100"/>
                      <w:rFonts w:hint="eastAsia"/>
                      <w:color w:val="auto"/>
                    </w:rPr>
                    <w:t>m</w:t>
                  </w:r>
                  <w:r>
                    <w:rPr>
                      <w:rStyle w:val="100"/>
                      <w:color w:val="auto"/>
                      <w:vertAlign w:val="superscript"/>
                    </w:rPr>
                    <w:t>3</w:t>
                  </w:r>
                  <w:r>
                    <w:rPr>
                      <w:rStyle w:val="100"/>
                      <w:rFonts w:hint="eastAsia"/>
                      <w:color w:val="auto"/>
                    </w:rPr>
                    <w:t>搅拌</w:t>
                  </w:r>
                  <w:r>
                    <w:rPr>
                      <w:rStyle w:val="100"/>
                      <w:rFonts w:hint="eastAsia"/>
                      <w:color w:val="auto"/>
                      <w:lang w:eastAsia="zh-CN"/>
                    </w:rPr>
                    <w:t>罐</w:t>
                  </w:r>
                  <w:r>
                    <w:rPr>
                      <w:rStyle w:val="100"/>
                      <w:rFonts w:hint="eastAsia"/>
                      <w:color w:val="auto"/>
                      <w:lang w:val="en-US" w:eastAsia="zh-CN"/>
                    </w:rPr>
                    <w:t>2</w:t>
                  </w:r>
                  <w:r>
                    <w:rPr>
                      <w:rStyle w:val="100"/>
                      <w:rFonts w:hint="eastAsia"/>
                      <w:color w:val="auto"/>
                    </w:rPr>
                    <w:t>个（原料混合）</w:t>
                  </w:r>
                  <w:r>
                    <w:rPr>
                      <w:rFonts w:hint="eastAsia"/>
                      <w:color w:val="auto"/>
                    </w:rPr>
                    <w:t>。生产线采用自动上料、连续灌装系统。厂房内设置原料区、生产区、成品区</w:t>
                  </w:r>
                  <w:r>
                    <w:rPr>
                      <w:rFonts w:hint="eastAsia"/>
                      <w:color w:val="auto"/>
                      <w:lang w:eastAsia="zh-CN"/>
                    </w:rPr>
                    <w:t>。</w:t>
                  </w:r>
                </w:p>
              </w:tc>
            </w:tr>
            <w:tr w14:paraId="28D584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Align w:val="center"/>
                </w:tcPr>
                <w:p w14:paraId="58020BFA">
                  <w:pPr>
                    <w:jc w:val="center"/>
                    <w:rPr>
                      <w:rFonts w:hint="eastAsia" w:eastAsia="宋体"/>
                      <w:color w:val="auto"/>
                      <w:szCs w:val="21"/>
                      <w:lang w:val="en-US" w:eastAsia="zh-CN"/>
                    </w:rPr>
                  </w:pPr>
                  <w:r>
                    <w:rPr>
                      <w:rFonts w:hint="eastAsia"/>
                      <w:color w:val="auto"/>
                      <w:szCs w:val="21"/>
                      <w:lang w:val="en-US" w:eastAsia="zh-CN"/>
                    </w:rPr>
                    <w:t>辅助工程</w:t>
                  </w:r>
                </w:p>
              </w:tc>
              <w:tc>
                <w:tcPr>
                  <w:tcW w:w="504" w:type="pct"/>
                  <w:vAlign w:val="center"/>
                </w:tcPr>
                <w:p w14:paraId="7C9C7D52">
                  <w:pPr>
                    <w:widowControl/>
                    <w:jc w:val="center"/>
                    <w:rPr>
                      <w:rFonts w:hint="default"/>
                      <w:color w:val="auto"/>
                      <w:szCs w:val="21"/>
                      <w:lang w:val="en-US" w:eastAsia="zh-CN"/>
                    </w:rPr>
                  </w:pPr>
                  <w:r>
                    <w:rPr>
                      <w:rFonts w:hint="eastAsia"/>
                      <w:color w:val="auto"/>
                      <w:szCs w:val="21"/>
                      <w:lang w:val="en-US" w:eastAsia="zh-CN"/>
                    </w:rPr>
                    <w:t>办公室及化验室</w:t>
                  </w:r>
                </w:p>
              </w:tc>
              <w:tc>
                <w:tcPr>
                  <w:tcW w:w="4072" w:type="pct"/>
                  <w:vAlign w:val="center"/>
                </w:tcPr>
                <w:p w14:paraId="1A32F4CA">
                  <w:pPr>
                    <w:widowControl/>
                    <w:rPr>
                      <w:rFonts w:hint="default" w:eastAsia="宋体"/>
                      <w:color w:val="auto"/>
                      <w:lang w:val="en-US" w:eastAsia="zh-CN"/>
                    </w:rPr>
                  </w:pPr>
                  <w:r>
                    <w:rPr>
                      <w:rFonts w:hint="eastAsia"/>
                      <w:color w:val="auto"/>
                      <w:szCs w:val="21"/>
                      <w:lang w:val="en-US" w:eastAsia="zh-CN"/>
                    </w:rPr>
                    <w:t>办公室及化验室1座，利用原有建筑物，其中把办公室</w:t>
                  </w:r>
                  <w:r>
                    <w:rPr>
                      <w:rFonts w:hint="eastAsia"/>
                      <w:color w:val="auto"/>
                      <w:szCs w:val="21"/>
                    </w:rPr>
                    <w:t>建筑面积</w:t>
                  </w:r>
                  <w:r>
                    <w:rPr>
                      <w:rFonts w:hint="eastAsia"/>
                      <w:color w:val="auto"/>
                      <w:szCs w:val="21"/>
                      <w:lang w:val="en-US" w:eastAsia="zh-CN"/>
                    </w:rPr>
                    <w:t>150</w:t>
                  </w:r>
                  <w:r>
                    <w:rPr>
                      <w:rFonts w:hint="eastAsia"/>
                      <w:color w:val="auto"/>
                      <w:szCs w:val="21"/>
                    </w:rPr>
                    <w:t>m</w:t>
                  </w:r>
                  <w:r>
                    <w:rPr>
                      <w:rFonts w:hint="eastAsia"/>
                      <w:color w:val="auto"/>
                      <w:szCs w:val="21"/>
                      <w:vertAlign w:val="superscript"/>
                    </w:rPr>
                    <w:t>2</w:t>
                  </w:r>
                  <w:r>
                    <w:rPr>
                      <w:rFonts w:hint="eastAsia"/>
                      <w:color w:val="auto"/>
                      <w:szCs w:val="21"/>
                      <w:lang w:eastAsia="zh-CN"/>
                    </w:rPr>
                    <w:t>，</w:t>
                  </w:r>
                  <w:r>
                    <w:rPr>
                      <w:rFonts w:hint="eastAsia"/>
                      <w:color w:val="auto"/>
                      <w:szCs w:val="21"/>
                    </w:rPr>
                    <w:t>1层建筑</w:t>
                  </w:r>
                  <w:r>
                    <w:rPr>
                      <w:rFonts w:hint="eastAsia"/>
                      <w:color w:val="auto"/>
                      <w:szCs w:val="21"/>
                      <w:lang w:eastAsia="zh-CN"/>
                    </w:rPr>
                    <w:t>，</w:t>
                  </w:r>
                  <w:r>
                    <w:rPr>
                      <w:rFonts w:hint="eastAsia"/>
                      <w:color w:val="auto"/>
                      <w:szCs w:val="21"/>
                    </w:rPr>
                    <w:t>砖混结构</w:t>
                  </w:r>
                  <w:r>
                    <w:rPr>
                      <w:rFonts w:hint="eastAsia"/>
                      <w:color w:val="auto"/>
                      <w:szCs w:val="21"/>
                      <w:lang w:eastAsia="zh-CN"/>
                    </w:rPr>
                    <w:t>，</w:t>
                  </w:r>
                  <w:r>
                    <w:rPr>
                      <w:rFonts w:hint="eastAsia"/>
                      <w:color w:val="auto"/>
                      <w:szCs w:val="21"/>
                      <w:lang w:val="en-US" w:eastAsia="zh-CN"/>
                    </w:rPr>
                    <w:t>用于员工办公，不设置食堂和宿舍。化验室</w:t>
                  </w:r>
                  <w:r>
                    <w:rPr>
                      <w:rFonts w:hint="eastAsia"/>
                      <w:color w:val="auto"/>
                      <w:szCs w:val="21"/>
                    </w:rPr>
                    <w:t>建筑面积</w:t>
                  </w:r>
                  <w:r>
                    <w:rPr>
                      <w:rFonts w:hint="eastAsia"/>
                      <w:color w:val="auto"/>
                      <w:szCs w:val="21"/>
                      <w:lang w:val="en-US" w:eastAsia="zh-CN"/>
                    </w:rPr>
                    <w:t>1</w:t>
                  </w:r>
                  <w:r>
                    <w:rPr>
                      <w:rFonts w:hint="eastAsia"/>
                      <w:color w:val="auto"/>
                      <w:szCs w:val="21"/>
                      <w:highlight w:val="none"/>
                      <w:lang w:val="en-US" w:eastAsia="zh-CN"/>
                    </w:rPr>
                    <w:t>00</w:t>
                  </w:r>
                  <w:r>
                    <w:rPr>
                      <w:rFonts w:hint="eastAsia"/>
                      <w:color w:val="auto"/>
                      <w:szCs w:val="21"/>
                      <w:highlight w:val="none"/>
                    </w:rPr>
                    <w:t>m</w:t>
                  </w:r>
                  <w:r>
                    <w:rPr>
                      <w:rFonts w:hint="eastAsia"/>
                      <w:color w:val="auto"/>
                      <w:szCs w:val="21"/>
                      <w:highlight w:val="none"/>
                      <w:vertAlign w:val="superscript"/>
                    </w:rPr>
                    <w:t>2</w:t>
                  </w:r>
                  <w:r>
                    <w:rPr>
                      <w:rFonts w:hint="eastAsia"/>
                      <w:color w:val="auto"/>
                      <w:szCs w:val="21"/>
                      <w:highlight w:val="none"/>
                      <w:lang w:eastAsia="zh-CN"/>
                    </w:rPr>
                    <w:t>，</w:t>
                  </w:r>
                  <w:r>
                    <w:rPr>
                      <w:rFonts w:hint="eastAsia"/>
                      <w:color w:val="auto"/>
                      <w:szCs w:val="21"/>
                      <w:highlight w:val="none"/>
                      <w:lang w:val="en-US" w:eastAsia="zh-CN"/>
                    </w:rPr>
                    <w:t>用于成品检验，采用物理检测，不涉及化学检测</w:t>
                  </w:r>
                  <w:r>
                    <w:rPr>
                      <w:rFonts w:hint="eastAsia"/>
                      <w:color w:val="auto"/>
                      <w:szCs w:val="21"/>
                      <w:highlight w:val="none"/>
                    </w:rPr>
                    <w:t>。</w:t>
                  </w:r>
                </w:p>
              </w:tc>
            </w:tr>
            <w:tr w14:paraId="6F0986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422" w:type="pct"/>
                  <w:vMerge w:val="restart"/>
                  <w:vAlign w:val="center"/>
                </w:tcPr>
                <w:p w14:paraId="26CB888E">
                  <w:pPr>
                    <w:jc w:val="center"/>
                    <w:rPr>
                      <w:color w:val="auto"/>
                      <w:szCs w:val="21"/>
                    </w:rPr>
                  </w:pPr>
                  <w:r>
                    <w:rPr>
                      <w:rFonts w:hint="eastAsia"/>
                      <w:color w:val="auto"/>
                      <w:szCs w:val="21"/>
                    </w:rPr>
                    <w:t>储运工程</w:t>
                  </w:r>
                </w:p>
              </w:tc>
              <w:tc>
                <w:tcPr>
                  <w:tcW w:w="504" w:type="pct"/>
                  <w:vAlign w:val="center"/>
                </w:tcPr>
                <w:p w14:paraId="5D0C39CC">
                  <w:pPr>
                    <w:widowControl/>
                    <w:jc w:val="center"/>
                    <w:rPr>
                      <w:rFonts w:hint="eastAsia"/>
                      <w:color w:val="auto"/>
                      <w:szCs w:val="21"/>
                    </w:rPr>
                  </w:pPr>
                  <w:r>
                    <w:rPr>
                      <w:rFonts w:hint="eastAsia"/>
                      <w:color w:val="auto"/>
                      <w:szCs w:val="21"/>
                    </w:rPr>
                    <w:t>原料</w:t>
                  </w:r>
                </w:p>
                <w:p w14:paraId="5B63E0D5">
                  <w:pPr>
                    <w:widowControl/>
                    <w:jc w:val="center"/>
                    <w:rPr>
                      <w:color w:val="auto"/>
                      <w:szCs w:val="21"/>
                    </w:rPr>
                  </w:pPr>
                  <w:r>
                    <w:rPr>
                      <w:rFonts w:hint="eastAsia"/>
                      <w:color w:val="auto"/>
                      <w:szCs w:val="21"/>
                    </w:rPr>
                    <w:t>储运</w:t>
                  </w:r>
                </w:p>
              </w:tc>
              <w:tc>
                <w:tcPr>
                  <w:tcW w:w="4072" w:type="pct"/>
                  <w:vAlign w:val="center"/>
                </w:tcPr>
                <w:p w14:paraId="1FD71DB5">
                  <w:pPr>
                    <w:widowControl/>
                    <w:rPr>
                      <w:rStyle w:val="100"/>
                      <w:color w:val="auto"/>
                    </w:rPr>
                  </w:pPr>
                  <w:r>
                    <w:rPr>
                      <w:rFonts w:hint="eastAsia"/>
                      <w:color w:val="auto"/>
                      <w:szCs w:val="21"/>
                    </w:rPr>
                    <w:t>本项目</w:t>
                  </w:r>
                  <w:r>
                    <w:rPr>
                      <w:rStyle w:val="100"/>
                      <w:rFonts w:hint="eastAsia"/>
                      <w:color w:val="auto"/>
                    </w:rPr>
                    <w:t>车间共设置</w:t>
                  </w:r>
                  <w:r>
                    <w:rPr>
                      <w:rStyle w:val="100"/>
                      <w:rFonts w:hint="eastAsia"/>
                      <w:color w:val="auto"/>
                      <w:lang w:val="en-US" w:eastAsia="zh-CN"/>
                    </w:rPr>
                    <w:t>6</w:t>
                  </w:r>
                  <w:r>
                    <w:rPr>
                      <w:rStyle w:val="100"/>
                      <w:rFonts w:hint="eastAsia"/>
                      <w:color w:val="auto"/>
                    </w:rPr>
                    <w:t>个不锈钢储罐(日常存储为储罐容积的</w:t>
                  </w:r>
                  <w:r>
                    <w:rPr>
                      <w:rStyle w:val="100"/>
                      <w:color w:val="auto"/>
                    </w:rPr>
                    <w:t>80</w:t>
                  </w:r>
                  <w:r>
                    <w:rPr>
                      <w:rStyle w:val="100"/>
                      <w:rFonts w:hint="eastAsia"/>
                      <w:color w:val="auto"/>
                    </w:rPr>
                    <w:t>%</w:t>
                  </w:r>
                  <w:r>
                    <w:rPr>
                      <w:rStyle w:val="100"/>
                      <w:color w:val="auto"/>
                    </w:rPr>
                    <w:t>)</w:t>
                  </w:r>
                  <w:r>
                    <w:rPr>
                      <w:rStyle w:val="100"/>
                      <w:rFonts w:hint="eastAsia"/>
                      <w:color w:val="auto"/>
                      <w:lang w:eastAsia="zh-CN"/>
                    </w:rPr>
                    <w:t>，硅酸钠</w:t>
                  </w:r>
                  <w:r>
                    <w:rPr>
                      <w:rStyle w:val="100"/>
                      <w:rFonts w:hint="eastAsia"/>
                      <w:color w:val="auto"/>
                      <w:lang w:val="en-US" w:eastAsia="zh-CN"/>
                    </w:rPr>
                    <w:t>和</w:t>
                  </w:r>
                  <w:r>
                    <w:rPr>
                      <w:rStyle w:val="100"/>
                      <w:rFonts w:hint="eastAsia"/>
                      <w:color w:val="auto"/>
                      <w:lang w:eastAsia="zh-CN"/>
                    </w:rPr>
                    <w:t>聚合MDI采用</w:t>
                  </w:r>
                  <w:r>
                    <w:rPr>
                      <w:rStyle w:val="100"/>
                      <w:rFonts w:hint="eastAsia"/>
                      <w:color w:val="auto"/>
                      <w:lang w:val="en-US" w:eastAsia="zh-CN"/>
                    </w:rPr>
                    <w:t>20</w:t>
                  </w:r>
                  <w:r>
                    <w:rPr>
                      <w:rStyle w:val="100"/>
                      <w:rFonts w:hint="eastAsia"/>
                      <w:color w:val="auto"/>
                      <w:lang w:eastAsia="zh-CN"/>
                    </w:rPr>
                    <w:t>m3的不锈钢储罐存储，甘油采用</w:t>
                  </w:r>
                  <w:r>
                    <w:rPr>
                      <w:rStyle w:val="100"/>
                      <w:rFonts w:hint="eastAsia"/>
                      <w:color w:val="auto"/>
                      <w:lang w:val="en-US" w:eastAsia="zh-CN"/>
                    </w:rPr>
                    <w:t>10</w:t>
                  </w:r>
                  <w:r>
                    <w:rPr>
                      <w:rStyle w:val="100"/>
                      <w:rFonts w:hint="eastAsia"/>
                      <w:color w:val="auto"/>
                      <w:lang w:eastAsia="zh-CN"/>
                    </w:rPr>
                    <w:t>m3的不锈钢储罐存储，多元醇、阻燃剂（TCPP）、增塑剂（二丁酯）均采用</w:t>
                  </w:r>
                  <w:r>
                    <w:rPr>
                      <w:rStyle w:val="100"/>
                      <w:rFonts w:hint="eastAsia"/>
                      <w:color w:val="auto"/>
                      <w:lang w:val="en-US" w:eastAsia="zh-CN"/>
                    </w:rPr>
                    <w:t>1</w:t>
                  </w:r>
                  <w:r>
                    <w:rPr>
                      <w:rStyle w:val="100"/>
                      <w:rFonts w:hint="eastAsia"/>
                      <w:color w:val="auto"/>
                      <w:lang w:eastAsia="zh-CN"/>
                    </w:rPr>
                    <w:t>m3的不锈钢储罐。</w:t>
                  </w:r>
                  <w:r>
                    <w:rPr>
                      <w:rStyle w:val="100"/>
                      <w:rFonts w:hint="eastAsia"/>
                      <w:color w:val="auto"/>
                    </w:rPr>
                    <w:t>储罐均为</w:t>
                  </w:r>
                  <w:r>
                    <w:rPr>
                      <w:rFonts w:hint="eastAsia"/>
                      <w:color w:val="auto"/>
                    </w:rPr>
                    <w:t>拱顶罐</w:t>
                  </w:r>
                  <w:r>
                    <w:rPr>
                      <w:rStyle w:val="100"/>
                      <w:rFonts w:hint="eastAsia"/>
                      <w:color w:val="auto"/>
                      <w:lang w:eastAsia="zh-CN"/>
                    </w:rPr>
                    <w:t>，</w:t>
                  </w:r>
                  <w:r>
                    <w:rPr>
                      <w:rStyle w:val="100"/>
                      <w:rFonts w:hint="eastAsia"/>
                      <w:color w:val="auto"/>
                    </w:rPr>
                    <w:t>均为地上储罐</w:t>
                  </w:r>
                  <w:r>
                    <w:rPr>
                      <w:rStyle w:val="100"/>
                      <w:rFonts w:hint="eastAsia"/>
                      <w:color w:val="auto"/>
                      <w:lang w:eastAsia="zh-CN"/>
                    </w:rPr>
                    <w:t>，</w:t>
                  </w:r>
                  <w:r>
                    <w:rPr>
                      <w:rStyle w:val="100"/>
                      <w:rFonts w:hint="eastAsia"/>
                      <w:color w:val="auto"/>
                    </w:rPr>
                    <w:t>罐底离地高度0</w:t>
                  </w:r>
                  <w:r>
                    <w:rPr>
                      <w:rStyle w:val="100"/>
                      <w:color w:val="auto"/>
                    </w:rPr>
                    <w:t>.</w:t>
                  </w:r>
                  <w:r>
                    <w:rPr>
                      <w:rStyle w:val="100"/>
                      <w:rFonts w:hint="eastAsia"/>
                      <w:color w:val="auto"/>
                      <w:lang w:val="en-US" w:eastAsia="zh-CN"/>
                    </w:rPr>
                    <w:t>5</w:t>
                  </w:r>
                  <w:r>
                    <w:rPr>
                      <w:rStyle w:val="100"/>
                      <w:rFonts w:hint="eastAsia"/>
                      <w:color w:val="auto"/>
                    </w:rPr>
                    <w:t>m。日常进料由厂家负责运送</w:t>
                  </w:r>
                  <w:r>
                    <w:rPr>
                      <w:rStyle w:val="100"/>
                      <w:rFonts w:hint="eastAsia"/>
                      <w:color w:val="auto"/>
                      <w:lang w:eastAsia="zh-CN"/>
                    </w:rPr>
                    <w:t>，</w:t>
                  </w:r>
                  <w:r>
                    <w:rPr>
                      <w:rStyle w:val="100"/>
                      <w:rFonts w:hint="eastAsia"/>
                      <w:color w:val="auto"/>
                    </w:rPr>
                    <w:t>原料进厂后直接输送至储罐内。</w:t>
                  </w:r>
                </w:p>
                <w:p w14:paraId="5A30D93A">
                  <w:pPr>
                    <w:widowControl/>
                    <w:rPr>
                      <w:rStyle w:val="100"/>
                      <w:rFonts w:hint="eastAsia"/>
                      <w:color w:val="auto"/>
                    </w:rPr>
                  </w:pPr>
                  <w:r>
                    <w:rPr>
                      <w:rFonts w:hint="eastAsia"/>
                      <w:color w:val="auto"/>
                    </w:rPr>
                    <w:t>硅酸钠、多元醇、甘油、聚合M</w:t>
                  </w:r>
                  <w:r>
                    <w:rPr>
                      <w:color w:val="auto"/>
                    </w:rPr>
                    <w:t>DI</w:t>
                  </w:r>
                  <w:r>
                    <w:rPr>
                      <w:rFonts w:hint="eastAsia"/>
                      <w:color w:val="auto"/>
                    </w:rPr>
                    <w:t>、阻燃剂（</w:t>
                  </w:r>
                  <w:r>
                    <w:rPr>
                      <w:color w:val="auto"/>
                    </w:rPr>
                    <w:t>TCPP</w:t>
                  </w:r>
                  <w:r>
                    <w:rPr>
                      <w:rFonts w:hint="eastAsia"/>
                      <w:color w:val="auto"/>
                    </w:rPr>
                    <w:t>）、增塑剂（二丁酯）</w:t>
                  </w:r>
                  <w:r>
                    <w:rPr>
                      <w:rStyle w:val="100"/>
                      <w:rFonts w:hint="eastAsia"/>
                      <w:color w:val="auto"/>
                    </w:rPr>
                    <w:t>存储量</w:t>
                  </w:r>
                  <w:r>
                    <w:rPr>
                      <w:rStyle w:val="100"/>
                      <w:rFonts w:hint="eastAsia"/>
                      <w:color w:val="auto"/>
                      <w:lang w:val="en-US" w:eastAsia="zh-CN"/>
                    </w:rPr>
                    <w:t>分别为</w:t>
                  </w:r>
                  <w:r>
                    <w:rPr>
                      <w:rStyle w:val="100"/>
                      <w:rFonts w:hint="eastAsia"/>
                      <w:color w:val="auto"/>
                    </w:rPr>
                    <w:t>均为</w:t>
                  </w:r>
                  <w:r>
                    <w:rPr>
                      <w:rStyle w:val="100"/>
                      <w:rFonts w:hint="eastAsia"/>
                      <w:color w:val="auto"/>
                      <w:lang w:val="en-US" w:eastAsia="zh-CN"/>
                    </w:rPr>
                    <w:t>16</w:t>
                  </w:r>
                  <w:r>
                    <w:rPr>
                      <w:rStyle w:val="100"/>
                      <w:rFonts w:hint="eastAsia"/>
                      <w:color w:val="auto"/>
                    </w:rPr>
                    <w:t>m</w:t>
                  </w:r>
                  <w:r>
                    <w:rPr>
                      <w:rStyle w:val="100"/>
                      <w:color w:val="auto"/>
                      <w:vertAlign w:val="superscript"/>
                    </w:rPr>
                    <w:t>3</w:t>
                  </w:r>
                  <w:r>
                    <w:rPr>
                      <w:rStyle w:val="100"/>
                      <w:rFonts w:hint="eastAsia"/>
                      <w:color w:val="auto"/>
                      <w:vertAlign w:val="baseline"/>
                      <w:lang w:eastAsia="zh-CN"/>
                    </w:rPr>
                    <w:t>、</w:t>
                  </w:r>
                  <w:r>
                    <w:rPr>
                      <w:rStyle w:val="100"/>
                      <w:rFonts w:hint="eastAsia"/>
                      <w:color w:val="auto"/>
                      <w:lang w:val="en-US" w:eastAsia="zh-CN"/>
                    </w:rPr>
                    <w:t>0.8</w:t>
                  </w:r>
                  <w:r>
                    <w:rPr>
                      <w:rStyle w:val="100"/>
                      <w:rFonts w:hint="eastAsia"/>
                      <w:color w:val="auto"/>
                    </w:rPr>
                    <w:t>m</w:t>
                  </w:r>
                  <w:r>
                    <w:rPr>
                      <w:rStyle w:val="100"/>
                      <w:color w:val="auto"/>
                      <w:vertAlign w:val="superscript"/>
                    </w:rPr>
                    <w:t>3</w:t>
                  </w:r>
                  <w:r>
                    <w:rPr>
                      <w:rStyle w:val="100"/>
                      <w:rFonts w:hint="eastAsia"/>
                      <w:color w:val="auto"/>
                      <w:vertAlign w:val="baseline"/>
                      <w:lang w:eastAsia="zh-CN"/>
                    </w:rPr>
                    <w:t>、</w:t>
                  </w:r>
                  <w:r>
                    <w:rPr>
                      <w:rStyle w:val="100"/>
                      <w:rFonts w:hint="eastAsia"/>
                      <w:color w:val="auto"/>
                      <w:lang w:val="en-US" w:eastAsia="zh-CN"/>
                    </w:rPr>
                    <w:t>8</w:t>
                  </w:r>
                  <w:r>
                    <w:rPr>
                      <w:rStyle w:val="100"/>
                      <w:rFonts w:hint="eastAsia"/>
                      <w:color w:val="auto"/>
                    </w:rPr>
                    <w:t>m</w:t>
                  </w:r>
                  <w:r>
                    <w:rPr>
                      <w:rStyle w:val="100"/>
                      <w:color w:val="auto"/>
                      <w:vertAlign w:val="superscript"/>
                    </w:rPr>
                    <w:t>3</w:t>
                  </w:r>
                  <w:r>
                    <w:rPr>
                      <w:rStyle w:val="100"/>
                      <w:rFonts w:hint="eastAsia"/>
                      <w:color w:val="auto"/>
                      <w:vertAlign w:val="baseline"/>
                      <w:lang w:eastAsia="zh-CN"/>
                    </w:rPr>
                    <w:t>、</w:t>
                  </w:r>
                  <w:r>
                    <w:rPr>
                      <w:rStyle w:val="100"/>
                      <w:rFonts w:hint="eastAsia"/>
                      <w:color w:val="auto"/>
                      <w:lang w:val="en-US" w:eastAsia="zh-CN"/>
                    </w:rPr>
                    <w:t>16</w:t>
                  </w:r>
                  <w:r>
                    <w:rPr>
                      <w:rStyle w:val="100"/>
                      <w:rFonts w:hint="eastAsia"/>
                      <w:color w:val="auto"/>
                    </w:rPr>
                    <w:t>m</w:t>
                  </w:r>
                  <w:r>
                    <w:rPr>
                      <w:rStyle w:val="100"/>
                      <w:color w:val="auto"/>
                      <w:vertAlign w:val="superscript"/>
                    </w:rPr>
                    <w:t>3</w:t>
                  </w:r>
                  <w:r>
                    <w:rPr>
                      <w:rStyle w:val="100"/>
                      <w:rFonts w:hint="eastAsia"/>
                      <w:color w:val="auto"/>
                      <w:vertAlign w:val="baseline"/>
                      <w:lang w:eastAsia="zh-CN"/>
                    </w:rPr>
                    <w:t>、</w:t>
                  </w:r>
                  <w:r>
                    <w:rPr>
                      <w:rStyle w:val="100"/>
                      <w:rFonts w:hint="eastAsia"/>
                      <w:color w:val="auto"/>
                      <w:lang w:val="en-US" w:eastAsia="zh-CN"/>
                    </w:rPr>
                    <w:t>0.8</w:t>
                  </w:r>
                  <w:r>
                    <w:rPr>
                      <w:rStyle w:val="100"/>
                      <w:rFonts w:hint="eastAsia"/>
                      <w:color w:val="auto"/>
                    </w:rPr>
                    <w:t>m</w:t>
                  </w:r>
                  <w:r>
                    <w:rPr>
                      <w:rStyle w:val="100"/>
                      <w:color w:val="auto"/>
                      <w:vertAlign w:val="superscript"/>
                    </w:rPr>
                    <w:t>3</w:t>
                  </w:r>
                  <w:r>
                    <w:rPr>
                      <w:rStyle w:val="100"/>
                      <w:rFonts w:hint="eastAsia"/>
                      <w:color w:val="auto"/>
                      <w:vertAlign w:val="baseline"/>
                      <w:lang w:eastAsia="zh-CN"/>
                    </w:rPr>
                    <w:t>、</w:t>
                  </w:r>
                  <w:r>
                    <w:rPr>
                      <w:rStyle w:val="100"/>
                      <w:rFonts w:hint="eastAsia"/>
                      <w:color w:val="auto"/>
                      <w:lang w:val="en-US" w:eastAsia="zh-CN"/>
                    </w:rPr>
                    <w:t>0.8</w:t>
                  </w:r>
                  <w:r>
                    <w:rPr>
                      <w:rStyle w:val="100"/>
                      <w:rFonts w:hint="eastAsia"/>
                      <w:color w:val="auto"/>
                    </w:rPr>
                    <w:t>m</w:t>
                  </w:r>
                  <w:r>
                    <w:rPr>
                      <w:rStyle w:val="100"/>
                      <w:color w:val="auto"/>
                      <w:vertAlign w:val="superscript"/>
                    </w:rPr>
                    <w:t>3</w:t>
                  </w:r>
                  <w:r>
                    <w:rPr>
                      <w:rStyle w:val="100"/>
                      <w:rFonts w:hint="eastAsia"/>
                      <w:color w:val="auto"/>
                    </w:rPr>
                    <w:t>。</w:t>
                  </w:r>
                </w:p>
              </w:tc>
            </w:tr>
            <w:tr w14:paraId="744642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5DC9B516">
                  <w:pPr>
                    <w:jc w:val="center"/>
                    <w:rPr>
                      <w:rFonts w:hint="eastAsia"/>
                      <w:color w:val="auto"/>
                      <w:szCs w:val="21"/>
                    </w:rPr>
                  </w:pPr>
                </w:p>
              </w:tc>
              <w:tc>
                <w:tcPr>
                  <w:tcW w:w="504" w:type="pct"/>
                  <w:shd w:val="clear" w:color="auto" w:fill="auto"/>
                  <w:vAlign w:val="center"/>
                </w:tcPr>
                <w:p w14:paraId="78A7FDA2">
                  <w:pPr>
                    <w:widowControl/>
                    <w:jc w:val="center"/>
                    <w:rPr>
                      <w:rFonts w:hint="eastAsia"/>
                      <w:color w:val="auto"/>
                      <w:szCs w:val="21"/>
                    </w:rPr>
                  </w:pPr>
                  <w:r>
                    <w:rPr>
                      <w:rFonts w:hint="eastAsia"/>
                      <w:color w:val="auto"/>
                      <w:szCs w:val="21"/>
                    </w:rPr>
                    <w:t>产品</w:t>
                  </w:r>
                </w:p>
                <w:p w14:paraId="6ADA3D78">
                  <w:pPr>
                    <w:widowControl/>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储运</w:t>
                  </w:r>
                </w:p>
              </w:tc>
              <w:tc>
                <w:tcPr>
                  <w:tcW w:w="4072" w:type="pct"/>
                  <w:shd w:val="clear" w:color="auto" w:fill="auto"/>
                  <w:vAlign w:val="center"/>
                </w:tcPr>
                <w:p w14:paraId="50D2D2D3">
                  <w:pPr>
                    <w:widowControl/>
                    <w:rPr>
                      <w:rFonts w:hint="eastAsia" w:ascii="Times New Roman" w:hAnsi="Times New Roman" w:eastAsia="宋体" w:cs="Times New Roman"/>
                      <w:color w:val="auto"/>
                      <w:kern w:val="2"/>
                      <w:sz w:val="21"/>
                      <w:szCs w:val="21"/>
                      <w:lang w:val="en-US" w:eastAsia="zh-CN" w:bidi="ar-SA"/>
                    </w:rPr>
                  </w:pPr>
                  <w:r>
                    <w:rPr>
                      <w:rFonts w:hint="eastAsia"/>
                      <w:color w:val="auto"/>
                      <w:szCs w:val="21"/>
                    </w:rPr>
                    <w:t>产品根据订单计划生产</w:t>
                  </w:r>
                  <w:r>
                    <w:rPr>
                      <w:rFonts w:hint="eastAsia"/>
                      <w:color w:val="auto"/>
                      <w:szCs w:val="21"/>
                      <w:lang w:eastAsia="zh-CN"/>
                    </w:rPr>
                    <w:t>，</w:t>
                  </w:r>
                  <w:r>
                    <w:rPr>
                      <w:rFonts w:hint="eastAsia"/>
                      <w:color w:val="auto"/>
                      <w:szCs w:val="21"/>
                    </w:rPr>
                    <w:t>生产后及时送往煤矿企业使用</w:t>
                  </w:r>
                  <w:r>
                    <w:rPr>
                      <w:rFonts w:hint="eastAsia"/>
                      <w:color w:val="auto"/>
                      <w:szCs w:val="21"/>
                      <w:lang w:eastAsia="zh-CN"/>
                    </w:rPr>
                    <w:t>，</w:t>
                  </w:r>
                  <w:r>
                    <w:rPr>
                      <w:rFonts w:hint="eastAsia"/>
                      <w:color w:val="auto"/>
                      <w:szCs w:val="21"/>
                    </w:rPr>
                    <w:t>不在场内存放</w:t>
                  </w:r>
                  <w:r>
                    <w:rPr>
                      <w:rFonts w:hint="eastAsia"/>
                      <w:color w:val="auto"/>
                      <w:szCs w:val="21"/>
                      <w:lang w:eastAsia="zh-CN"/>
                    </w:rPr>
                    <w:t>，</w:t>
                  </w:r>
                  <w:r>
                    <w:rPr>
                      <w:rFonts w:hint="eastAsia"/>
                      <w:color w:val="auto"/>
                      <w:szCs w:val="21"/>
                    </w:rPr>
                    <w:t>当日生产</w:t>
                  </w:r>
                  <w:r>
                    <w:rPr>
                      <w:rFonts w:hint="eastAsia"/>
                      <w:color w:val="auto"/>
                      <w:szCs w:val="21"/>
                      <w:lang w:eastAsia="zh-CN"/>
                    </w:rPr>
                    <w:t>，</w:t>
                  </w:r>
                  <w:r>
                    <w:rPr>
                      <w:rFonts w:hint="eastAsia"/>
                      <w:color w:val="auto"/>
                      <w:szCs w:val="21"/>
                    </w:rPr>
                    <w:t>当日运输；厂区最大存储量为A组分</w:t>
                  </w:r>
                  <w:r>
                    <w:rPr>
                      <w:color w:val="auto"/>
                      <w:szCs w:val="21"/>
                    </w:rPr>
                    <w:t>4</w:t>
                  </w:r>
                  <w:r>
                    <w:rPr>
                      <w:rFonts w:hint="eastAsia"/>
                      <w:color w:val="auto"/>
                      <w:szCs w:val="21"/>
                    </w:rPr>
                    <w:t>t（</w:t>
                  </w:r>
                  <w:r>
                    <w:rPr>
                      <w:color w:val="auto"/>
                      <w:szCs w:val="21"/>
                    </w:rPr>
                    <w:t>20</w:t>
                  </w:r>
                  <w:r>
                    <w:rPr>
                      <w:rFonts w:hint="eastAsia"/>
                      <w:color w:val="auto"/>
                      <w:szCs w:val="21"/>
                    </w:rPr>
                    <w:t>桶）、B组分</w:t>
                  </w:r>
                  <w:r>
                    <w:rPr>
                      <w:color w:val="auto"/>
                      <w:szCs w:val="21"/>
                    </w:rPr>
                    <w:t>4</w:t>
                  </w:r>
                  <w:r>
                    <w:rPr>
                      <w:rFonts w:hint="eastAsia"/>
                      <w:color w:val="auto"/>
                      <w:szCs w:val="21"/>
                    </w:rPr>
                    <w:t>t（</w:t>
                  </w:r>
                  <w:r>
                    <w:rPr>
                      <w:color w:val="auto"/>
                      <w:szCs w:val="21"/>
                    </w:rPr>
                    <w:t>20</w:t>
                  </w:r>
                  <w:r>
                    <w:rPr>
                      <w:rFonts w:hint="eastAsia"/>
                      <w:color w:val="auto"/>
                      <w:szCs w:val="21"/>
                    </w:rPr>
                    <w:t>桶）</w:t>
                  </w:r>
                  <w:r>
                    <w:rPr>
                      <w:rFonts w:hint="eastAsia"/>
                      <w:color w:val="auto"/>
                      <w:szCs w:val="21"/>
                      <w:lang w:eastAsia="zh-CN"/>
                    </w:rPr>
                    <w:t>，</w:t>
                  </w:r>
                  <w:r>
                    <w:rPr>
                      <w:rFonts w:hint="eastAsia"/>
                      <w:color w:val="auto"/>
                      <w:szCs w:val="21"/>
                    </w:rPr>
                    <w:t>包装桶外购。</w:t>
                  </w:r>
                </w:p>
              </w:tc>
            </w:tr>
            <w:tr w14:paraId="5D1825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1ABCB11F">
                  <w:pPr>
                    <w:jc w:val="center"/>
                    <w:rPr>
                      <w:color w:val="auto"/>
                      <w:szCs w:val="21"/>
                    </w:rPr>
                  </w:pPr>
                </w:p>
              </w:tc>
              <w:tc>
                <w:tcPr>
                  <w:tcW w:w="504" w:type="pct"/>
                  <w:vAlign w:val="center"/>
                </w:tcPr>
                <w:p w14:paraId="1987DB4D">
                  <w:pPr>
                    <w:pStyle w:val="101"/>
                    <w:rPr>
                      <w:color w:val="auto"/>
                      <w:szCs w:val="21"/>
                    </w:rPr>
                  </w:pPr>
                  <w:r>
                    <w:rPr>
                      <w:rFonts w:hint="eastAsia"/>
                      <w:color w:val="auto"/>
                      <w:szCs w:val="21"/>
                    </w:rPr>
                    <w:t>危废贮存库</w:t>
                  </w:r>
                </w:p>
              </w:tc>
              <w:tc>
                <w:tcPr>
                  <w:tcW w:w="4072" w:type="pct"/>
                  <w:vAlign w:val="center"/>
                </w:tcPr>
                <w:p w14:paraId="429BEDF9">
                  <w:pPr>
                    <w:pStyle w:val="101"/>
                    <w:rPr>
                      <w:color w:val="auto"/>
                      <w:szCs w:val="21"/>
                    </w:rPr>
                  </w:pPr>
                  <w:r>
                    <w:rPr>
                      <w:rFonts w:hint="eastAsia"/>
                      <w:color w:val="auto"/>
                      <w:szCs w:val="21"/>
                    </w:rPr>
                    <w:t>危废贮存库</w:t>
                  </w:r>
                  <w:r>
                    <w:rPr>
                      <w:color w:val="auto"/>
                      <w:szCs w:val="21"/>
                    </w:rPr>
                    <w:t>位于</w:t>
                  </w:r>
                  <w:r>
                    <w:rPr>
                      <w:rFonts w:hint="eastAsia"/>
                      <w:color w:val="auto"/>
                      <w:szCs w:val="21"/>
                      <w:lang w:val="en-US" w:eastAsia="zh-CN"/>
                    </w:rPr>
                    <w:t>生产车间</w:t>
                  </w:r>
                  <w:r>
                    <w:rPr>
                      <w:rFonts w:hint="eastAsia"/>
                      <w:color w:val="auto"/>
                      <w:szCs w:val="21"/>
                    </w:rPr>
                    <w:t>东</w:t>
                  </w:r>
                  <w:r>
                    <w:rPr>
                      <w:color w:val="auto"/>
                      <w:szCs w:val="21"/>
                    </w:rPr>
                    <w:t>部</w:t>
                  </w:r>
                  <w:r>
                    <w:rPr>
                      <w:rFonts w:hint="eastAsia"/>
                      <w:color w:val="auto"/>
                      <w:szCs w:val="21"/>
                      <w:lang w:eastAsia="zh-CN"/>
                    </w:rPr>
                    <w:t>，</w:t>
                  </w:r>
                  <w:r>
                    <w:rPr>
                      <w:color w:val="auto"/>
                      <w:szCs w:val="21"/>
                    </w:rPr>
                    <w:t>建筑面</w:t>
                  </w:r>
                  <w:r>
                    <w:rPr>
                      <w:rFonts w:hint="eastAsia"/>
                      <w:color w:val="auto"/>
                      <w:szCs w:val="21"/>
                    </w:rPr>
                    <w:t>积</w:t>
                  </w:r>
                  <w:r>
                    <w:rPr>
                      <w:rFonts w:hint="eastAsia"/>
                      <w:color w:val="auto"/>
                      <w:szCs w:val="21"/>
                      <w:lang w:val="en-US" w:eastAsia="zh-CN"/>
                    </w:rPr>
                    <w:t>2</w:t>
                  </w:r>
                  <w:r>
                    <w:rPr>
                      <w:color w:val="auto"/>
                      <w:szCs w:val="21"/>
                    </w:rPr>
                    <w:t>m</w:t>
                  </w:r>
                  <w:r>
                    <w:rPr>
                      <w:color w:val="auto"/>
                      <w:szCs w:val="21"/>
                      <w:vertAlign w:val="superscript"/>
                    </w:rPr>
                    <w:t>2</w:t>
                  </w:r>
                  <w:r>
                    <w:rPr>
                      <w:rFonts w:hint="eastAsia"/>
                      <w:color w:val="auto"/>
                      <w:szCs w:val="21"/>
                      <w:lang w:eastAsia="zh-CN"/>
                    </w:rPr>
                    <w:t>，</w:t>
                  </w:r>
                  <w:r>
                    <w:rPr>
                      <w:color w:val="auto"/>
                      <w:szCs w:val="21"/>
                    </w:rPr>
                    <w:t>能够存储</w:t>
                  </w:r>
                  <w:r>
                    <w:rPr>
                      <w:rFonts w:hint="eastAsia"/>
                      <w:color w:val="auto"/>
                      <w:szCs w:val="21"/>
                      <w:lang w:val="en-US" w:eastAsia="zh-CN"/>
                    </w:rPr>
                    <w:t>1</w:t>
                  </w:r>
                  <w:r>
                    <w:rPr>
                      <w:color w:val="auto"/>
                      <w:szCs w:val="21"/>
                    </w:rPr>
                    <w:t>t</w:t>
                  </w:r>
                  <w:r>
                    <w:rPr>
                      <w:rFonts w:hint="eastAsia"/>
                      <w:color w:val="auto"/>
                      <w:szCs w:val="21"/>
                    </w:rPr>
                    <w:t>危险废物</w:t>
                  </w:r>
                  <w:r>
                    <w:rPr>
                      <w:i/>
                      <w:iCs/>
                      <w:color w:val="auto"/>
                      <w:szCs w:val="21"/>
                    </w:rPr>
                    <w:t>。</w:t>
                  </w:r>
                  <w:r>
                    <w:rPr>
                      <w:rFonts w:hint="eastAsia"/>
                      <w:i w:val="0"/>
                      <w:iCs w:val="0"/>
                      <w:color w:val="auto"/>
                      <w:szCs w:val="21"/>
                    </w:rPr>
                    <w:t>危废贮存库</w:t>
                  </w:r>
                  <w:r>
                    <w:rPr>
                      <w:rFonts w:hint="eastAsia"/>
                      <w:i w:val="0"/>
                      <w:iCs w:val="0"/>
                      <w:color w:val="auto"/>
                      <w:szCs w:val="21"/>
                      <w:lang w:val="en-US" w:eastAsia="zh-CN"/>
                    </w:rPr>
                    <w:t>地面及裙角</w:t>
                  </w:r>
                  <w:r>
                    <w:rPr>
                      <w:color w:val="auto"/>
                    </w:rPr>
                    <w:t>基础进行防渗</w:t>
                  </w:r>
                  <w:r>
                    <w:rPr>
                      <w:rFonts w:hint="eastAsia"/>
                      <w:color w:val="auto"/>
                      <w:lang w:eastAsia="zh-CN"/>
                    </w:rPr>
                    <w:t>，</w:t>
                  </w:r>
                  <w:r>
                    <w:rPr>
                      <w:color w:val="auto"/>
                    </w:rPr>
                    <w:t>防渗层为至少2mm厚的其它人工材料（渗透系数≤10</w:t>
                  </w:r>
                  <w:r>
                    <w:rPr>
                      <w:color w:val="auto"/>
                      <w:vertAlign w:val="superscript"/>
                    </w:rPr>
                    <w:t>-10</w:t>
                  </w:r>
                  <w:r>
                    <w:rPr>
                      <w:color w:val="auto"/>
                    </w:rPr>
                    <w:t>cm/s）</w:t>
                  </w:r>
                  <w:r>
                    <w:rPr>
                      <w:rFonts w:hint="eastAsia"/>
                      <w:color w:val="auto"/>
                      <w:lang w:eastAsia="zh-CN"/>
                    </w:rPr>
                    <w:t>，</w:t>
                  </w:r>
                  <w:r>
                    <w:rPr>
                      <w:color w:val="auto"/>
                    </w:rPr>
                    <w:t>危险废物暂存间设置及管理严格执行《危险废物贮存污染控制标准》（GB18597-20</w:t>
                  </w:r>
                  <w:r>
                    <w:rPr>
                      <w:rFonts w:hint="eastAsia"/>
                      <w:color w:val="auto"/>
                      <w:lang w:val="en-US" w:eastAsia="zh-CN"/>
                    </w:rPr>
                    <w:t>23</w:t>
                  </w:r>
                  <w:r>
                    <w:rPr>
                      <w:color w:val="auto"/>
                    </w:rPr>
                    <w:t>）。</w:t>
                  </w:r>
                </w:p>
              </w:tc>
            </w:tr>
            <w:tr w14:paraId="173893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restart"/>
                  <w:vAlign w:val="center"/>
                </w:tcPr>
                <w:p w14:paraId="38C3C596">
                  <w:pPr>
                    <w:jc w:val="center"/>
                    <w:rPr>
                      <w:color w:val="auto"/>
                      <w:szCs w:val="21"/>
                    </w:rPr>
                  </w:pPr>
                  <w:r>
                    <w:rPr>
                      <w:rFonts w:hint="eastAsia"/>
                      <w:color w:val="auto"/>
                      <w:szCs w:val="21"/>
                    </w:rPr>
                    <w:t>公用工程</w:t>
                  </w:r>
                </w:p>
              </w:tc>
              <w:tc>
                <w:tcPr>
                  <w:tcW w:w="504" w:type="pct"/>
                  <w:vAlign w:val="center"/>
                </w:tcPr>
                <w:p w14:paraId="6A1A1585">
                  <w:pPr>
                    <w:jc w:val="center"/>
                    <w:rPr>
                      <w:color w:val="auto"/>
                      <w:szCs w:val="21"/>
                    </w:rPr>
                  </w:pPr>
                  <w:r>
                    <w:rPr>
                      <w:rFonts w:hint="eastAsia"/>
                      <w:color w:val="auto"/>
                      <w:szCs w:val="21"/>
                    </w:rPr>
                    <w:t>给水</w:t>
                  </w:r>
                </w:p>
              </w:tc>
              <w:tc>
                <w:tcPr>
                  <w:tcW w:w="4072" w:type="pct"/>
                  <w:vAlign w:val="center"/>
                </w:tcPr>
                <w:p w14:paraId="7720CF70">
                  <w:pPr>
                    <w:rPr>
                      <w:color w:val="auto"/>
                      <w:szCs w:val="21"/>
                    </w:rPr>
                  </w:pPr>
                  <w:r>
                    <w:rPr>
                      <w:rFonts w:hint="eastAsia"/>
                      <w:color w:val="auto"/>
                      <w:szCs w:val="21"/>
                    </w:rPr>
                    <w:t>本项目</w:t>
                  </w:r>
                  <w:r>
                    <w:rPr>
                      <w:rFonts w:hint="eastAsia"/>
                      <w:color w:val="auto"/>
                    </w:rPr>
                    <w:t>生产不用水</w:t>
                  </w:r>
                  <w:r>
                    <w:rPr>
                      <w:rFonts w:hint="eastAsia"/>
                      <w:color w:val="auto"/>
                      <w:lang w:eastAsia="zh-CN"/>
                    </w:rPr>
                    <w:t>，</w:t>
                  </w:r>
                  <w:r>
                    <w:rPr>
                      <w:rFonts w:hint="eastAsia"/>
                      <w:color w:val="auto"/>
                    </w:rPr>
                    <w:t>生活用水由</w:t>
                  </w:r>
                  <w:r>
                    <w:rPr>
                      <w:rFonts w:hint="eastAsia"/>
                      <w:color w:val="auto"/>
                      <w:lang w:val="en-US" w:eastAsia="zh-CN"/>
                    </w:rPr>
                    <w:t>南山</w:t>
                  </w:r>
                  <w:r>
                    <w:rPr>
                      <w:rFonts w:hint="eastAsia"/>
                      <w:color w:val="auto"/>
                    </w:rPr>
                    <w:t>煤矿井水供给</w:t>
                  </w:r>
                  <w:r>
                    <w:rPr>
                      <w:rFonts w:hint="eastAsia"/>
                      <w:color w:val="auto"/>
                      <w:szCs w:val="21"/>
                      <w:lang w:eastAsia="zh-CN"/>
                    </w:rPr>
                    <w:t>，</w:t>
                  </w:r>
                  <w:r>
                    <w:rPr>
                      <w:rFonts w:hint="eastAsia"/>
                      <w:color w:val="auto"/>
                      <w:szCs w:val="21"/>
                    </w:rPr>
                    <w:t>用水量为2</w:t>
                  </w:r>
                  <w:r>
                    <w:rPr>
                      <w:color w:val="auto"/>
                      <w:szCs w:val="21"/>
                    </w:rPr>
                    <w:t>76</w:t>
                  </w:r>
                  <w:r>
                    <w:rPr>
                      <w:color w:val="auto"/>
                    </w:rPr>
                    <w:t>t/a</w:t>
                  </w:r>
                  <w:r>
                    <w:rPr>
                      <w:rFonts w:hint="eastAsia"/>
                      <w:color w:val="auto"/>
                      <w:szCs w:val="21"/>
                    </w:rPr>
                    <w:t>。</w:t>
                  </w:r>
                </w:p>
              </w:tc>
            </w:tr>
            <w:tr w14:paraId="6818F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7661D360">
                  <w:pPr>
                    <w:widowControl/>
                    <w:jc w:val="center"/>
                    <w:rPr>
                      <w:color w:val="auto"/>
                      <w:szCs w:val="21"/>
                    </w:rPr>
                  </w:pPr>
                </w:p>
              </w:tc>
              <w:tc>
                <w:tcPr>
                  <w:tcW w:w="504" w:type="pct"/>
                  <w:vAlign w:val="center"/>
                </w:tcPr>
                <w:p w14:paraId="385E4E64">
                  <w:pPr>
                    <w:jc w:val="center"/>
                    <w:rPr>
                      <w:color w:val="auto"/>
                      <w:szCs w:val="21"/>
                    </w:rPr>
                  </w:pPr>
                  <w:r>
                    <w:rPr>
                      <w:rFonts w:hint="eastAsia"/>
                      <w:color w:val="auto"/>
                      <w:szCs w:val="21"/>
                    </w:rPr>
                    <w:t>排水</w:t>
                  </w:r>
                </w:p>
              </w:tc>
              <w:tc>
                <w:tcPr>
                  <w:tcW w:w="4072" w:type="pct"/>
                  <w:vAlign w:val="center"/>
                </w:tcPr>
                <w:p w14:paraId="459CFF52">
                  <w:pPr>
                    <w:rPr>
                      <w:color w:val="auto"/>
                      <w:szCs w:val="21"/>
                    </w:rPr>
                  </w:pPr>
                  <w:r>
                    <w:rPr>
                      <w:rFonts w:hint="eastAsia"/>
                      <w:color w:val="auto"/>
                      <w:szCs w:val="21"/>
                    </w:rPr>
                    <w:t>本项目无生产废水产生</w:t>
                  </w:r>
                  <w:r>
                    <w:rPr>
                      <w:rFonts w:hint="eastAsia"/>
                      <w:color w:val="auto"/>
                      <w:szCs w:val="21"/>
                      <w:lang w:eastAsia="zh-CN"/>
                    </w:rPr>
                    <w:t>，</w:t>
                  </w:r>
                  <w:r>
                    <w:rPr>
                      <w:rFonts w:hint="eastAsia"/>
                      <w:color w:val="auto"/>
                      <w:szCs w:val="21"/>
                    </w:rPr>
                    <w:t>生活污水排入防渗旱厕</w:t>
                  </w:r>
                  <w:r>
                    <w:rPr>
                      <w:rFonts w:hint="eastAsia"/>
                      <w:color w:val="auto"/>
                      <w:szCs w:val="21"/>
                      <w:lang w:eastAsia="zh-CN"/>
                    </w:rPr>
                    <w:t>，</w:t>
                  </w:r>
                  <w:r>
                    <w:rPr>
                      <w:rFonts w:hint="eastAsia"/>
                      <w:color w:val="auto"/>
                      <w:szCs w:val="21"/>
                    </w:rPr>
                    <w:t>定期清掏堆肥。</w:t>
                  </w:r>
                </w:p>
              </w:tc>
            </w:tr>
            <w:tr w14:paraId="13F5346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78A1FFB6">
                  <w:pPr>
                    <w:widowControl/>
                    <w:jc w:val="center"/>
                    <w:rPr>
                      <w:color w:val="auto"/>
                      <w:szCs w:val="21"/>
                    </w:rPr>
                  </w:pPr>
                </w:p>
              </w:tc>
              <w:tc>
                <w:tcPr>
                  <w:tcW w:w="504" w:type="pct"/>
                  <w:vAlign w:val="center"/>
                </w:tcPr>
                <w:p w14:paraId="2E924308">
                  <w:pPr>
                    <w:jc w:val="center"/>
                    <w:rPr>
                      <w:color w:val="auto"/>
                      <w:szCs w:val="21"/>
                    </w:rPr>
                  </w:pPr>
                  <w:r>
                    <w:rPr>
                      <w:rFonts w:hint="eastAsia"/>
                      <w:color w:val="auto"/>
                      <w:szCs w:val="21"/>
                    </w:rPr>
                    <w:t>供热</w:t>
                  </w:r>
                </w:p>
              </w:tc>
              <w:tc>
                <w:tcPr>
                  <w:tcW w:w="4072" w:type="pct"/>
                  <w:vAlign w:val="center"/>
                </w:tcPr>
                <w:p w14:paraId="281D801A">
                  <w:pPr>
                    <w:rPr>
                      <w:color w:val="auto"/>
                      <w:szCs w:val="21"/>
                    </w:rPr>
                  </w:pPr>
                  <w:r>
                    <w:rPr>
                      <w:rFonts w:hint="eastAsia"/>
                      <w:color w:val="auto"/>
                      <w:szCs w:val="21"/>
                    </w:rPr>
                    <w:t>本项目生产不用热</w:t>
                  </w:r>
                  <w:r>
                    <w:rPr>
                      <w:rFonts w:hint="eastAsia"/>
                      <w:color w:val="auto"/>
                      <w:szCs w:val="21"/>
                      <w:lang w:eastAsia="zh-CN"/>
                    </w:rPr>
                    <w:t>，</w:t>
                  </w:r>
                  <w:r>
                    <w:rPr>
                      <w:rFonts w:hint="eastAsia"/>
                      <w:color w:val="auto"/>
                      <w:szCs w:val="21"/>
                    </w:rPr>
                    <w:t>冬季供热采用</w:t>
                  </w:r>
                  <w:r>
                    <w:rPr>
                      <w:rFonts w:hint="eastAsia"/>
                      <w:color w:val="auto"/>
                      <w:szCs w:val="21"/>
                      <w:lang w:eastAsia="zh-CN"/>
                    </w:rPr>
                    <w:t>集中供热暖气</w:t>
                  </w:r>
                  <w:r>
                    <w:rPr>
                      <w:rFonts w:hint="eastAsia"/>
                      <w:color w:val="auto"/>
                      <w:szCs w:val="21"/>
                    </w:rPr>
                    <w:t>。</w:t>
                  </w:r>
                </w:p>
              </w:tc>
            </w:tr>
            <w:tr w14:paraId="04DE3F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00BFB5F9">
                  <w:pPr>
                    <w:widowControl/>
                    <w:jc w:val="center"/>
                    <w:rPr>
                      <w:color w:val="auto"/>
                      <w:szCs w:val="21"/>
                    </w:rPr>
                  </w:pPr>
                </w:p>
              </w:tc>
              <w:tc>
                <w:tcPr>
                  <w:tcW w:w="504" w:type="pct"/>
                  <w:vAlign w:val="center"/>
                </w:tcPr>
                <w:p w14:paraId="75DA4090">
                  <w:pPr>
                    <w:jc w:val="center"/>
                    <w:rPr>
                      <w:color w:val="auto"/>
                      <w:szCs w:val="21"/>
                    </w:rPr>
                  </w:pPr>
                  <w:r>
                    <w:rPr>
                      <w:rFonts w:hint="eastAsia"/>
                      <w:color w:val="auto"/>
                      <w:szCs w:val="21"/>
                    </w:rPr>
                    <w:t>供电</w:t>
                  </w:r>
                </w:p>
              </w:tc>
              <w:tc>
                <w:tcPr>
                  <w:tcW w:w="4072" w:type="pct"/>
                  <w:vAlign w:val="center"/>
                </w:tcPr>
                <w:p w14:paraId="63CBE422">
                  <w:pPr>
                    <w:rPr>
                      <w:color w:val="auto"/>
                      <w:szCs w:val="21"/>
                    </w:rPr>
                  </w:pPr>
                  <w:r>
                    <w:rPr>
                      <w:rFonts w:hint="eastAsia"/>
                      <w:color w:val="auto"/>
                      <w:szCs w:val="21"/>
                    </w:rPr>
                    <w:t>由当地供电局供给。</w:t>
                  </w:r>
                </w:p>
              </w:tc>
            </w:tr>
            <w:tr w14:paraId="51E40C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restart"/>
                  <w:vAlign w:val="center"/>
                </w:tcPr>
                <w:p w14:paraId="717604BC">
                  <w:pPr>
                    <w:jc w:val="center"/>
                    <w:rPr>
                      <w:color w:val="auto"/>
                      <w:szCs w:val="21"/>
                    </w:rPr>
                  </w:pPr>
                  <w:r>
                    <w:rPr>
                      <w:rFonts w:hint="eastAsia"/>
                      <w:color w:val="auto"/>
                      <w:szCs w:val="21"/>
                    </w:rPr>
                    <w:t>环保工程</w:t>
                  </w:r>
                </w:p>
              </w:tc>
              <w:tc>
                <w:tcPr>
                  <w:tcW w:w="504" w:type="pct"/>
                  <w:vAlign w:val="center"/>
                </w:tcPr>
                <w:p w14:paraId="1DF27B8C">
                  <w:pPr>
                    <w:jc w:val="center"/>
                    <w:rPr>
                      <w:color w:val="auto"/>
                      <w:szCs w:val="21"/>
                    </w:rPr>
                  </w:pPr>
                  <w:r>
                    <w:rPr>
                      <w:rFonts w:hint="eastAsia"/>
                      <w:color w:val="auto"/>
                      <w:szCs w:val="21"/>
                    </w:rPr>
                    <w:t>废水防治措施</w:t>
                  </w:r>
                </w:p>
              </w:tc>
              <w:tc>
                <w:tcPr>
                  <w:tcW w:w="4072" w:type="pct"/>
                  <w:vAlign w:val="center"/>
                </w:tcPr>
                <w:p w14:paraId="40868458">
                  <w:pPr>
                    <w:rPr>
                      <w:color w:val="auto"/>
                      <w:szCs w:val="21"/>
                    </w:rPr>
                  </w:pPr>
                  <w:r>
                    <w:rPr>
                      <w:rFonts w:hint="eastAsia"/>
                      <w:color w:val="auto"/>
                      <w:szCs w:val="21"/>
                    </w:rPr>
                    <w:t>生活污水：设置防渗旱厕</w:t>
                  </w:r>
                  <w:r>
                    <w:rPr>
                      <w:rFonts w:hint="eastAsia"/>
                      <w:color w:val="auto"/>
                      <w:szCs w:val="21"/>
                      <w:lang w:eastAsia="zh-CN"/>
                    </w:rPr>
                    <w:t>，</w:t>
                  </w:r>
                  <w:r>
                    <w:rPr>
                      <w:rFonts w:hint="eastAsia"/>
                      <w:color w:val="auto"/>
                      <w:szCs w:val="21"/>
                    </w:rPr>
                    <w:t>定期清掏堆肥</w:t>
                  </w:r>
                  <w:r>
                    <w:rPr>
                      <w:rFonts w:hint="eastAsia"/>
                      <w:color w:val="auto"/>
                      <w:szCs w:val="21"/>
                      <w:lang w:eastAsia="zh-CN"/>
                    </w:rPr>
                    <w:t>，</w:t>
                  </w:r>
                  <w:r>
                    <w:rPr>
                      <w:rFonts w:hint="eastAsia"/>
                      <w:color w:val="auto"/>
                      <w:szCs w:val="21"/>
                    </w:rPr>
                    <w:t>不外排。</w:t>
                  </w:r>
                </w:p>
              </w:tc>
            </w:tr>
            <w:tr w14:paraId="645BA11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3E4760CB">
                  <w:pPr>
                    <w:jc w:val="center"/>
                    <w:rPr>
                      <w:color w:val="auto"/>
                      <w:szCs w:val="21"/>
                    </w:rPr>
                  </w:pPr>
                </w:p>
              </w:tc>
              <w:tc>
                <w:tcPr>
                  <w:tcW w:w="504" w:type="pct"/>
                  <w:vAlign w:val="center"/>
                </w:tcPr>
                <w:p w14:paraId="7561C9D3">
                  <w:pPr>
                    <w:jc w:val="center"/>
                    <w:rPr>
                      <w:color w:val="auto"/>
                      <w:szCs w:val="21"/>
                    </w:rPr>
                  </w:pPr>
                  <w:r>
                    <w:rPr>
                      <w:rFonts w:hint="eastAsia"/>
                      <w:color w:val="auto"/>
                      <w:szCs w:val="21"/>
                    </w:rPr>
                    <w:t>废气防治措施</w:t>
                  </w:r>
                </w:p>
              </w:tc>
              <w:tc>
                <w:tcPr>
                  <w:tcW w:w="4072" w:type="pct"/>
                  <w:vAlign w:val="center"/>
                </w:tcPr>
                <w:p w14:paraId="5F184F67">
                  <w:pPr>
                    <w:rPr>
                      <w:color w:val="auto"/>
                      <w:szCs w:val="21"/>
                    </w:rPr>
                  </w:pPr>
                  <w:r>
                    <w:rPr>
                      <w:rFonts w:hint="eastAsia"/>
                      <w:color w:val="auto"/>
                      <w:szCs w:val="21"/>
                    </w:rPr>
                    <w:t>有机废气：</w:t>
                  </w:r>
                  <w:r>
                    <w:rPr>
                      <w:rFonts w:hint="eastAsia"/>
                      <w:color w:val="auto"/>
                    </w:rPr>
                    <w:t>本项目物料卸车、转运、输送过程</w:t>
                  </w:r>
                  <w:r>
                    <w:rPr>
                      <w:color w:val="auto"/>
                    </w:rPr>
                    <w:t>采用密闭管道</w:t>
                  </w:r>
                  <w:r>
                    <w:rPr>
                      <w:rFonts w:hint="eastAsia"/>
                      <w:color w:val="auto"/>
                    </w:rPr>
                    <w:t>、</w:t>
                  </w:r>
                  <w:r>
                    <w:rPr>
                      <w:color w:val="auto"/>
                    </w:rPr>
                    <w:t>密闭容器</w:t>
                  </w:r>
                  <w:r>
                    <w:rPr>
                      <w:rFonts w:hint="eastAsia"/>
                      <w:color w:val="auto"/>
                      <w:lang w:eastAsia="zh-CN"/>
                    </w:rPr>
                    <w:t>，</w:t>
                  </w:r>
                  <w:r>
                    <w:rPr>
                      <w:rFonts w:hint="eastAsia"/>
                      <w:color w:val="auto"/>
                    </w:rPr>
                    <w:t>生产区采取密闭措施。罐区储罐大小呼吸产生的废气经管道密闭收集后</w:t>
                  </w:r>
                  <w:r>
                    <w:rPr>
                      <w:rFonts w:hint="eastAsia"/>
                      <w:color w:val="auto"/>
                      <w:lang w:eastAsia="zh-CN"/>
                    </w:rPr>
                    <w:t>，</w:t>
                  </w:r>
                  <w:r>
                    <w:rPr>
                      <w:rFonts w:hint="eastAsia"/>
                      <w:color w:val="auto"/>
                    </w:rPr>
                    <w:t>全部送厂区活性炭吸附装置进行处理；</w:t>
                  </w:r>
                  <w:r>
                    <w:rPr>
                      <w:rFonts w:hint="eastAsia"/>
                      <w:bCs/>
                      <w:color w:val="auto"/>
                      <w:szCs w:val="21"/>
                    </w:rPr>
                    <w:t>包装机</w:t>
                  </w:r>
                  <w:r>
                    <w:rPr>
                      <w:rFonts w:hint="eastAsia"/>
                      <w:bCs/>
                      <w:color w:val="auto"/>
                    </w:rPr>
                    <w:t>灌装区设有</w:t>
                  </w:r>
                  <w:r>
                    <w:rPr>
                      <w:rFonts w:hint="eastAsia"/>
                      <w:bCs/>
                      <w:color w:val="auto"/>
                      <w:szCs w:val="21"/>
                    </w:rPr>
                    <w:t>密闭罩壳</w:t>
                  </w:r>
                  <w:r>
                    <w:rPr>
                      <w:rFonts w:hint="eastAsia"/>
                      <w:bCs/>
                      <w:color w:val="auto"/>
                      <w:szCs w:val="21"/>
                      <w:lang w:eastAsia="zh-CN"/>
                    </w:rPr>
                    <w:t>，</w:t>
                  </w:r>
                  <w:r>
                    <w:rPr>
                      <w:rFonts w:hint="eastAsia"/>
                      <w:bCs/>
                      <w:color w:val="auto"/>
                      <w:szCs w:val="21"/>
                    </w:rPr>
                    <w:t>罩壳内部设置集气管收集灌装过程产生的废气</w:t>
                  </w:r>
                  <w:r>
                    <w:rPr>
                      <w:rFonts w:hint="eastAsia"/>
                      <w:bCs/>
                      <w:color w:val="auto"/>
                      <w:szCs w:val="21"/>
                      <w:lang w:eastAsia="zh-CN"/>
                    </w:rPr>
                    <w:t>，</w:t>
                  </w:r>
                  <w:r>
                    <w:rPr>
                      <w:rFonts w:hint="eastAsia"/>
                      <w:bCs/>
                      <w:color w:val="auto"/>
                      <w:szCs w:val="21"/>
                    </w:rPr>
                    <w:t>收集的废气</w:t>
                  </w:r>
                  <w:r>
                    <w:rPr>
                      <w:rFonts w:hint="eastAsia"/>
                      <w:color w:val="auto"/>
                    </w:rPr>
                    <w:t>全部送厂区活性炭吸附装置进行处理</w:t>
                  </w:r>
                  <w:r>
                    <w:rPr>
                      <w:rFonts w:hint="eastAsia"/>
                      <w:color w:val="auto"/>
                      <w:lang w:eastAsia="zh-CN"/>
                    </w:rPr>
                    <w:t>，</w:t>
                  </w:r>
                  <w:r>
                    <w:rPr>
                      <w:rFonts w:hint="eastAsia"/>
                      <w:color w:val="auto"/>
                    </w:rPr>
                    <w:t>处理后经1</w:t>
                  </w:r>
                  <w:r>
                    <w:rPr>
                      <w:color w:val="auto"/>
                    </w:rPr>
                    <w:t>5</w:t>
                  </w:r>
                  <w:r>
                    <w:rPr>
                      <w:rFonts w:hint="eastAsia"/>
                      <w:color w:val="auto"/>
                    </w:rPr>
                    <w:t>m高排气筒排放</w:t>
                  </w:r>
                  <w:r>
                    <w:rPr>
                      <w:rFonts w:hint="eastAsia"/>
                      <w:color w:val="auto"/>
                      <w:szCs w:val="21"/>
                      <w:lang w:eastAsia="zh-CN"/>
                    </w:rPr>
                    <w:t>，</w:t>
                  </w:r>
                  <w:r>
                    <w:rPr>
                      <w:rFonts w:hint="eastAsia"/>
                      <w:color w:val="auto"/>
                      <w:szCs w:val="21"/>
                    </w:rPr>
                    <w:t>净化效率</w:t>
                  </w:r>
                  <w:r>
                    <w:rPr>
                      <w:color w:val="auto"/>
                      <w:szCs w:val="21"/>
                    </w:rPr>
                    <w:t>80</w:t>
                  </w:r>
                  <w:r>
                    <w:rPr>
                      <w:rFonts w:hint="eastAsia"/>
                      <w:color w:val="auto"/>
                      <w:szCs w:val="21"/>
                    </w:rPr>
                    <w:t>%。</w:t>
                  </w:r>
                </w:p>
              </w:tc>
            </w:tr>
            <w:tr w14:paraId="0079E4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7147849A">
                  <w:pPr>
                    <w:widowControl/>
                    <w:jc w:val="center"/>
                    <w:rPr>
                      <w:color w:val="auto"/>
                      <w:szCs w:val="21"/>
                    </w:rPr>
                  </w:pPr>
                </w:p>
              </w:tc>
              <w:tc>
                <w:tcPr>
                  <w:tcW w:w="504" w:type="pct"/>
                  <w:vAlign w:val="center"/>
                </w:tcPr>
                <w:p w14:paraId="7C7643DA">
                  <w:pPr>
                    <w:jc w:val="center"/>
                    <w:rPr>
                      <w:color w:val="auto"/>
                      <w:szCs w:val="21"/>
                    </w:rPr>
                  </w:pPr>
                  <w:r>
                    <w:rPr>
                      <w:rFonts w:hint="eastAsia"/>
                      <w:color w:val="auto"/>
                      <w:szCs w:val="21"/>
                    </w:rPr>
                    <w:t>噪声防治措施</w:t>
                  </w:r>
                </w:p>
              </w:tc>
              <w:tc>
                <w:tcPr>
                  <w:tcW w:w="4072" w:type="pct"/>
                  <w:vAlign w:val="center"/>
                </w:tcPr>
                <w:p w14:paraId="365FB3F0">
                  <w:pPr>
                    <w:rPr>
                      <w:color w:val="auto"/>
                      <w:szCs w:val="21"/>
                    </w:rPr>
                  </w:pPr>
                  <w:r>
                    <w:rPr>
                      <w:rFonts w:hint="eastAsia"/>
                      <w:color w:val="auto"/>
                      <w:szCs w:val="21"/>
                    </w:rPr>
                    <w:t>选用先进的低噪声设备</w:t>
                  </w:r>
                  <w:r>
                    <w:rPr>
                      <w:rFonts w:hint="eastAsia"/>
                      <w:color w:val="auto"/>
                      <w:szCs w:val="21"/>
                      <w:lang w:eastAsia="zh-CN"/>
                    </w:rPr>
                    <w:t>，</w:t>
                  </w:r>
                  <w:r>
                    <w:rPr>
                      <w:rFonts w:hint="eastAsia"/>
                      <w:color w:val="auto"/>
                      <w:szCs w:val="21"/>
                    </w:rPr>
                    <w:t>采取减振、消声、隔声等措施。</w:t>
                  </w:r>
                </w:p>
              </w:tc>
            </w:tr>
            <w:tr w14:paraId="56CA664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50A72785">
                  <w:pPr>
                    <w:widowControl/>
                    <w:jc w:val="center"/>
                    <w:rPr>
                      <w:color w:val="auto"/>
                      <w:szCs w:val="21"/>
                    </w:rPr>
                  </w:pPr>
                </w:p>
              </w:tc>
              <w:tc>
                <w:tcPr>
                  <w:tcW w:w="504" w:type="pct"/>
                  <w:vAlign w:val="center"/>
                </w:tcPr>
                <w:p w14:paraId="010D4251">
                  <w:pPr>
                    <w:jc w:val="center"/>
                    <w:rPr>
                      <w:color w:val="auto"/>
                      <w:szCs w:val="21"/>
                    </w:rPr>
                  </w:pPr>
                  <w:r>
                    <w:rPr>
                      <w:rFonts w:hint="eastAsia"/>
                      <w:color w:val="auto"/>
                      <w:szCs w:val="21"/>
                    </w:rPr>
                    <w:t>固体废物</w:t>
                  </w:r>
                </w:p>
              </w:tc>
              <w:tc>
                <w:tcPr>
                  <w:tcW w:w="4072" w:type="pct"/>
                  <w:vAlign w:val="center"/>
                </w:tcPr>
                <w:p w14:paraId="20793574">
                  <w:pPr>
                    <w:rPr>
                      <w:color w:val="auto"/>
                      <w:szCs w:val="21"/>
                    </w:rPr>
                  </w:pPr>
                  <w:r>
                    <w:rPr>
                      <w:rFonts w:hint="eastAsia"/>
                      <w:color w:val="auto"/>
                      <w:szCs w:val="21"/>
                    </w:rPr>
                    <w:t>生活垃圾：由环卫部门统一清运处理。</w:t>
                  </w:r>
                </w:p>
                <w:p w14:paraId="746CD9BE">
                  <w:pPr>
                    <w:rPr>
                      <w:color w:val="auto"/>
                    </w:rPr>
                  </w:pPr>
                  <w:r>
                    <w:rPr>
                      <w:rFonts w:hint="eastAsia"/>
                      <w:color w:val="auto"/>
                    </w:rPr>
                    <w:t>废活性炭：活性炭每年更换</w:t>
                  </w:r>
                  <w:r>
                    <w:rPr>
                      <w:rFonts w:hint="eastAsia"/>
                      <w:color w:val="auto"/>
                      <w:lang w:val="en-US" w:eastAsia="zh-CN"/>
                    </w:rPr>
                    <w:t>4</w:t>
                  </w:r>
                  <w:r>
                    <w:rPr>
                      <w:rFonts w:hint="eastAsia"/>
                      <w:color w:val="auto"/>
                    </w:rPr>
                    <w:t>次（每次0.</w:t>
                  </w:r>
                  <w:r>
                    <w:rPr>
                      <w:color w:val="auto"/>
                    </w:rPr>
                    <w:t>5</w:t>
                  </w:r>
                  <w:r>
                    <w:rPr>
                      <w:rFonts w:hint="eastAsia"/>
                      <w:color w:val="auto"/>
                      <w:lang w:val="en-US" w:eastAsia="zh-CN"/>
                    </w:rPr>
                    <w:t>7</w:t>
                  </w:r>
                  <w:r>
                    <w:rPr>
                      <w:color w:val="auto"/>
                    </w:rPr>
                    <w:t>5</w:t>
                  </w:r>
                  <w:r>
                    <w:rPr>
                      <w:rFonts w:hint="eastAsia"/>
                      <w:color w:val="auto"/>
                    </w:rPr>
                    <w:t>t）</w:t>
                  </w:r>
                  <w:r>
                    <w:rPr>
                      <w:rFonts w:hint="eastAsia"/>
                      <w:color w:val="auto"/>
                      <w:lang w:eastAsia="zh-CN"/>
                    </w:rPr>
                    <w:t>，</w:t>
                  </w:r>
                  <w:r>
                    <w:rPr>
                      <w:rFonts w:hint="eastAsia"/>
                      <w:color w:val="auto"/>
                    </w:rPr>
                    <w:t>更换的废活性炭</w:t>
                  </w:r>
                  <w:r>
                    <w:rPr>
                      <w:rFonts w:hint="eastAsia"/>
                      <w:color w:val="auto"/>
                      <w:lang w:eastAsia="zh-CN"/>
                    </w:rPr>
                    <w:t>，</w:t>
                  </w:r>
                  <w:r>
                    <w:rPr>
                      <w:rFonts w:hint="eastAsia"/>
                      <w:color w:val="auto"/>
                    </w:rPr>
                    <w:t>暂存在危废暂存间内</w:t>
                  </w:r>
                  <w:r>
                    <w:rPr>
                      <w:rFonts w:hint="eastAsia"/>
                      <w:color w:val="auto"/>
                      <w:lang w:eastAsia="zh-CN"/>
                    </w:rPr>
                    <w:t>，</w:t>
                  </w:r>
                  <w:r>
                    <w:rPr>
                      <w:rFonts w:hint="eastAsia"/>
                      <w:color w:val="auto"/>
                    </w:rPr>
                    <w:t>定期交有资质单位处置。</w:t>
                  </w:r>
                </w:p>
              </w:tc>
            </w:tr>
            <w:tr w14:paraId="40C45B7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14D4F494">
                  <w:pPr>
                    <w:widowControl/>
                    <w:jc w:val="center"/>
                    <w:rPr>
                      <w:color w:val="auto"/>
                      <w:szCs w:val="21"/>
                    </w:rPr>
                  </w:pPr>
                </w:p>
              </w:tc>
              <w:tc>
                <w:tcPr>
                  <w:tcW w:w="504" w:type="pct"/>
                  <w:vAlign w:val="center"/>
                </w:tcPr>
                <w:p w14:paraId="52F25710">
                  <w:pPr>
                    <w:jc w:val="center"/>
                    <w:rPr>
                      <w:color w:val="auto"/>
                      <w:szCs w:val="21"/>
                    </w:rPr>
                  </w:pPr>
                  <w:r>
                    <w:rPr>
                      <w:rFonts w:hint="eastAsia"/>
                      <w:color w:val="auto"/>
                      <w:szCs w:val="21"/>
                    </w:rPr>
                    <w:t>地下水防渗措施</w:t>
                  </w:r>
                </w:p>
              </w:tc>
              <w:tc>
                <w:tcPr>
                  <w:tcW w:w="4072" w:type="pct"/>
                  <w:vAlign w:val="center"/>
                </w:tcPr>
                <w:p w14:paraId="40C53101">
                  <w:pPr>
                    <w:rPr>
                      <w:color w:val="auto"/>
                      <w:szCs w:val="21"/>
                    </w:rPr>
                  </w:pPr>
                  <w:r>
                    <w:rPr>
                      <w:rFonts w:hint="eastAsia"/>
                      <w:color w:val="auto"/>
                    </w:rPr>
                    <w:t>车间</w:t>
                  </w:r>
                  <w:r>
                    <w:rPr>
                      <w:color w:val="auto"/>
                    </w:rPr>
                    <w:t>敷设10cm厚混凝土防渗层</w:t>
                  </w:r>
                  <w:r>
                    <w:rPr>
                      <w:rFonts w:hint="eastAsia"/>
                      <w:color w:val="auto"/>
                      <w:lang w:eastAsia="zh-CN"/>
                    </w:rPr>
                    <w:t>，</w:t>
                  </w:r>
                  <w:r>
                    <w:rPr>
                      <w:color w:val="auto"/>
                    </w:rPr>
                    <w:t>混凝土的抗渗等级不低于P8</w:t>
                  </w:r>
                  <w:r>
                    <w:rPr>
                      <w:rFonts w:hint="eastAsia"/>
                      <w:color w:val="auto"/>
                      <w:lang w:eastAsia="zh-CN"/>
                    </w:rPr>
                    <w:t>，</w:t>
                  </w:r>
                  <w:r>
                    <w:rPr>
                      <w:color w:val="auto"/>
                    </w:rPr>
                    <w:t>渗透系数≤10</w:t>
                  </w:r>
                  <w:r>
                    <w:rPr>
                      <w:color w:val="auto"/>
                      <w:vertAlign w:val="superscript"/>
                    </w:rPr>
                    <w:t>-10</w:t>
                  </w:r>
                  <w:r>
                    <w:rPr>
                      <w:color w:val="auto"/>
                    </w:rPr>
                    <w:t>cm/s</w:t>
                  </w:r>
                  <w:r>
                    <w:rPr>
                      <w:rFonts w:hint="eastAsia"/>
                      <w:color w:val="auto"/>
                      <w:lang w:eastAsia="zh-CN"/>
                    </w:rPr>
                    <w:t>，</w:t>
                  </w:r>
                  <w:r>
                    <w:rPr>
                      <w:color w:val="auto"/>
                    </w:rPr>
                    <w:t>满足《环境影响评价技术导则 地下水环境》（HJ610-2016）表7中一般防渗区防渗技术要求（等效黏土防渗层Mb≥1.5m</w:t>
                  </w:r>
                  <w:r>
                    <w:rPr>
                      <w:rFonts w:hint="eastAsia"/>
                      <w:color w:val="auto"/>
                      <w:lang w:eastAsia="zh-CN"/>
                    </w:rPr>
                    <w:t>，</w:t>
                  </w:r>
                  <w:r>
                    <w:rPr>
                      <w:color w:val="auto"/>
                    </w:rPr>
                    <w:t>渗透系数≤10</w:t>
                  </w:r>
                  <w:r>
                    <w:rPr>
                      <w:color w:val="auto"/>
                      <w:vertAlign w:val="superscript"/>
                    </w:rPr>
                    <w:t>-7</w:t>
                  </w:r>
                  <w:r>
                    <w:rPr>
                      <w:color w:val="auto"/>
                    </w:rPr>
                    <w:t>cm/s）</w:t>
                  </w:r>
                  <w:r>
                    <w:rPr>
                      <w:rFonts w:hint="eastAsia"/>
                      <w:color w:val="auto"/>
                    </w:rPr>
                    <w:t>。</w:t>
                  </w:r>
                </w:p>
              </w:tc>
            </w:tr>
            <w:tr w14:paraId="691D74D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22" w:type="pct"/>
                  <w:vMerge w:val="continue"/>
                  <w:vAlign w:val="center"/>
                </w:tcPr>
                <w:p w14:paraId="0D2C3A82">
                  <w:pPr>
                    <w:widowControl/>
                    <w:jc w:val="center"/>
                    <w:rPr>
                      <w:color w:val="auto"/>
                      <w:szCs w:val="21"/>
                    </w:rPr>
                  </w:pPr>
                </w:p>
              </w:tc>
              <w:tc>
                <w:tcPr>
                  <w:tcW w:w="504" w:type="pct"/>
                  <w:vAlign w:val="center"/>
                </w:tcPr>
                <w:p w14:paraId="08DA6410">
                  <w:pPr>
                    <w:jc w:val="center"/>
                    <w:rPr>
                      <w:color w:val="auto"/>
                      <w:szCs w:val="21"/>
                    </w:rPr>
                  </w:pPr>
                  <w:r>
                    <w:rPr>
                      <w:rFonts w:hint="eastAsia"/>
                      <w:color w:val="auto"/>
                      <w:szCs w:val="21"/>
                    </w:rPr>
                    <w:t>风险防范</w:t>
                  </w:r>
                </w:p>
              </w:tc>
              <w:tc>
                <w:tcPr>
                  <w:tcW w:w="4072" w:type="pct"/>
                  <w:vAlign w:val="center"/>
                </w:tcPr>
                <w:p w14:paraId="4521E650">
                  <w:pPr>
                    <w:rPr>
                      <w:color w:val="auto"/>
                      <w:szCs w:val="21"/>
                    </w:rPr>
                  </w:pPr>
                  <w:r>
                    <w:rPr>
                      <w:rFonts w:hint="eastAsia"/>
                      <w:color w:val="auto"/>
                      <w:szCs w:val="21"/>
                    </w:rPr>
                    <w:t>生产区和存储区四周设置0</w:t>
                  </w:r>
                  <w:r>
                    <w:rPr>
                      <w:color w:val="auto"/>
                      <w:szCs w:val="21"/>
                    </w:rPr>
                    <w:t>.</w:t>
                  </w:r>
                  <w:r>
                    <w:rPr>
                      <w:rFonts w:hint="eastAsia"/>
                      <w:color w:val="auto"/>
                      <w:szCs w:val="21"/>
                      <w:lang w:val="en-US" w:eastAsia="zh-CN"/>
                    </w:rPr>
                    <w:t>5</w:t>
                  </w:r>
                  <w:r>
                    <w:rPr>
                      <w:rFonts w:hint="eastAsia"/>
                      <w:color w:val="auto"/>
                      <w:szCs w:val="21"/>
                    </w:rPr>
                    <w:t>m高防渗围堰</w:t>
                  </w:r>
                  <w:r>
                    <w:rPr>
                      <w:rFonts w:hint="eastAsia"/>
                      <w:color w:val="auto"/>
                      <w:szCs w:val="21"/>
                      <w:lang w:eastAsia="zh-CN"/>
                    </w:rPr>
                    <w:t>，</w:t>
                  </w:r>
                  <w:r>
                    <w:rPr>
                      <w:rFonts w:hint="eastAsia"/>
                      <w:color w:val="auto"/>
                      <w:szCs w:val="21"/>
                    </w:rPr>
                    <w:t>采用防渗混凝土结构</w:t>
                  </w:r>
                  <w:r>
                    <w:rPr>
                      <w:rFonts w:hint="eastAsia"/>
                      <w:color w:val="auto"/>
                      <w:szCs w:val="21"/>
                      <w:lang w:eastAsia="zh-CN"/>
                    </w:rPr>
                    <w:t>，</w:t>
                  </w:r>
                  <w:r>
                    <w:rPr>
                      <w:color w:val="auto"/>
                    </w:rPr>
                    <w:t>渗透系数≤10</w:t>
                  </w:r>
                  <w:r>
                    <w:rPr>
                      <w:color w:val="auto"/>
                      <w:vertAlign w:val="superscript"/>
                    </w:rPr>
                    <w:t>-10</w:t>
                  </w:r>
                  <w:r>
                    <w:rPr>
                      <w:color w:val="auto"/>
                    </w:rPr>
                    <w:t>cm/s</w:t>
                  </w:r>
                  <w:r>
                    <w:rPr>
                      <w:rFonts w:hint="eastAsia"/>
                      <w:color w:val="auto"/>
                      <w:lang w:eastAsia="zh-CN"/>
                    </w:rPr>
                    <w:t>，</w:t>
                  </w:r>
                  <w:r>
                    <w:rPr>
                      <w:rFonts w:hint="eastAsia"/>
                      <w:color w:val="auto"/>
                    </w:rPr>
                    <w:t>围堰内</w:t>
                  </w:r>
                  <w:r>
                    <w:rPr>
                      <w:rFonts w:hint="eastAsia"/>
                      <w:color w:val="auto"/>
                      <w:szCs w:val="21"/>
                    </w:rPr>
                    <w:t>有效容积</w:t>
                  </w:r>
                  <w:r>
                    <w:rPr>
                      <w:color w:val="auto"/>
                      <w:szCs w:val="21"/>
                    </w:rPr>
                    <w:t>48</w:t>
                  </w:r>
                  <w:r>
                    <w:rPr>
                      <w:rFonts w:hint="eastAsia"/>
                      <w:color w:val="auto"/>
                      <w:szCs w:val="21"/>
                    </w:rPr>
                    <w:t>m</w:t>
                  </w:r>
                  <w:r>
                    <w:rPr>
                      <w:color w:val="auto"/>
                      <w:szCs w:val="21"/>
                      <w:vertAlign w:val="superscript"/>
                    </w:rPr>
                    <w:t>3</w:t>
                  </w:r>
                  <w:r>
                    <w:rPr>
                      <w:rFonts w:hint="eastAsia"/>
                      <w:color w:val="auto"/>
                      <w:szCs w:val="21"/>
                    </w:rPr>
                    <w:t>（大于车间总的物料存在量）；车间设置泄漏报警及监控装置</w:t>
                  </w:r>
                  <w:r>
                    <w:rPr>
                      <w:rFonts w:hint="eastAsia"/>
                      <w:color w:val="auto"/>
                      <w:szCs w:val="21"/>
                      <w:lang w:eastAsia="zh-CN"/>
                    </w:rPr>
                    <w:t>，</w:t>
                  </w:r>
                  <w:r>
                    <w:rPr>
                      <w:rFonts w:hint="eastAsia"/>
                      <w:color w:val="auto"/>
                      <w:szCs w:val="21"/>
                    </w:rPr>
                    <w:t>一旦泄漏及时发现并处理。</w:t>
                  </w:r>
                </w:p>
              </w:tc>
            </w:tr>
          </w:tbl>
          <w:p w14:paraId="6DE0C6A5">
            <w:pPr>
              <w:pStyle w:val="102"/>
              <w:ind w:firstLine="480"/>
              <w:rPr>
                <w:color w:val="auto"/>
              </w:rPr>
            </w:pPr>
            <w:r>
              <w:rPr>
                <w:color w:val="auto"/>
              </w:rPr>
              <w:t>2、主要</w:t>
            </w:r>
            <w:r>
              <w:rPr>
                <w:rFonts w:hint="eastAsia"/>
                <w:color w:val="auto"/>
              </w:rPr>
              <w:t>原辅材料</w:t>
            </w:r>
          </w:p>
          <w:p w14:paraId="1A264CA3">
            <w:pPr>
              <w:pStyle w:val="102"/>
              <w:ind w:firstLine="480"/>
              <w:rPr>
                <w:color w:val="auto"/>
              </w:rPr>
            </w:pPr>
            <w:r>
              <w:rPr>
                <w:color w:val="auto"/>
              </w:rPr>
              <w:t>本项目主要</w:t>
            </w:r>
            <w:r>
              <w:rPr>
                <w:rFonts w:hint="eastAsia"/>
                <w:color w:val="auto"/>
              </w:rPr>
              <w:t>原辅材料</w:t>
            </w:r>
            <w:r>
              <w:rPr>
                <w:color w:val="auto"/>
              </w:rPr>
              <w:t>见表2-2</w:t>
            </w:r>
            <w:r>
              <w:rPr>
                <w:rFonts w:hint="eastAsia"/>
                <w:color w:val="auto"/>
                <w:lang w:eastAsia="zh-CN"/>
              </w:rPr>
              <w:t>，</w:t>
            </w:r>
            <w:r>
              <w:rPr>
                <w:rFonts w:hint="eastAsia"/>
                <w:color w:val="auto"/>
              </w:rPr>
              <w:t>项目主要原辅材料特性见表</w:t>
            </w:r>
            <w:r>
              <w:rPr>
                <w:color w:val="auto"/>
              </w:rPr>
              <w:t>2-3。</w:t>
            </w:r>
          </w:p>
          <w:p w14:paraId="306AD678">
            <w:pPr>
              <w:pStyle w:val="114"/>
              <w:rPr>
                <w:color w:val="auto"/>
                <w:highlight w:val="none"/>
              </w:rPr>
            </w:pPr>
            <w:r>
              <w:rPr>
                <w:color w:val="auto"/>
                <w:highlight w:val="none"/>
              </w:rPr>
              <w:t>表2-2  项目主要</w:t>
            </w:r>
            <w:r>
              <w:rPr>
                <w:rFonts w:hint="eastAsia"/>
                <w:color w:val="auto"/>
                <w:highlight w:val="none"/>
              </w:rPr>
              <w:t>原辅材料</w:t>
            </w:r>
            <w:r>
              <w:rPr>
                <w:color w:val="auto"/>
                <w:highlight w:val="none"/>
              </w:rPr>
              <w:t>表</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5"/>
              <w:gridCol w:w="1978"/>
              <w:gridCol w:w="1408"/>
              <w:gridCol w:w="1873"/>
              <w:gridCol w:w="2339"/>
            </w:tblGrid>
            <w:tr w14:paraId="04A4D30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4" w:type="pct"/>
                  <w:gridSpan w:val="2"/>
                  <w:tcBorders>
                    <w:tl2br w:val="nil"/>
                    <w:tr2bl w:val="nil"/>
                  </w:tcBorders>
                  <w:vAlign w:val="center"/>
                </w:tcPr>
                <w:p w14:paraId="0C4016AB">
                  <w:pPr>
                    <w:pStyle w:val="101"/>
                    <w:rPr>
                      <w:color w:val="auto"/>
                      <w:highlight w:val="none"/>
                    </w:rPr>
                  </w:pPr>
                  <w:r>
                    <w:rPr>
                      <w:color w:val="auto"/>
                      <w:highlight w:val="none"/>
                    </w:rPr>
                    <w:t>名称</w:t>
                  </w:r>
                </w:p>
              </w:tc>
              <w:tc>
                <w:tcPr>
                  <w:tcW w:w="836" w:type="pct"/>
                  <w:tcBorders>
                    <w:tl2br w:val="nil"/>
                    <w:tr2bl w:val="nil"/>
                  </w:tcBorders>
                  <w:vAlign w:val="center"/>
                </w:tcPr>
                <w:p w14:paraId="2A76BB7D">
                  <w:pPr>
                    <w:pStyle w:val="101"/>
                    <w:rPr>
                      <w:color w:val="auto"/>
                      <w:highlight w:val="none"/>
                    </w:rPr>
                  </w:pPr>
                  <w:r>
                    <w:rPr>
                      <w:rFonts w:hint="eastAsia"/>
                      <w:color w:val="auto"/>
                      <w:highlight w:val="none"/>
                    </w:rPr>
                    <w:t>单位</w:t>
                  </w:r>
                </w:p>
              </w:tc>
              <w:tc>
                <w:tcPr>
                  <w:tcW w:w="1112" w:type="pct"/>
                  <w:tcBorders>
                    <w:tl2br w:val="nil"/>
                    <w:tr2bl w:val="nil"/>
                  </w:tcBorders>
                  <w:vAlign w:val="center"/>
                </w:tcPr>
                <w:p w14:paraId="0EA002FB">
                  <w:pPr>
                    <w:pStyle w:val="101"/>
                    <w:rPr>
                      <w:color w:val="auto"/>
                      <w:highlight w:val="none"/>
                    </w:rPr>
                  </w:pPr>
                  <w:r>
                    <w:rPr>
                      <w:rFonts w:hint="eastAsia"/>
                      <w:color w:val="auto"/>
                      <w:highlight w:val="none"/>
                    </w:rPr>
                    <w:t>消耗量</w:t>
                  </w:r>
                </w:p>
              </w:tc>
              <w:tc>
                <w:tcPr>
                  <w:tcW w:w="1388" w:type="pct"/>
                  <w:tcBorders>
                    <w:tl2br w:val="nil"/>
                    <w:tr2bl w:val="nil"/>
                  </w:tcBorders>
                  <w:vAlign w:val="center"/>
                </w:tcPr>
                <w:p w14:paraId="0082D6B4">
                  <w:pPr>
                    <w:pStyle w:val="101"/>
                    <w:rPr>
                      <w:color w:val="auto"/>
                      <w:highlight w:val="none"/>
                    </w:rPr>
                  </w:pPr>
                  <w:r>
                    <w:rPr>
                      <w:rFonts w:hint="eastAsia"/>
                      <w:color w:val="auto"/>
                      <w:highlight w:val="none"/>
                    </w:rPr>
                    <w:t>备注</w:t>
                  </w:r>
                </w:p>
              </w:tc>
            </w:tr>
            <w:tr w14:paraId="44F6FB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0" w:type="pct"/>
                  <w:vMerge w:val="restart"/>
                  <w:tcBorders>
                    <w:tl2br w:val="nil"/>
                    <w:tr2bl w:val="nil"/>
                  </w:tcBorders>
                  <w:vAlign w:val="center"/>
                </w:tcPr>
                <w:p w14:paraId="2DBB6419">
                  <w:pPr>
                    <w:pStyle w:val="101"/>
                    <w:rPr>
                      <w:color w:val="auto"/>
                      <w:highlight w:val="none"/>
                    </w:rPr>
                  </w:pPr>
                  <w:r>
                    <w:rPr>
                      <w:rFonts w:hint="eastAsia"/>
                      <w:color w:val="auto"/>
                      <w:highlight w:val="none"/>
                    </w:rPr>
                    <w:t>A组分原料</w:t>
                  </w:r>
                </w:p>
              </w:tc>
              <w:tc>
                <w:tcPr>
                  <w:tcW w:w="1174" w:type="pct"/>
                  <w:tcBorders>
                    <w:tl2br w:val="nil"/>
                    <w:tr2bl w:val="nil"/>
                  </w:tcBorders>
                  <w:vAlign w:val="center"/>
                </w:tcPr>
                <w:p w14:paraId="3408F046">
                  <w:pPr>
                    <w:pStyle w:val="101"/>
                    <w:rPr>
                      <w:color w:val="auto"/>
                      <w:highlight w:val="none"/>
                    </w:rPr>
                  </w:pPr>
                  <w:r>
                    <w:rPr>
                      <w:rFonts w:hint="eastAsia"/>
                      <w:color w:val="auto"/>
                      <w:highlight w:val="none"/>
                    </w:rPr>
                    <w:t>硅酸钠</w:t>
                  </w:r>
                </w:p>
              </w:tc>
              <w:tc>
                <w:tcPr>
                  <w:tcW w:w="836" w:type="pct"/>
                  <w:tcBorders>
                    <w:tl2br w:val="nil"/>
                    <w:tr2bl w:val="nil"/>
                  </w:tcBorders>
                  <w:vAlign w:val="center"/>
                </w:tcPr>
                <w:p w14:paraId="34441DEE">
                  <w:pPr>
                    <w:pStyle w:val="101"/>
                    <w:rPr>
                      <w:color w:val="auto"/>
                      <w:highlight w:val="none"/>
                    </w:rPr>
                  </w:pPr>
                  <w:r>
                    <w:rPr>
                      <w:rFonts w:hint="eastAsia"/>
                      <w:color w:val="auto"/>
                      <w:highlight w:val="none"/>
                    </w:rPr>
                    <w:t>t</w:t>
                  </w:r>
                  <w:r>
                    <w:rPr>
                      <w:color w:val="auto"/>
                      <w:highlight w:val="none"/>
                    </w:rPr>
                    <w:t>/</w:t>
                  </w:r>
                  <w:r>
                    <w:rPr>
                      <w:rFonts w:hint="eastAsia"/>
                      <w:color w:val="auto"/>
                      <w:highlight w:val="none"/>
                    </w:rPr>
                    <w:t>a</w:t>
                  </w:r>
                </w:p>
              </w:tc>
              <w:tc>
                <w:tcPr>
                  <w:tcW w:w="1873" w:type="dxa"/>
                  <w:tcBorders>
                    <w:tl2br w:val="nil"/>
                    <w:tr2bl w:val="nil"/>
                  </w:tcBorders>
                  <w:vAlign w:val="center"/>
                </w:tcPr>
                <w:p w14:paraId="47B62063">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1370</w:t>
                  </w:r>
                </w:p>
              </w:tc>
              <w:tc>
                <w:tcPr>
                  <w:tcW w:w="1388" w:type="pct"/>
                  <w:vMerge w:val="restart"/>
                  <w:tcBorders>
                    <w:tl2br w:val="nil"/>
                    <w:tr2bl w:val="nil"/>
                  </w:tcBorders>
                  <w:vAlign w:val="center"/>
                </w:tcPr>
                <w:p w14:paraId="4D6D4AA0">
                  <w:pPr>
                    <w:pStyle w:val="101"/>
                    <w:rPr>
                      <w:color w:val="auto"/>
                      <w:highlight w:val="none"/>
                    </w:rPr>
                  </w:pPr>
                  <w:r>
                    <w:rPr>
                      <w:rFonts w:hint="eastAsia"/>
                      <w:color w:val="auto"/>
                      <w:highlight w:val="none"/>
                    </w:rPr>
                    <w:t>单纯混合</w:t>
                  </w:r>
                  <w:r>
                    <w:rPr>
                      <w:rFonts w:hint="eastAsia"/>
                      <w:color w:val="auto"/>
                      <w:highlight w:val="none"/>
                      <w:lang w:eastAsia="zh-CN"/>
                    </w:rPr>
                    <w:t>，</w:t>
                  </w:r>
                  <w:r>
                    <w:rPr>
                      <w:rFonts w:hint="eastAsia"/>
                      <w:color w:val="auto"/>
                      <w:highlight w:val="none"/>
                    </w:rPr>
                    <w:t>无化学反应</w:t>
                  </w:r>
                </w:p>
              </w:tc>
            </w:tr>
            <w:tr w14:paraId="380666D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0" w:type="pct"/>
                  <w:vMerge w:val="continue"/>
                  <w:tcBorders>
                    <w:tl2br w:val="nil"/>
                    <w:tr2bl w:val="nil"/>
                  </w:tcBorders>
                  <w:vAlign w:val="center"/>
                </w:tcPr>
                <w:p w14:paraId="0ED5B88B">
                  <w:pPr>
                    <w:pStyle w:val="101"/>
                    <w:rPr>
                      <w:color w:val="auto"/>
                      <w:highlight w:val="none"/>
                    </w:rPr>
                  </w:pPr>
                </w:p>
              </w:tc>
              <w:tc>
                <w:tcPr>
                  <w:tcW w:w="1174" w:type="pct"/>
                  <w:tcBorders>
                    <w:tl2br w:val="nil"/>
                    <w:tr2bl w:val="nil"/>
                  </w:tcBorders>
                  <w:vAlign w:val="center"/>
                </w:tcPr>
                <w:p w14:paraId="39200E50">
                  <w:pPr>
                    <w:pStyle w:val="101"/>
                    <w:rPr>
                      <w:color w:val="auto"/>
                      <w:highlight w:val="none"/>
                    </w:rPr>
                  </w:pPr>
                  <w:r>
                    <w:rPr>
                      <w:rFonts w:hint="eastAsia"/>
                      <w:color w:val="auto"/>
                      <w:highlight w:val="none"/>
                    </w:rPr>
                    <w:t>多元醇</w:t>
                  </w:r>
                </w:p>
              </w:tc>
              <w:tc>
                <w:tcPr>
                  <w:tcW w:w="836" w:type="pct"/>
                  <w:tcBorders>
                    <w:tl2br w:val="nil"/>
                    <w:tr2bl w:val="nil"/>
                  </w:tcBorders>
                  <w:vAlign w:val="center"/>
                </w:tcPr>
                <w:p w14:paraId="77482814">
                  <w:pPr>
                    <w:pStyle w:val="101"/>
                    <w:rPr>
                      <w:color w:val="auto"/>
                      <w:highlight w:val="none"/>
                    </w:rPr>
                  </w:pPr>
                  <w:r>
                    <w:rPr>
                      <w:rFonts w:hint="eastAsia"/>
                      <w:color w:val="auto"/>
                      <w:highlight w:val="none"/>
                    </w:rPr>
                    <w:t>t</w:t>
                  </w:r>
                  <w:r>
                    <w:rPr>
                      <w:color w:val="auto"/>
                      <w:highlight w:val="none"/>
                    </w:rPr>
                    <w:t>/</w:t>
                  </w:r>
                  <w:r>
                    <w:rPr>
                      <w:rFonts w:hint="eastAsia"/>
                      <w:color w:val="auto"/>
                      <w:highlight w:val="none"/>
                    </w:rPr>
                    <w:t>a</w:t>
                  </w:r>
                </w:p>
              </w:tc>
              <w:tc>
                <w:tcPr>
                  <w:tcW w:w="1873" w:type="dxa"/>
                  <w:tcBorders>
                    <w:tl2br w:val="nil"/>
                    <w:tr2bl w:val="nil"/>
                  </w:tcBorders>
                  <w:vAlign w:val="center"/>
                </w:tcPr>
                <w:p w14:paraId="167D5C46">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57.026</w:t>
                  </w:r>
                </w:p>
              </w:tc>
              <w:tc>
                <w:tcPr>
                  <w:tcW w:w="1388" w:type="pct"/>
                  <w:vMerge w:val="continue"/>
                  <w:tcBorders>
                    <w:tl2br w:val="nil"/>
                    <w:tr2bl w:val="nil"/>
                  </w:tcBorders>
                  <w:vAlign w:val="center"/>
                </w:tcPr>
                <w:p w14:paraId="291ABF35">
                  <w:pPr>
                    <w:pStyle w:val="101"/>
                    <w:rPr>
                      <w:rStyle w:val="100"/>
                      <w:color w:val="auto"/>
                      <w:highlight w:val="none"/>
                    </w:rPr>
                  </w:pPr>
                </w:p>
              </w:tc>
            </w:tr>
            <w:tr w14:paraId="551A2B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0" w:type="pct"/>
                  <w:vMerge w:val="continue"/>
                  <w:tcBorders>
                    <w:tl2br w:val="nil"/>
                    <w:tr2bl w:val="nil"/>
                  </w:tcBorders>
                  <w:vAlign w:val="center"/>
                </w:tcPr>
                <w:p w14:paraId="499E5F99">
                  <w:pPr>
                    <w:pStyle w:val="101"/>
                    <w:rPr>
                      <w:color w:val="auto"/>
                      <w:highlight w:val="none"/>
                    </w:rPr>
                  </w:pPr>
                </w:p>
              </w:tc>
              <w:tc>
                <w:tcPr>
                  <w:tcW w:w="1174" w:type="pct"/>
                  <w:tcBorders>
                    <w:tl2br w:val="nil"/>
                    <w:tr2bl w:val="nil"/>
                  </w:tcBorders>
                  <w:vAlign w:val="center"/>
                </w:tcPr>
                <w:p w14:paraId="5A74BF2B">
                  <w:pPr>
                    <w:pStyle w:val="101"/>
                    <w:rPr>
                      <w:color w:val="auto"/>
                      <w:highlight w:val="none"/>
                    </w:rPr>
                  </w:pPr>
                  <w:r>
                    <w:rPr>
                      <w:rFonts w:hint="eastAsia"/>
                      <w:color w:val="auto"/>
                      <w:highlight w:val="none"/>
                    </w:rPr>
                    <w:t>甘油</w:t>
                  </w:r>
                </w:p>
              </w:tc>
              <w:tc>
                <w:tcPr>
                  <w:tcW w:w="836" w:type="pct"/>
                  <w:tcBorders>
                    <w:tl2br w:val="nil"/>
                    <w:tr2bl w:val="nil"/>
                  </w:tcBorders>
                  <w:vAlign w:val="center"/>
                </w:tcPr>
                <w:p w14:paraId="25D8CD4E">
                  <w:pPr>
                    <w:pStyle w:val="101"/>
                    <w:rPr>
                      <w:color w:val="auto"/>
                      <w:highlight w:val="none"/>
                    </w:rPr>
                  </w:pPr>
                  <w:r>
                    <w:rPr>
                      <w:rFonts w:hint="eastAsia"/>
                      <w:color w:val="auto"/>
                      <w:highlight w:val="none"/>
                    </w:rPr>
                    <w:t>t</w:t>
                  </w:r>
                  <w:r>
                    <w:rPr>
                      <w:color w:val="auto"/>
                      <w:highlight w:val="none"/>
                    </w:rPr>
                    <w:t>/</w:t>
                  </w:r>
                  <w:r>
                    <w:rPr>
                      <w:rFonts w:hint="eastAsia"/>
                      <w:color w:val="auto"/>
                      <w:highlight w:val="none"/>
                    </w:rPr>
                    <w:t>a</w:t>
                  </w:r>
                </w:p>
              </w:tc>
              <w:tc>
                <w:tcPr>
                  <w:tcW w:w="1873" w:type="dxa"/>
                  <w:tcBorders>
                    <w:tl2br w:val="nil"/>
                    <w:tr2bl w:val="nil"/>
                  </w:tcBorders>
                  <w:vAlign w:val="center"/>
                </w:tcPr>
                <w:p w14:paraId="4B1D284B">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623.106</w:t>
                  </w:r>
                </w:p>
              </w:tc>
              <w:tc>
                <w:tcPr>
                  <w:tcW w:w="1388" w:type="pct"/>
                  <w:vMerge w:val="continue"/>
                  <w:tcBorders>
                    <w:tl2br w:val="nil"/>
                    <w:tr2bl w:val="nil"/>
                  </w:tcBorders>
                  <w:vAlign w:val="center"/>
                </w:tcPr>
                <w:p w14:paraId="1EFDFE9D">
                  <w:pPr>
                    <w:pStyle w:val="101"/>
                    <w:rPr>
                      <w:color w:val="auto"/>
                      <w:highlight w:val="none"/>
                    </w:rPr>
                  </w:pPr>
                </w:p>
              </w:tc>
            </w:tr>
            <w:tr w14:paraId="2E37D8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0" w:type="pct"/>
                  <w:vMerge w:val="restart"/>
                  <w:tcBorders>
                    <w:tl2br w:val="nil"/>
                    <w:tr2bl w:val="nil"/>
                  </w:tcBorders>
                  <w:vAlign w:val="center"/>
                </w:tcPr>
                <w:p w14:paraId="409E048C">
                  <w:pPr>
                    <w:pStyle w:val="101"/>
                    <w:rPr>
                      <w:color w:val="auto"/>
                      <w:highlight w:val="none"/>
                    </w:rPr>
                  </w:pPr>
                  <w:r>
                    <w:rPr>
                      <w:rFonts w:hint="eastAsia"/>
                      <w:color w:val="auto"/>
                      <w:highlight w:val="none"/>
                    </w:rPr>
                    <w:t>B组分原料</w:t>
                  </w:r>
                </w:p>
              </w:tc>
              <w:tc>
                <w:tcPr>
                  <w:tcW w:w="1174" w:type="pct"/>
                  <w:tcBorders>
                    <w:tl2br w:val="nil"/>
                    <w:tr2bl w:val="nil"/>
                  </w:tcBorders>
                  <w:vAlign w:val="center"/>
                </w:tcPr>
                <w:p w14:paraId="49C6F91B">
                  <w:pPr>
                    <w:pStyle w:val="101"/>
                    <w:rPr>
                      <w:color w:val="auto"/>
                      <w:highlight w:val="none"/>
                    </w:rPr>
                  </w:pPr>
                  <w:r>
                    <w:rPr>
                      <w:rFonts w:hint="eastAsia"/>
                      <w:color w:val="auto"/>
                      <w:highlight w:val="none"/>
                    </w:rPr>
                    <w:t>聚合M</w:t>
                  </w:r>
                  <w:r>
                    <w:rPr>
                      <w:color w:val="auto"/>
                      <w:highlight w:val="none"/>
                    </w:rPr>
                    <w:t>DI</w:t>
                  </w:r>
                </w:p>
              </w:tc>
              <w:tc>
                <w:tcPr>
                  <w:tcW w:w="836" w:type="pct"/>
                  <w:tcBorders>
                    <w:tl2br w:val="nil"/>
                    <w:tr2bl w:val="nil"/>
                  </w:tcBorders>
                  <w:vAlign w:val="center"/>
                </w:tcPr>
                <w:p w14:paraId="27BD5AD9">
                  <w:pPr>
                    <w:pStyle w:val="101"/>
                    <w:rPr>
                      <w:color w:val="auto"/>
                      <w:highlight w:val="none"/>
                    </w:rPr>
                  </w:pPr>
                  <w:r>
                    <w:rPr>
                      <w:rFonts w:hint="eastAsia"/>
                      <w:color w:val="auto"/>
                      <w:highlight w:val="none"/>
                    </w:rPr>
                    <w:t>t</w:t>
                  </w:r>
                  <w:r>
                    <w:rPr>
                      <w:color w:val="auto"/>
                      <w:highlight w:val="none"/>
                    </w:rPr>
                    <w:t>/</w:t>
                  </w:r>
                  <w:r>
                    <w:rPr>
                      <w:rFonts w:hint="eastAsia"/>
                      <w:color w:val="auto"/>
                      <w:highlight w:val="none"/>
                    </w:rPr>
                    <w:t>a</w:t>
                  </w:r>
                </w:p>
              </w:tc>
              <w:tc>
                <w:tcPr>
                  <w:tcW w:w="1873" w:type="dxa"/>
                  <w:tcBorders>
                    <w:tl2br w:val="nil"/>
                    <w:tr2bl w:val="nil"/>
                  </w:tcBorders>
                  <w:vAlign w:val="center"/>
                </w:tcPr>
                <w:p w14:paraId="458CEFC2">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850.211</w:t>
                  </w:r>
                </w:p>
              </w:tc>
              <w:tc>
                <w:tcPr>
                  <w:tcW w:w="1388" w:type="pct"/>
                  <w:vMerge w:val="restart"/>
                  <w:tcBorders>
                    <w:tl2br w:val="nil"/>
                    <w:tr2bl w:val="nil"/>
                  </w:tcBorders>
                  <w:vAlign w:val="center"/>
                </w:tcPr>
                <w:p w14:paraId="1A99D1E4">
                  <w:pPr>
                    <w:pStyle w:val="101"/>
                    <w:rPr>
                      <w:color w:val="auto"/>
                      <w:highlight w:val="none"/>
                    </w:rPr>
                  </w:pPr>
                  <w:r>
                    <w:rPr>
                      <w:rFonts w:hint="eastAsia"/>
                      <w:color w:val="auto"/>
                      <w:highlight w:val="none"/>
                    </w:rPr>
                    <w:t>单纯混合</w:t>
                  </w:r>
                  <w:r>
                    <w:rPr>
                      <w:rFonts w:hint="eastAsia"/>
                      <w:color w:val="auto"/>
                      <w:highlight w:val="none"/>
                      <w:lang w:eastAsia="zh-CN"/>
                    </w:rPr>
                    <w:t>，</w:t>
                  </w:r>
                  <w:r>
                    <w:rPr>
                      <w:rFonts w:hint="eastAsia"/>
                      <w:color w:val="auto"/>
                      <w:highlight w:val="none"/>
                    </w:rPr>
                    <w:t>无化学反应</w:t>
                  </w:r>
                </w:p>
              </w:tc>
            </w:tr>
            <w:tr w14:paraId="5CFBDA7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0" w:type="pct"/>
                  <w:vMerge w:val="continue"/>
                  <w:tcBorders>
                    <w:tl2br w:val="nil"/>
                    <w:tr2bl w:val="nil"/>
                  </w:tcBorders>
                  <w:vAlign w:val="center"/>
                </w:tcPr>
                <w:p w14:paraId="2B7AF862">
                  <w:pPr>
                    <w:pStyle w:val="101"/>
                    <w:rPr>
                      <w:color w:val="auto"/>
                      <w:highlight w:val="none"/>
                    </w:rPr>
                  </w:pPr>
                </w:p>
              </w:tc>
              <w:tc>
                <w:tcPr>
                  <w:tcW w:w="1174" w:type="pct"/>
                  <w:tcBorders>
                    <w:tl2br w:val="nil"/>
                    <w:tr2bl w:val="nil"/>
                  </w:tcBorders>
                  <w:vAlign w:val="center"/>
                </w:tcPr>
                <w:p w14:paraId="2A3784A7">
                  <w:pPr>
                    <w:pStyle w:val="101"/>
                    <w:rPr>
                      <w:color w:val="auto"/>
                      <w:highlight w:val="none"/>
                    </w:rPr>
                  </w:pPr>
                  <w:r>
                    <w:rPr>
                      <w:rFonts w:hint="eastAsia"/>
                      <w:color w:val="auto"/>
                      <w:highlight w:val="none"/>
                    </w:rPr>
                    <w:t>阻燃剂（</w:t>
                  </w:r>
                  <w:r>
                    <w:rPr>
                      <w:color w:val="auto"/>
                      <w:highlight w:val="none"/>
                    </w:rPr>
                    <w:t>TCPP</w:t>
                  </w:r>
                  <w:r>
                    <w:rPr>
                      <w:rFonts w:hint="eastAsia"/>
                      <w:color w:val="auto"/>
                      <w:highlight w:val="none"/>
                    </w:rPr>
                    <w:t>）</w:t>
                  </w:r>
                </w:p>
              </w:tc>
              <w:tc>
                <w:tcPr>
                  <w:tcW w:w="836" w:type="pct"/>
                  <w:tcBorders>
                    <w:tl2br w:val="nil"/>
                    <w:tr2bl w:val="nil"/>
                  </w:tcBorders>
                  <w:vAlign w:val="center"/>
                </w:tcPr>
                <w:p w14:paraId="42A45C11">
                  <w:pPr>
                    <w:pStyle w:val="101"/>
                    <w:rPr>
                      <w:color w:val="auto"/>
                      <w:highlight w:val="none"/>
                    </w:rPr>
                  </w:pPr>
                  <w:r>
                    <w:rPr>
                      <w:rFonts w:hint="eastAsia"/>
                      <w:color w:val="auto"/>
                      <w:highlight w:val="none"/>
                    </w:rPr>
                    <w:t>t</w:t>
                  </w:r>
                  <w:r>
                    <w:rPr>
                      <w:color w:val="auto"/>
                      <w:highlight w:val="none"/>
                    </w:rPr>
                    <w:t>/</w:t>
                  </w:r>
                  <w:r>
                    <w:rPr>
                      <w:rFonts w:hint="eastAsia"/>
                      <w:color w:val="auto"/>
                      <w:highlight w:val="none"/>
                    </w:rPr>
                    <w:t>a</w:t>
                  </w:r>
                </w:p>
              </w:tc>
              <w:tc>
                <w:tcPr>
                  <w:tcW w:w="1873" w:type="dxa"/>
                  <w:tcBorders>
                    <w:tl2br w:val="nil"/>
                    <w:tr2bl w:val="nil"/>
                  </w:tcBorders>
                  <w:vAlign w:val="center"/>
                </w:tcPr>
                <w:p w14:paraId="1520A15E">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388" w:type="pct"/>
                  <w:vMerge w:val="continue"/>
                  <w:tcBorders>
                    <w:tl2br w:val="nil"/>
                    <w:tr2bl w:val="nil"/>
                  </w:tcBorders>
                  <w:vAlign w:val="center"/>
                </w:tcPr>
                <w:p w14:paraId="5231E416">
                  <w:pPr>
                    <w:pStyle w:val="101"/>
                    <w:rPr>
                      <w:color w:val="auto"/>
                      <w:highlight w:val="none"/>
                    </w:rPr>
                  </w:pPr>
                </w:p>
              </w:tc>
            </w:tr>
            <w:tr w14:paraId="6D0E13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0" w:type="pct"/>
                  <w:vMerge w:val="continue"/>
                  <w:tcBorders>
                    <w:tl2br w:val="nil"/>
                    <w:tr2bl w:val="nil"/>
                  </w:tcBorders>
                  <w:vAlign w:val="center"/>
                </w:tcPr>
                <w:p w14:paraId="3CC47E5F">
                  <w:pPr>
                    <w:pStyle w:val="101"/>
                    <w:rPr>
                      <w:color w:val="auto"/>
                      <w:highlight w:val="none"/>
                    </w:rPr>
                  </w:pPr>
                </w:p>
              </w:tc>
              <w:tc>
                <w:tcPr>
                  <w:tcW w:w="1174" w:type="pct"/>
                  <w:tcBorders>
                    <w:tl2br w:val="nil"/>
                    <w:tr2bl w:val="nil"/>
                  </w:tcBorders>
                  <w:vAlign w:val="center"/>
                </w:tcPr>
                <w:p w14:paraId="27FC1BBF">
                  <w:pPr>
                    <w:pStyle w:val="101"/>
                    <w:rPr>
                      <w:color w:val="auto"/>
                      <w:highlight w:val="none"/>
                    </w:rPr>
                  </w:pPr>
                  <w:r>
                    <w:rPr>
                      <w:rFonts w:hint="eastAsia"/>
                      <w:color w:val="auto"/>
                      <w:highlight w:val="none"/>
                    </w:rPr>
                    <w:t>增塑剂（二丁酯）</w:t>
                  </w:r>
                </w:p>
              </w:tc>
              <w:tc>
                <w:tcPr>
                  <w:tcW w:w="836" w:type="pct"/>
                  <w:tcBorders>
                    <w:tl2br w:val="nil"/>
                    <w:tr2bl w:val="nil"/>
                  </w:tcBorders>
                  <w:vAlign w:val="center"/>
                </w:tcPr>
                <w:p w14:paraId="3D61C3FE">
                  <w:pPr>
                    <w:pStyle w:val="101"/>
                    <w:rPr>
                      <w:color w:val="auto"/>
                      <w:highlight w:val="none"/>
                    </w:rPr>
                  </w:pPr>
                  <w:r>
                    <w:rPr>
                      <w:rFonts w:hint="eastAsia"/>
                      <w:color w:val="auto"/>
                      <w:highlight w:val="none"/>
                    </w:rPr>
                    <w:t>t</w:t>
                  </w:r>
                  <w:r>
                    <w:rPr>
                      <w:color w:val="auto"/>
                      <w:highlight w:val="none"/>
                    </w:rPr>
                    <w:t>/</w:t>
                  </w:r>
                  <w:r>
                    <w:rPr>
                      <w:rFonts w:hint="eastAsia"/>
                      <w:color w:val="auto"/>
                      <w:highlight w:val="none"/>
                    </w:rPr>
                    <w:t>a</w:t>
                  </w:r>
                </w:p>
              </w:tc>
              <w:tc>
                <w:tcPr>
                  <w:tcW w:w="1873" w:type="dxa"/>
                  <w:tcBorders>
                    <w:tl2br w:val="nil"/>
                    <w:tr2bl w:val="nil"/>
                  </w:tcBorders>
                  <w:vAlign w:val="center"/>
                </w:tcPr>
                <w:p w14:paraId="781DC4F8">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50.027</w:t>
                  </w:r>
                </w:p>
              </w:tc>
              <w:tc>
                <w:tcPr>
                  <w:tcW w:w="1388" w:type="pct"/>
                  <w:vMerge w:val="continue"/>
                  <w:tcBorders>
                    <w:tl2br w:val="nil"/>
                    <w:tr2bl w:val="nil"/>
                  </w:tcBorders>
                  <w:vAlign w:val="center"/>
                </w:tcPr>
                <w:p w14:paraId="7B001B25">
                  <w:pPr>
                    <w:pStyle w:val="101"/>
                    <w:rPr>
                      <w:color w:val="auto"/>
                      <w:highlight w:val="none"/>
                    </w:rPr>
                  </w:pPr>
                </w:p>
              </w:tc>
            </w:tr>
          </w:tbl>
          <w:p w14:paraId="6D2EA1D5">
            <w:pPr>
              <w:pStyle w:val="114"/>
              <w:rPr>
                <w:color w:val="auto"/>
              </w:rPr>
            </w:pPr>
            <w:r>
              <w:rPr>
                <w:color w:val="auto"/>
              </w:rPr>
              <w:t xml:space="preserve">表2-3  </w:t>
            </w:r>
            <w:r>
              <w:rPr>
                <w:rFonts w:hint="eastAsia"/>
                <w:color w:val="auto"/>
              </w:rPr>
              <w:t>主要原辅材料理化性质一览表</w:t>
            </w:r>
          </w:p>
          <w:tbl>
            <w:tblPr>
              <w:tblStyle w:val="4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60"/>
              <w:gridCol w:w="1239"/>
              <w:gridCol w:w="6724"/>
            </w:tblGrid>
            <w:tr w14:paraId="3FEE13E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1E2D3D9B">
                  <w:pPr>
                    <w:pStyle w:val="101"/>
                    <w:rPr>
                      <w:rFonts w:hint="default" w:ascii="Times New Roman" w:hAnsi="Times New Roman" w:cs="Times New Roman"/>
                      <w:color w:val="auto"/>
                    </w:rPr>
                  </w:pPr>
                  <w:r>
                    <w:rPr>
                      <w:rFonts w:hint="default" w:ascii="Times New Roman" w:hAnsi="Times New Roman" w:cs="Times New Roman"/>
                      <w:color w:val="auto"/>
                    </w:rPr>
                    <w:t>序号</w:t>
                  </w:r>
                </w:p>
              </w:tc>
              <w:tc>
                <w:tcPr>
                  <w:tcW w:w="0" w:type="auto"/>
                  <w:vAlign w:val="center"/>
                </w:tcPr>
                <w:p w14:paraId="386970CB">
                  <w:pPr>
                    <w:pStyle w:val="101"/>
                    <w:rPr>
                      <w:rFonts w:hint="default" w:ascii="Times New Roman" w:hAnsi="Times New Roman" w:cs="Times New Roman"/>
                      <w:color w:val="auto"/>
                    </w:rPr>
                  </w:pPr>
                  <w:r>
                    <w:rPr>
                      <w:rFonts w:hint="default" w:ascii="Times New Roman" w:hAnsi="Times New Roman" w:cs="Times New Roman"/>
                      <w:color w:val="auto"/>
                    </w:rPr>
                    <w:t>名称</w:t>
                  </w:r>
                </w:p>
              </w:tc>
              <w:tc>
                <w:tcPr>
                  <w:tcW w:w="0" w:type="auto"/>
                  <w:vAlign w:val="center"/>
                </w:tcPr>
                <w:p w14:paraId="76EB2C61">
                  <w:pPr>
                    <w:pStyle w:val="101"/>
                    <w:rPr>
                      <w:rFonts w:hint="default" w:ascii="Times New Roman" w:hAnsi="Times New Roman" w:cs="Times New Roman"/>
                      <w:color w:val="auto"/>
                    </w:rPr>
                  </w:pPr>
                  <w:r>
                    <w:rPr>
                      <w:rFonts w:hint="default" w:ascii="Times New Roman" w:hAnsi="Times New Roman" w:cs="Times New Roman"/>
                      <w:color w:val="auto"/>
                    </w:rPr>
                    <w:t>理化特性及应用</w:t>
                  </w:r>
                </w:p>
              </w:tc>
            </w:tr>
            <w:tr w14:paraId="1995116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6C14AF27">
                  <w:pPr>
                    <w:pStyle w:val="101"/>
                    <w:rPr>
                      <w:rFonts w:hint="default" w:ascii="Times New Roman" w:hAnsi="Times New Roman" w:cs="Times New Roman"/>
                      <w:color w:val="auto"/>
                    </w:rPr>
                  </w:pPr>
                  <w:r>
                    <w:rPr>
                      <w:rFonts w:hint="default" w:ascii="Times New Roman" w:hAnsi="Times New Roman" w:cs="Times New Roman"/>
                      <w:color w:val="auto"/>
                    </w:rPr>
                    <w:t>1</w:t>
                  </w:r>
                </w:p>
              </w:tc>
              <w:tc>
                <w:tcPr>
                  <w:tcW w:w="0" w:type="auto"/>
                  <w:vAlign w:val="center"/>
                </w:tcPr>
                <w:p w14:paraId="10A987E9">
                  <w:pPr>
                    <w:pStyle w:val="101"/>
                    <w:rPr>
                      <w:rFonts w:hint="default" w:ascii="Times New Roman" w:hAnsi="Times New Roman" w:cs="Times New Roman"/>
                      <w:color w:val="auto"/>
                    </w:rPr>
                  </w:pPr>
                  <w:r>
                    <w:rPr>
                      <w:rFonts w:hint="default" w:ascii="Times New Roman" w:hAnsi="Times New Roman" w:cs="Times New Roman"/>
                      <w:color w:val="auto"/>
                    </w:rPr>
                    <w:t>液体</w:t>
                  </w:r>
                </w:p>
                <w:p w14:paraId="11271844">
                  <w:pPr>
                    <w:pStyle w:val="101"/>
                    <w:rPr>
                      <w:rFonts w:hint="default" w:ascii="Times New Roman" w:hAnsi="Times New Roman" w:cs="Times New Roman"/>
                      <w:color w:val="auto"/>
                    </w:rPr>
                  </w:pPr>
                  <w:r>
                    <w:rPr>
                      <w:rFonts w:hint="default" w:ascii="Times New Roman" w:hAnsi="Times New Roman" w:cs="Times New Roman"/>
                      <w:color w:val="auto"/>
                    </w:rPr>
                    <w:t>硅酸钠</w:t>
                  </w:r>
                </w:p>
              </w:tc>
              <w:tc>
                <w:tcPr>
                  <w:tcW w:w="0" w:type="auto"/>
                  <w:vAlign w:val="center"/>
                </w:tcPr>
                <w:p w14:paraId="6F729CA6">
                  <w:pPr>
                    <w:pStyle w:val="101"/>
                    <w:rPr>
                      <w:rFonts w:hint="default" w:ascii="Times New Roman" w:hAnsi="Times New Roman" w:cs="Times New Roman"/>
                      <w:color w:val="auto"/>
                    </w:rPr>
                  </w:pPr>
                  <w:r>
                    <w:rPr>
                      <w:rFonts w:hint="default" w:ascii="Times New Roman" w:hAnsi="Times New Roman" w:cs="Times New Roman"/>
                      <w:color w:val="auto"/>
                      <w:szCs w:val="21"/>
                    </w:rPr>
                    <w:t>液体硅酸钠是液体</w:t>
                  </w:r>
                  <w:r>
                    <w:rPr>
                      <w:rFonts w:hint="eastAsia" w:cs="Times New Roman"/>
                      <w:color w:val="auto"/>
                      <w:szCs w:val="21"/>
                      <w:lang w:eastAsia="zh-CN"/>
                    </w:rPr>
                    <w:t>，</w:t>
                  </w:r>
                  <w:r>
                    <w:rPr>
                      <w:rFonts w:hint="default" w:ascii="Times New Roman" w:hAnsi="Times New Roman" w:cs="Times New Roman"/>
                      <w:color w:val="auto"/>
                      <w:szCs w:val="21"/>
                    </w:rPr>
                    <w:t>有无色透明粘稠状和浅色半透明。主要成分是二氧化硅（SiO</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）和氧化钠（Na</w:t>
                  </w:r>
                  <w:r>
                    <w:rPr>
                      <w:rFonts w:hint="default" w:ascii="Times New Roman" w:hAnsi="Times New Roman" w:cs="Times New Roman"/>
                      <w:color w:val="auto"/>
                      <w:szCs w:val="21"/>
                      <w:vertAlign w:val="subscript"/>
                    </w:rPr>
                    <w:t>2</w:t>
                  </w:r>
                  <w:r>
                    <w:rPr>
                      <w:rFonts w:hint="default" w:ascii="Times New Roman" w:hAnsi="Times New Roman" w:cs="Times New Roman"/>
                      <w:color w:val="auto"/>
                      <w:szCs w:val="21"/>
                    </w:rPr>
                    <w:t>O）。</w:t>
                  </w:r>
                </w:p>
              </w:tc>
            </w:tr>
            <w:tr w14:paraId="4A55D8C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53E6C4C2">
                  <w:pPr>
                    <w:pStyle w:val="101"/>
                    <w:rPr>
                      <w:rFonts w:hint="default" w:ascii="Times New Roman" w:hAnsi="Times New Roman" w:cs="Times New Roman"/>
                      <w:color w:val="auto"/>
                    </w:rPr>
                  </w:pPr>
                  <w:r>
                    <w:rPr>
                      <w:rFonts w:hint="default" w:ascii="Times New Roman" w:hAnsi="Times New Roman" w:cs="Times New Roman"/>
                      <w:color w:val="auto"/>
                    </w:rPr>
                    <w:t>2</w:t>
                  </w:r>
                </w:p>
              </w:tc>
              <w:tc>
                <w:tcPr>
                  <w:tcW w:w="0" w:type="auto"/>
                  <w:vAlign w:val="center"/>
                </w:tcPr>
                <w:p w14:paraId="37DAA5E3">
                  <w:pPr>
                    <w:pStyle w:val="101"/>
                    <w:rPr>
                      <w:rFonts w:hint="default" w:ascii="Times New Roman" w:hAnsi="Times New Roman" w:cs="Times New Roman"/>
                      <w:color w:val="auto"/>
                    </w:rPr>
                  </w:pPr>
                  <w:r>
                    <w:rPr>
                      <w:rFonts w:hint="default" w:ascii="Times New Roman" w:hAnsi="Times New Roman" w:cs="Times New Roman"/>
                      <w:color w:val="auto"/>
                    </w:rPr>
                    <w:t>聚醚</w:t>
                  </w:r>
                </w:p>
                <w:p w14:paraId="59C2B454">
                  <w:pPr>
                    <w:pStyle w:val="101"/>
                    <w:rPr>
                      <w:rFonts w:hint="default" w:ascii="Times New Roman" w:hAnsi="Times New Roman" w:cs="Times New Roman"/>
                      <w:color w:val="auto"/>
                    </w:rPr>
                  </w:pPr>
                  <w:r>
                    <w:rPr>
                      <w:rFonts w:hint="default" w:ascii="Times New Roman" w:hAnsi="Times New Roman" w:cs="Times New Roman"/>
                      <w:color w:val="auto"/>
                    </w:rPr>
                    <w:t>多元醇</w:t>
                  </w:r>
                </w:p>
              </w:tc>
              <w:tc>
                <w:tcPr>
                  <w:tcW w:w="0" w:type="auto"/>
                  <w:vAlign w:val="center"/>
                </w:tcPr>
                <w:p w14:paraId="11C17947">
                  <w:pPr>
                    <w:pStyle w:val="101"/>
                    <w:rPr>
                      <w:rFonts w:hint="default" w:ascii="Times New Roman" w:hAnsi="Times New Roman" w:cs="Times New Roman"/>
                      <w:color w:val="auto"/>
                      <w:szCs w:val="21"/>
                    </w:rPr>
                  </w:pPr>
                  <w:r>
                    <w:rPr>
                      <w:rFonts w:hint="default" w:ascii="Times New Roman" w:hAnsi="Times New Roman" w:cs="Times New Roman"/>
                      <w:color w:val="auto"/>
                      <w:szCs w:val="21"/>
                    </w:rPr>
                    <w:t>无色至浅黄色油状液体</w:t>
                  </w:r>
                  <w:r>
                    <w:rPr>
                      <w:rFonts w:hint="eastAsia" w:cs="Times New Roman"/>
                      <w:color w:val="auto"/>
                      <w:szCs w:val="21"/>
                      <w:lang w:eastAsia="zh-CN"/>
                    </w:rPr>
                    <w:t>，</w:t>
                  </w:r>
                  <w:r>
                    <w:rPr>
                      <w:rFonts w:hint="default" w:ascii="Times New Roman" w:hAnsi="Times New Roman" w:cs="Times New Roman"/>
                      <w:color w:val="auto"/>
                      <w:szCs w:val="21"/>
                    </w:rPr>
                    <w:t>气味微小。含水率&lt;0.1%。不宜溶于水</w:t>
                  </w:r>
                  <w:r>
                    <w:rPr>
                      <w:rFonts w:hint="eastAsia" w:cs="Times New Roman"/>
                      <w:color w:val="auto"/>
                      <w:szCs w:val="21"/>
                      <w:lang w:eastAsia="zh-CN"/>
                    </w:rPr>
                    <w:t>，</w:t>
                  </w:r>
                  <w:r>
                    <w:rPr>
                      <w:rFonts w:hint="default" w:ascii="Times New Roman" w:hAnsi="Times New Roman" w:cs="Times New Roman"/>
                      <w:color w:val="auto"/>
                      <w:szCs w:val="21"/>
                    </w:rPr>
                    <w:t>易溶于有机溶剂。稳定</w:t>
                  </w:r>
                  <w:r>
                    <w:rPr>
                      <w:rFonts w:hint="eastAsia" w:cs="Times New Roman"/>
                      <w:color w:val="auto"/>
                      <w:szCs w:val="21"/>
                      <w:lang w:eastAsia="zh-CN"/>
                    </w:rPr>
                    <w:t>，</w:t>
                  </w:r>
                  <w:r>
                    <w:rPr>
                      <w:rFonts w:hint="default" w:ascii="Times New Roman" w:hAnsi="Times New Roman" w:cs="Times New Roman"/>
                      <w:color w:val="auto"/>
                      <w:szCs w:val="21"/>
                    </w:rPr>
                    <w:t>吸入后一般不会有危险。</w:t>
                  </w:r>
                  <w:r>
                    <w:rPr>
                      <w:rFonts w:hint="default" w:ascii="Times New Roman" w:hAnsi="Times New Roman" w:cs="Times New Roman"/>
                      <w:color w:val="auto"/>
                    </w:rPr>
                    <w:t>分子式</w:t>
                  </w:r>
                  <w:r>
                    <w:rPr>
                      <w:rFonts w:hint="eastAsia" w:cs="Times New Roman"/>
                      <w:color w:val="auto"/>
                      <w:lang w:eastAsia="zh-CN"/>
                    </w:rPr>
                    <w:t>：</w:t>
                  </w:r>
                  <w:r>
                    <w:rPr>
                      <w:rFonts w:hint="default" w:ascii="Times New Roman" w:hAnsi="Times New Roman" w:cs="Times New Roman"/>
                      <w:color w:val="auto"/>
                    </w:rPr>
                    <w:t>C</w:t>
                  </w:r>
                  <w:r>
                    <w:rPr>
                      <w:rFonts w:hint="default" w:ascii="Times New Roman" w:hAnsi="Times New Roman" w:cs="Times New Roman"/>
                      <w:color w:val="auto"/>
                      <w:vertAlign w:val="subscript"/>
                    </w:rPr>
                    <w:t>7</w:t>
                  </w:r>
                  <w:r>
                    <w:rPr>
                      <w:rFonts w:hint="default" w:ascii="Times New Roman" w:hAnsi="Times New Roman" w:cs="Times New Roman"/>
                      <w:color w:val="auto"/>
                    </w:rPr>
                    <w:t>H</w:t>
                  </w:r>
                  <w:r>
                    <w:rPr>
                      <w:rFonts w:hint="default" w:ascii="Times New Roman" w:hAnsi="Times New Roman" w:cs="Times New Roman"/>
                      <w:color w:val="auto"/>
                      <w:vertAlign w:val="subscript"/>
                    </w:rPr>
                    <w:t>16</w:t>
                  </w:r>
                  <w:r>
                    <w:rPr>
                      <w:rFonts w:hint="default" w:ascii="Times New Roman" w:hAnsi="Times New Roman" w:cs="Times New Roman"/>
                      <w:color w:val="auto"/>
                    </w:rPr>
                    <w:t>O</w:t>
                  </w:r>
                  <w:r>
                    <w:rPr>
                      <w:rFonts w:hint="default" w:ascii="Times New Roman" w:hAnsi="Times New Roman" w:cs="Times New Roman"/>
                      <w:color w:val="auto"/>
                      <w:vertAlign w:val="subscript"/>
                    </w:rPr>
                    <w:t>4</w:t>
                  </w:r>
                  <w:r>
                    <w:rPr>
                      <w:rFonts w:hint="eastAsia" w:cs="Times New Roman"/>
                      <w:color w:val="auto"/>
                      <w:lang w:eastAsia="zh-CN"/>
                    </w:rPr>
                    <w:t>，</w:t>
                  </w:r>
                  <w:r>
                    <w:rPr>
                      <w:rFonts w:hint="default" w:ascii="Times New Roman" w:hAnsi="Times New Roman" w:cs="Times New Roman"/>
                      <w:color w:val="auto"/>
                    </w:rPr>
                    <w:t>分子量</w:t>
                  </w:r>
                  <w:r>
                    <w:rPr>
                      <w:rFonts w:hint="eastAsia" w:cs="Times New Roman"/>
                      <w:color w:val="auto"/>
                      <w:lang w:eastAsia="zh-CN"/>
                    </w:rPr>
                    <w:t>：</w:t>
                  </w:r>
                  <w:r>
                    <w:rPr>
                      <w:rFonts w:hint="default" w:ascii="Times New Roman" w:hAnsi="Times New Roman" w:cs="Times New Roman"/>
                      <w:color w:val="auto"/>
                    </w:rPr>
                    <w:t>164.1995</w:t>
                  </w:r>
                  <w:r>
                    <w:rPr>
                      <w:rFonts w:hint="eastAsia" w:cs="Times New Roman"/>
                      <w:color w:val="auto"/>
                      <w:lang w:eastAsia="zh-CN"/>
                    </w:rPr>
                    <w:t>，</w:t>
                  </w:r>
                  <w:r>
                    <w:rPr>
                      <w:rFonts w:hint="default" w:ascii="Times New Roman" w:hAnsi="Times New Roman" w:cs="Times New Roman"/>
                      <w:color w:val="auto"/>
                      <w:szCs w:val="21"/>
                    </w:rPr>
                    <w:t>相对密度（水=1）1.018</w:t>
                  </w:r>
                  <w:r>
                    <w:rPr>
                      <w:rFonts w:hint="eastAsia" w:cs="Times New Roman"/>
                      <w:color w:val="auto"/>
                      <w:szCs w:val="21"/>
                      <w:lang w:eastAsia="zh-CN"/>
                    </w:rPr>
                    <w:t>，</w:t>
                  </w:r>
                  <w:r>
                    <w:rPr>
                      <w:rFonts w:hint="default" w:ascii="Times New Roman" w:hAnsi="Times New Roman" w:cs="Times New Roman"/>
                      <w:color w:val="auto"/>
                      <w:szCs w:val="21"/>
                    </w:rPr>
                    <w:t>沸点&gt;200℃（lit）</w:t>
                  </w:r>
                  <w:r>
                    <w:rPr>
                      <w:rFonts w:hint="eastAsia" w:cs="Times New Roman"/>
                      <w:color w:val="auto"/>
                      <w:szCs w:val="21"/>
                      <w:lang w:eastAsia="zh-CN"/>
                    </w:rPr>
                    <w:t>，</w:t>
                  </w:r>
                  <w:r>
                    <w:rPr>
                      <w:rFonts w:hint="default" w:ascii="Times New Roman" w:hAnsi="Times New Roman" w:cs="Times New Roman"/>
                      <w:color w:val="auto"/>
                      <w:szCs w:val="21"/>
                    </w:rPr>
                    <w:t>闪点&gt;230°F</w:t>
                  </w:r>
                  <w:r>
                    <w:rPr>
                      <w:rFonts w:hint="eastAsia" w:cs="Times New Roman"/>
                      <w:color w:val="auto"/>
                      <w:szCs w:val="21"/>
                      <w:lang w:eastAsia="zh-CN"/>
                    </w:rPr>
                    <w:t>，</w:t>
                  </w:r>
                  <w:r>
                    <w:rPr>
                      <w:rFonts w:hint="default" w:ascii="Times New Roman" w:hAnsi="Times New Roman" w:cs="Times New Roman"/>
                      <w:color w:val="auto"/>
                      <w:szCs w:val="21"/>
                    </w:rPr>
                    <w:t>折射率n20/D1.466</w:t>
                  </w:r>
                  <w:r>
                    <w:rPr>
                      <w:rFonts w:hint="eastAsia" w:cs="Times New Roman"/>
                      <w:color w:val="auto"/>
                      <w:szCs w:val="21"/>
                      <w:lang w:eastAsia="zh-CN"/>
                    </w:rPr>
                    <w:t>，</w:t>
                  </w:r>
                  <w:r>
                    <w:rPr>
                      <w:rFonts w:hint="default" w:ascii="Times New Roman" w:hAnsi="Times New Roman" w:cs="Times New Roman"/>
                      <w:color w:val="auto"/>
                      <w:szCs w:val="21"/>
                    </w:rPr>
                    <w:t>蒸气压&lt;0.3mmHg(20℃)</w:t>
                  </w:r>
                  <w:r>
                    <w:rPr>
                      <w:rFonts w:hint="eastAsia" w:cs="Times New Roman"/>
                      <w:color w:val="auto"/>
                      <w:szCs w:val="21"/>
                      <w:lang w:eastAsia="zh-CN"/>
                    </w:rPr>
                    <w:t>，</w:t>
                  </w:r>
                  <w:r>
                    <w:rPr>
                      <w:rFonts w:hint="default" w:ascii="Times New Roman" w:hAnsi="Times New Roman" w:cs="Times New Roman"/>
                      <w:color w:val="auto"/>
                      <w:szCs w:val="21"/>
                    </w:rPr>
                    <w:t>蒸气密度≥1(空气=1)。</w:t>
                  </w:r>
                </w:p>
              </w:tc>
            </w:tr>
            <w:tr w14:paraId="429202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34CBFE0D">
                  <w:pPr>
                    <w:pStyle w:val="101"/>
                    <w:rPr>
                      <w:rFonts w:hint="default" w:ascii="Times New Roman" w:hAnsi="Times New Roman" w:cs="Times New Roman"/>
                      <w:color w:val="auto"/>
                    </w:rPr>
                  </w:pPr>
                  <w:r>
                    <w:rPr>
                      <w:rFonts w:hint="default" w:ascii="Times New Roman" w:hAnsi="Times New Roman" w:cs="Times New Roman"/>
                      <w:color w:val="auto"/>
                    </w:rPr>
                    <w:t>3</w:t>
                  </w:r>
                </w:p>
              </w:tc>
              <w:tc>
                <w:tcPr>
                  <w:tcW w:w="0" w:type="auto"/>
                  <w:vAlign w:val="center"/>
                </w:tcPr>
                <w:p w14:paraId="21C2A018">
                  <w:pPr>
                    <w:pStyle w:val="101"/>
                    <w:rPr>
                      <w:rFonts w:hint="default" w:ascii="Times New Roman" w:hAnsi="Times New Roman" w:cs="Times New Roman"/>
                      <w:color w:val="auto"/>
                    </w:rPr>
                  </w:pPr>
                  <w:r>
                    <w:rPr>
                      <w:rFonts w:hint="default" w:ascii="Times New Roman" w:hAnsi="Times New Roman" w:cs="Times New Roman"/>
                      <w:color w:val="auto"/>
                    </w:rPr>
                    <w:t>甘油</w:t>
                  </w:r>
                </w:p>
              </w:tc>
              <w:tc>
                <w:tcPr>
                  <w:tcW w:w="0" w:type="auto"/>
                  <w:vAlign w:val="center"/>
                </w:tcPr>
                <w:p w14:paraId="26D33CA7">
                  <w:pPr>
                    <w:pStyle w:val="101"/>
                    <w:rPr>
                      <w:rFonts w:hint="default" w:ascii="Times New Roman" w:hAnsi="Times New Roman" w:cs="Times New Roman"/>
                      <w:color w:val="auto"/>
                      <w:szCs w:val="21"/>
                    </w:rPr>
                  </w:pPr>
                  <w:r>
                    <w:rPr>
                      <w:rFonts w:hint="default" w:ascii="Times New Roman" w:hAnsi="Times New Roman" w:cs="Times New Roman"/>
                      <w:color w:val="auto"/>
                      <w:szCs w:val="21"/>
                    </w:rPr>
                    <w:t>丙三醇是无色味甜澄明黏稠液体。无臭。有暖甜味。俗称甘油</w:t>
                  </w:r>
                  <w:r>
                    <w:rPr>
                      <w:rFonts w:hint="eastAsia" w:cs="Times New Roman"/>
                      <w:color w:val="auto"/>
                      <w:szCs w:val="21"/>
                      <w:lang w:eastAsia="zh-CN"/>
                    </w:rPr>
                    <w:t>，</w:t>
                  </w:r>
                  <w:r>
                    <w:rPr>
                      <w:rFonts w:hint="default" w:ascii="Times New Roman" w:hAnsi="Times New Roman" w:cs="Times New Roman"/>
                      <w:color w:val="auto"/>
                      <w:szCs w:val="21"/>
                    </w:rPr>
                    <w:t>能从空气中吸收潮气</w:t>
                  </w:r>
                  <w:r>
                    <w:rPr>
                      <w:rFonts w:hint="eastAsia" w:cs="Times New Roman"/>
                      <w:color w:val="auto"/>
                      <w:szCs w:val="21"/>
                      <w:lang w:eastAsia="zh-CN"/>
                    </w:rPr>
                    <w:t>，</w:t>
                  </w:r>
                  <w:r>
                    <w:rPr>
                      <w:rFonts w:hint="default" w:ascii="Times New Roman" w:hAnsi="Times New Roman" w:cs="Times New Roman"/>
                      <w:color w:val="auto"/>
                      <w:szCs w:val="21"/>
                    </w:rPr>
                    <w:t>也能吸收硫化氢、氰化氢和二氧化硫。难溶于苯、氯仿、四氯化碳、二硫化碳、石油醚和油类。</w:t>
                  </w:r>
                  <w:r>
                    <w:rPr>
                      <w:rFonts w:hint="default" w:ascii="Times New Roman" w:hAnsi="Times New Roman" w:cs="Times New Roman"/>
                      <w:color w:val="auto"/>
                      <w:szCs w:val="21"/>
                      <w:shd w:val="clear" w:color="auto" w:fill="FFFFFF"/>
                    </w:rPr>
                    <w:t>分子式为C₃H₈O₃</w:t>
                  </w:r>
                  <w:r>
                    <w:rPr>
                      <w:rFonts w:hint="eastAsia" w:cs="Times New Roman"/>
                      <w:color w:val="auto"/>
                      <w:szCs w:val="21"/>
                      <w:shd w:val="clear" w:color="auto" w:fill="FFFFFF"/>
                      <w:lang w:eastAsia="zh-CN"/>
                    </w:rPr>
                    <w:t>，</w:t>
                  </w:r>
                  <w:r>
                    <w:rPr>
                      <w:rFonts w:hint="default" w:ascii="Times New Roman" w:hAnsi="Times New Roman" w:cs="Times New Roman"/>
                      <w:color w:val="auto"/>
                    </w:rPr>
                    <w:t>分子量</w:t>
                  </w:r>
                  <w:r>
                    <w:rPr>
                      <w:rFonts w:hint="eastAsia" w:cs="Times New Roman"/>
                      <w:color w:val="auto"/>
                      <w:lang w:eastAsia="zh-CN"/>
                    </w:rPr>
                    <w:t>：</w:t>
                  </w:r>
                  <w:r>
                    <w:rPr>
                      <w:rFonts w:hint="default" w:ascii="Times New Roman" w:hAnsi="Times New Roman" w:cs="Times New Roman"/>
                      <w:color w:val="auto"/>
                    </w:rPr>
                    <w:t>92.09</w:t>
                  </w:r>
                  <w:r>
                    <w:rPr>
                      <w:rFonts w:hint="eastAsia" w:cs="Times New Roman"/>
                      <w:color w:val="auto"/>
                      <w:lang w:eastAsia="zh-CN"/>
                    </w:rPr>
                    <w:t>，</w:t>
                  </w:r>
                  <w:r>
                    <w:rPr>
                      <w:rFonts w:hint="default" w:ascii="Times New Roman" w:hAnsi="Times New Roman" w:cs="Times New Roman"/>
                      <w:color w:val="auto"/>
                      <w:szCs w:val="21"/>
                    </w:rPr>
                    <w:t>相对密度（水=1）1.26</w:t>
                  </w:r>
                  <w:r>
                    <w:rPr>
                      <w:rFonts w:hint="eastAsia" w:cs="Times New Roman"/>
                      <w:color w:val="auto"/>
                      <w:szCs w:val="21"/>
                      <w:lang w:eastAsia="zh-CN"/>
                    </w:rPr>
                    <w:t>，</w:t>
                  </w:r>
                  <w:r>
                    <w:rPr>
                      <w:rFonts w:hint="default" w:ascii="Times New Roman" w:hAnsi="Times New Roman" w:cs="Times New Roman"/>
                      <w:color w:val="auto"/>
                      <w:szCs w:val="21"/>
                    </w:rPr>
                    <w:t>蒸汽密度（空气=1）</w:t>
                  </w:r>
                  <w:r>
                    <w:rPr>
                      <w:rFonts w:hint="default" w:ascii="Times New Roman" w:hAnsi="Times New Roman" w:cs="Times New Roman"/>
                      <w:color w:val="auto"/>
                    </w:rPr>
                    <w:t>3.1</w:t>
                  </w:r>
                  <w:r>
                    <w:rPr>
                      <w:rFonts w:hint="default" w:ascii="Times New Roman" w:hAnsi="Times New Roman" w:cs="Times New Roman"/>
                      <w:color w:val="auto"/>
                      <w:szCs w:val="21"/>
                    </w:rPr>
                    <w:t>。熔点17.8℃。沸点290.0℃(分解)。折光率1.4746。闪点(开杯)176℃。急性毒性</w:t>
                  </w:r>
                  <w:r>
                    <w:rPr>
                      <w:rFonts w:hint="eastAsia" w:cs="Times New Roman"/>
                      <w:color w:val="auto"/>
                      <w:szCs w:val="21"/>
                      <w:lang w:eastAsia="zh-CN"/>
                    </w:rPr>
                    <w:t>：</w:t>
                  </w:r>
                  <w:r>
                    <w:rPr>
                      <w:rFonts w:hint="default" w:ascii="Times New Roman" w:hAnsi="Times New Roman" w:cs="Times New Roman"/>
                      <w:color w:val="auto"/>
                      <w:szCs w:val="21"/>
                    </w:rPr>
                    <w:t>LD</w:t>
                  </w:r>
                  <w:r>
                    <w:rPr>
                      <w:rFonts w:hint="default" w:ascii="Times New Roman" w:hAnsi="Times New Roman" w:cs="Times New Roman"/>
                      <w:color w:val="auto"/>
                      <w:szCs w:val="21"/>
                      <w:vertAlign w:val="subscript"/>
                    </w:rPr>
                    <w:t>50</w:t>
                  </w:r>
                  <w:r>
                    <w:rPr>
                      <w:rFonts w:hint="eastAsia" w:cs="Times New Roman"/>
                      <w:color w:val="auto"/>
                      <w:szCs w:val="21"/>
                      <w:lang w:eastAsia="zh-CN"/>
                    </w:rPr>
                    <w:t>：</w:t>
                  </w:r>
                  <w:r>
                    <w:rPr>
                      <w:rFonts w:hint="default" w:ascii="Times New Roman" w:hAnsi="Times New Roman" w:cs="Times New Roman"/>
                      <w:color w:val="auto"/>
                      <w:szCs w:val="21"/>
                    </w:rPr>
                    <w:t>31500mg/kg(大鼠经口)。丙三醇是甘油三酯分子的骨架成分。当人体摄入食用脂肪时</w:t>
                  </w:r>
                  <w:r>
                    <w:rPr>
                      <w:rFonts w:hint="eastAsia" w:cs="Times New Roman"/>
                      <w:color w:val="auto"/>
                      <w:szCs w:val="21"/>
                      <w:lang w:eastAsia="zh-CN"/>
                    </w:rPr>
                    <w:t>，</w:t>
                  </w:r>
                  <w:r>
                    <w:rPr>
                      <w:rFonts w:hint="default" w:ascii="Times New Roman" w:hAnsi="Times New Roman" w:cs="Times New Roman"/>
                      <w:color w:val="auto"/>
                      <w:szCs w:val="21"/>
                    </w:rPr>
                    <w:t>其中的甘油三酯经过体内代谢分解</w:t>
                  </w:r>
                  <w:r>
                    <w:rPr>
                      <w:rFonts w:hint="eastAsia" w:cs="Times New Roman"/>
                      <w:color w:val="auto"/>
                      <w:szCs w:val="21"/>
                      <w:lang w:eastAsia="zh-CN"/>
                    </w:rPr>
                    <w:t>，</w:t>
                  </w:r>
                  <w:r>
                    <w:rPr>
                      <w:rFonts w:hint="default" w:ascii="Times New Roman" w:hAnsi="Times New Roman" w:cs="Times New Roman"/>
                      <w:color w:val="auto"/>
                      <w:szCs w:val="21"/>
                    </w:rPr>
                    <w:t>形成甘油并储存在脂肪细胞中。因此</w:t>
                  </w:r>
                  <w:r>
                    <w:rPr>
                      <w:rFonts w:hint="eastAsia" w:cs="Times New Roman"/>
                      <w:color w:val="auto"/>
                      <w:szCs w:val="21"/>
                      <w:lang w:eastAsia="zh-CN"/>
                    </w:rPr>
                    <w:t>，</w:t>
                  </w:r>
                  <w:r>
                    <w:rPr>
                      <w:rFonts w:hint="default" w:ascii="Times New Roman" w:hAnsi="Times New Roman" w:cs="Times New Roman"/>
                      <w:color w:val="auto"/>
                      <w:szCs w:val="21"/>
                    </w:rPr>
                    <w:t>甘油三酯代谢的最终产物便是甘油和脂肪酸。可用作溶剂</w:t>
                  </w:r>
                  <w:r>
                    <w:rPr>
                      <w:rFonts w:hint="eastAsia" w:cs="Times New Roman"/>
                      <w:color w:val="auto"/>
                      <w:szCs w:val="21"/>
                      <w:lang w:eastAsia="zh-CN"/>
                    </w:rPr>
                    <w:t>，</w:t>
                  </w:r>
                  <w:r>
                    <w:rPr>
                      <w:rFonts w:hint="default" w:ascii="Times New Roman" w:hAnsi="Times New Roman" w:cs="Times New Roman"/>
                      <w:color w:val="auto"/>
                      <w:szCs w:val="21"/>
                    </w:rPr>
                    <w:t>润滑剂</w:t>
                  </w:r>
                  <w:r>
                    <w:rPr>
                      <w:rFonts w:hint="eastAsia" w:cs="Times New Roman"/>
                      <w:color w:val="auto"/>
                      <w:szCs w:val="21"/>
                      <w:lang w:eastAsia="zh-CN"/>
                    </w:rPr>
                    <w:t>，</w:t>
                  </w:r>
                  <w:r>
                    <w:rPr>
                      <w:rFonts w:hint="default" w:ascii="Times New Roman" w:hAnsi="Times New Roman" w:cs="Times New Roman"/>
                      <w:color w:val="auto"/>
                      <w:szCs w:val="21"/>
                    </w:rPr>
                    <w:t>药剂和甜味剂。</w:t>
                  </w:r>
                </w:p>
              </w:tc>
            </w:tr>
            <w:tr w14:paraId="47409B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04B1B926">
                  <w:pPr>
                    <w:pStyle w:val="101"/>
                    <w:rPr>
                      <w:rFonts w:hint="default" w:ascii="Times New Roman" w:hAnsi="Times New Roman" w:cs="Times New Roman"/>
                      <w:color w:val="auto"/>
                    </w:rPr>
                  </w:pPr>
                  <w:r>
                    <w:rPr>
                      <w:rFonts w:hint="default" w:ascii="Times New Roman" w:hAnsi="Times New Roman" w:cs="Times New Roman"/>
                      <w:color w:val="auto"/>
                    </w:rPr>
                    <w:t>4</w:t>
                  </w:r>
                </w:p>
              </w:tc>
              <w:tc>
                <w:tcPr>
                  <w:tcW w:w="0" w:type="auto"/>
                  <w:vAlign w:val="center"/>
                </w:tcPr>
                <w:p w14:paraId="0B4FEA94">
                  <w:pPr>
                    <w:pStyle w:val="101"/>
                    <w:rPr>
                      <w:rFonts w:hint="default" w:ascii="Times New Roman" w:hAnsi="Times New Roman" w:cs="Times New Roman"/>
                      <w:color w:val="auto"/>
                    </w:rPr>
                  </w:pPr>
                  <w:r>
                    <w:rPr>
                      <w:rFonts w:hint="default" w:ascii="Times New Roman" w:hAnsi="Times New Roman" w:cs="Times New Roman"/>
                      <w:color w:val="auto"/>
                    </w:rPr>
                    <w:t>聚合MDI</w:t>
                  </w:r>
                </w:p>
              </w:tc>
              <w:tc>
                <w:tcPr>
                  <w:tcW w:w="0" w:type="auto"/>
                  <w:vAlign w:val="center"/>
                </w:tcPr>
                <w:p w14:paraId="52EC5AC7">
                  <w:pPr>
                    <w:pStyle w:val="101"/>
                    <w:rPr>
                      <w:rFonts w:hint="default" w:ascii="Times New Roman" w:hAnsi="Times New Roman" w:cs="Times New Roman"/>
                      <w:color w:val="auto"/>
                      <w:szCs w:val="21"/>
                    </w:rPr>
                  </w:pPr>
                  <w:r>
                    <w:rPr>
                      <w:rFonts w:hint="default" w:ascii="Times New Roman" w:hAnsi="Times New Roman" w:cs="Times New Roman"/>
                      <w:color w:val="auto"/>
                      <w:szCs w:val="21"/>
                    </w:rPr>
                    <w:t>又称粗MDI</w:t>
                  </w:r>
                  <w:r>
                    <w:rPr>
                      <w:rFonts w:hint="eastAsia" w:cs="Times New Roman"/>
                      <w:color w:val="auto"/>
                      <w:szCs w:val="21"/>
                      <w:lang w:eastAsia="zh-CN"/>
                    </w:rPr>
                    <w:t>，</w:t>
                  </w:r>
                  <w:r>
                    <w:rPr>
                      <w:rFonts w:hint="default" w:ascii="Times New Roman" w:hAnsi="Times New Roman" w:cs="Times New Roman"/>
                      <w:color w:val="auto"/>
                      <w:szCs w:val="21"/>
                    </w:rPr>
                    <w:t>多苯基多次甲基多异氰酸</w:t>
                  </w:r>
                  <w:r>
                    <w:rPr>
                      <w:rFonts w:hint="default" w:ascii="Times New Roman" w:hAnsi="Times New Roman" w:cs="Times New Roman"/>
                      <w:color w:val="auto"/>
                    </w:rPr>
                    <w:t>酯</w:t>
                  </w:r>
                  <w:r>
                    <w:rPr>
                      <w:rFonts w:hint="eastAsia" w:cs="Times New Roman"/>
                      <w:color w:val="auto"/>
                      <w:lang w:eastAsia="zh-CN"/>
                    </w:rPr>
                    <w:t>，</w:t>
                  </w:r>
                  <w:r>
                    <w:rPr>
                      <w:rFonts w:hint="default" w:ascii="Times New Roman" w:hAnsi="Times New Roman" w:cs="Times New Roman"/>
                      <w:color w:val="auto"/>
                    </w:rPr>
                    <w:t>分子量为350～380</w:t>
                  </w:r>
                  <w:r>
                    <w:rPr>
                      <w:rFonts w:hint="eastAsia" w:cs="Times New Roman"/>
                      <w:color w:val="auto"/>
                      <w:sz w:val="20"/>
                      <w:shd w:val="clear" w:color="auto" w:fill="FFFFFF"/>
                      <w:lang w:eastAsia="zh-CN"/>
                    </w:rPr>
                    <w:t>，</w:t>
                  </w:r>
                  <w:r>
                    <w:rPr>
                      <w:rFonts w:hint="default" w:ascii="Times New Roman" w:hAnsi="Times New Roman" w:cs="Times New Roman"/>
                      <w:color w:val="auto"/>
                      <w:szCs w:val="21"/>
                    </w:rPr>
                    <w:t>透明或者淡黄色透明液体</w:t>
                  </w:r>
                  <w:r>
                    <w:rPr>
                      <w:rFonts w:hint="eastAsia" w:cs="Times New Roman"/>
                      <w:color w:val="auto"/>
                      <w:szCs w:val="21"/>
                      <w:lang w:eastAsia="zh-CN"/>
                    </w:rPr>
                    <w:t>，</w:t>
                  </w:r>
                  <w:r>
                    <w:rPr>
                      <w:rFonts w:hint="default" w:ascii="Times New Roman" w:hAnsi="Times New Roman" w:cs="Times New Roman"/>
                      <w:color w:val="auto"/>
                      <w:szCs w:val="21"/>
                    </w:rPr>
                    <w:t>含水率&lt;0.1%。熔点5℃</w:t>
                  </w:r>
                  <w:r>
                    <w:rPr>
                      <w:rFonts w:hint="eastAsia" w:cs="Times New Roman"/>
                      <w:color w:val="auto"/>
                      <w:szCs w:val="21"/>
                      <w:lang w:eastAsia="zh-CN"/>
                    </w:rPr>
                    <w:t>，</w:t>
                  </w:r>
                  <w:r>
                    <w:rPr>
                      <w:rFonts w:hint="default" w:ascii="Times New Roman" w:hAnsi="Times New Roman" w:cs="Times New Roman"/>
                      <w:color w:val="auto"/>
                      <w:szCs w:val="21"/>
                    </w:rPr>
                    <w:t>相对密度（水=1）1.18</w:t>
                  </w:r>
                  <w:r>
                    <w:rPr>
                      <w:rFonts w:hint="eastAsia" w:cs="Times New Roman"/>
                      <w:color w:val="auto"/>
                      <w:szCs w:val="21"/>
                      <w:lang w:eastAsia="zh-CN"/>
                    </w:rPr>
                    <w:t>，</w:t>
                  </w:r>
                  <w:r>
                    <w:rPr>
                      <w:rFonts w:hint="default" w:ascii="Times New Roman" w:hAnsi="Times New Roman" w:cs="Times New Roman"/>
                      <w:color w:val="auto"/>
                      <w:szCs w:val="21"/>
                    </w:rPr>
                    <w:t>沸点190℃</w:t>
                  </w:r>
                  <w:r>
                    <w:rPr>
                      <w:rFonts w:hint="eastAsia" w:cs="Times New Roman"/>
                      <w:color w:val="auto"/>
                      <w:szCs w:val="21"/>
                      <w:lang w:eastAsia="zh-CN"/>
                    </w:rPr>
                    <w:t>，</w:t>
                  </w:r>
                  <w:r>
                    <w:rPr>
                      <w:rFonts w:hint="default" w:ascii="Times New Roman" w:hAnsi="Times New Roman" w:cs="Times New Roman"/>
                      <w:color w:val="auto"/>
                      <w:szCs w:val="21"/>
                    </w:rPr>
                    <w:t>相对密度（空气=1）8.64</w:t>
                  </w:r>
                  <w:r>
                    <w:rPr>
                      <w:rFonts w:hint="eastAsia" w:cs="Times New Roman"/>
                      <w:color w:val="auto"/>
                      <w:szCs w:val="21"/>
                      <w:lang w:eastAsia="zh-CN"/>
                    </w:rPr>
                    <w:t>，</w:t>
                  </w:r>
                  <w:r>
                    <w:rPr>
                      <w:rFonts w:hint="default" w:ascii="Times New Roman" w:hAnsi="Times New Roman" w:cs="Times New Roman"/>
                      <w:color w:val="auto"/>
                      <w:szCs w:val="21"/>
                    </w:rPr>
                    <w:t>闪点132℃</w:t>
                  </w:r>
                  <w:r>
                    <w:rPr>
                      <w:rFonts w:hint="eastAsia" w:cs="Times New Roman"/>
                      <w:color w:val="auto"/>
                      <w:szCs w:val="21"/>
                      <w:lang w:eastAsia="zh-CN"/>
                    </w:rPr>
                    <w:t>，</w:t>
                  </w:r>
                  <w:r>
                    <w:rPr>
                      <w:rFonts w:hint="default" w:ascii="Times New Roman" w:hAnsi="Times New Roman" w:cs="Times New Roman"/>
                      <w:color w:val="auto"/>
                      <w:szCs w:val="21"/>
                    </w:rPr>
                    <w:t>蒸气压（20℃）＜0.00001mm Hg</w:t>
                  </w:r>
                  <w:r>
                    <w:rPr>
                      <w:rFonts w:hint="eastAsia" w:cs="Times New Roman"/>
                      <w:color w:val="auto"/>
                      <w:szCs w:val="21"/>
                      <w:lang w:eastAsia="zh-CN"/>
                    </w:rPr>
                    <w:t>，</w:t>
                  </w:r>
                  <w:r>
                    <w:rPr>
                      <w:rFonts w:hint="default" w:ascii="Times New Roman" w:hAnsi="Times New Roman" w:cs="Times New Roman"/>
                      <w:color w:val="auto"/>
                      <w:szCs w:val="21"/>
                    </w:rPr>
                    <w:t>溶于丙酮、苯、煤油等。急性毒性：LD</w:t>
                  </w:r>
                  <w:r>
                    <w:rPr>
                      <w:rFonts w:hint="default" w:ascii="Times New Roman" w:hAnsi="Times New Roman" w:cs="Times New Roman"/>
                      <w:color w:val="auto"/>
                      <w:szCs w:val="21"/>
                      <w:vertAlign w:val="subscript"/>
                    </w:rPr>
                    <w:t>50</w:t>
                  </w:r>
                  <w:r>
                    <w:rPr>
                      <w:rFonts w:hint="eastAsia" w:cs="Times New Roman"/>
                      <w:color w:val="auto"/>
                      <w:szCs w:val="21"/>
                      <w:lang w:eastAsia="zh-CN"/>
                    </w:rPr>
                    <w:t>：</w:t>
                  </w:r>
                  <w:r>
                    <w:rPr>
                      <w:rFonts w:hint="default" w:ascii="Times New Roman" w:hAnsi="Times New Roman" w:cs="Times New Roman"/>
                      <w:color w:val="auto"/>
                      <w:szCs w:val="21"/>
                    </w:rPr>
                    <w:t>305mg/kg(大鼠经口)</w:t>
                  </w:r>
                  <w:r>
                    <w:rPr>
                      <w:rFonts w:hint="eastAsia" w:cs="Times New Roman"/>
                      <w:color w:val="auto"/>
                      <w:szCs w:val="21"/>
                      <w:lang w:eastAsia="zh-CN"/>
                    </w:rPr>
                    <w:t>，</w:t>
                  </w:r>
                  <w:r>
                    <w:rPr>
                      <w:rFonts w:hint="default" w:ascii="Times New Roman" w:hAnsi="Times New Roman" w:cs="Times New Roman"/>
                      <w:color w:val="auto"/>
                      <w:szCs w:val="21"/>
                    </w:rPr>
                    <w:t>LC</w:t>
                  </w:r>
                  <w:r>
                    <w:rPr>
                      <w:rFonts w:hint="default" w:ascii="Times New Roman" w:hAnsi="Times New Roman" w:cs="Times New Roman"/>
                      <w:color w:val="auto"/>
                      <w:szCs w:val="21"/>
                      <w:vertAlign w:val="subscript"/>
                    </w:rPr>
                    <w:t>50</w:t>
                  </w:r>
                  <w:r>
                    <w:rPr>
                      <w:rFonts w:hint="eastAsia" w:cs="Times New Roman"/>
                      <w:color w:val="auto"/>
                      <w:szCs w:val="21"/>
                      <w:lang w:eastAsia="zh-CN"/>
                    </w:rPr>
                    <w:t>：</w:t>
                  </w:r>
                  <w:r>
                    <w:rPr>
                      <w:rFonts w:hint="default" w:ascii="Times New Roman" w:hAnsi="Times New Roman" w:cs="Times New Roman"/>
                      <w:color w:val="auto"/>
                      <w:szCs w:val="21"/>
                    </w:rPr>
                    <w:t>15ppm</w:t>
                  </w:r>
                  <w:r>
                    <w:rPr>
                      <w:rFonts w:hint="eastAsia" w:cs="Times New Roman"/>
                      <w:color w:val="auto"/>
                      <w:szCs w:val="21"/>
                      <w:lang w:eastAsia="zh-CN"/>
                    </w:rPr>
                    <w:t>，</w:t>
                  </w:r>
                  <w:r>
                    <w:rPr>
                      <w:rFonts w:hint="default" w:ascii="Times New Roman" w:hAnsi="Times New Roman" w:cs="Times New Roman"/>
                      <w:color w:val="auto"/>
                      <w:szCs w:val="21"/>
                    </w:rPr>
                    <w:t>2小时（大鼠吸入）。会与空气中的水分发生化学反应。</w:t>
                  </w:r>
                </w:p>
              </w:tc>
            </w:tr>
            <w:tr w14:paraId="0AFF0A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5BEC2931">
                  <w:pPr>
                    <w:pStyle w:val="101"/>
                    <w:rPr>
                      <w:rFonts w:hint="default" w:ascii="Times New Roman" w:hAnsi="Times New Roman" w:cs="Times New Roman"/>
                      <w:color w:val="auto"/>
                    </w:rPr>
                  </w:pPr>
                  <w:r>
                    <w:rPr>
                      <w:rFonts w:hint="default" w:ascii="Times New Roman" w:hAnsi="Times New Roman" w:cs="Times New Roman"/>
                      <w:color w:val="auto"/>
                    </w:rPr>
                    <w:t>5</w:t>
                  </w:r>
                </w:p>
              </w:tc>
              <w:tc>
                <w:tcPr>
                  <w:tcW w:w="0" w:type="auto"/>
                  <w:vAlign w:val="center"/>
                </w:tcPr>
                <w:p w14:paraId="51D1C3CC">
                  <w:pPr>
                    <w:pStyle w:val="101"/>
                    <w:rPr>
                      <w:rFonts w:hint="default" w:ascii="Times New Roman" w:hAnsi="Times New Roman" w:cs="Times New Roman"/>
                      <w:color w:val="auto"/>
                    </w:rPr>
                  </w:pPr>
                  <w:r>
                    <w:rPr>
                      <w:rFonts w:hint="default" w:ascii="Times New Roman" w:hAnsi="Times New Roman" w:cs="Times New Roman"/>
                      <w:color w:val="auto"/>
                    </w:rPr>
                    <w:t>阻燃剂（TCPP）</w:t>
                  </w:r>
                </w:p>
              </w:tc>
              <w:tc>
                <w:tcPr>
                  <w:tcW w:w="0" w:type="auto"/>
                  <w:vAlign w:val="center"/>
                </w:tcPr>
                <w:p w14:paraId="4D329FD6">
                  <w:pPr>
                    <w:pStyle w:val="101"/>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rPr>
                    <w:t>中文名称磷酸三(1-氯-2-丙基)酯</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又称阻燃增塑剂TCPP</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分子式是C</w:t>
                  </w:r>
                  <w:r>
                    <w:rPr>
                      <w:rFonts w:hint="default" w:ascii="Times New Roman" w:hAnsi="Times New Roman" w:eastAsia="宋体" w:cs="Times New Roman"/>
                      <w:color w:val="auto"/>
                      <w:szCs w:val="21"/>
                      <w:vertAlign w:val="subscript"/>
                    </w:rPr>
                    <w:t>9</w:t>
                  </w:r>
                  <w:r>
                    <w:rPr>
                      <w:rFonts w:hint="default" w:ascii="Times New Roman" w:hAnsi="Times New Roman" w:eastAsia="宋体" w:cs="Times New Roman"/>
                      <w:color w:val="auto"/>
                      <w:szCs w:val="21"/>
                    </w:rPr>
                    <w:t>H</w:t>
                  </w:r>
                  <w:r>
                    <w:rPr>
                      <w:rFonts w:hint="default" w:ascii="Times New Roman" w:hAnsi="Times New Roman" w:eastAsia="宋体" w:cs="Times New Roman"/>
                      <w:color w:val="auto"/>
                      <w:szCs w:val="21"/>
                      <w:vertAlign w:val="subscript"/>
                    </w:rPr>
                    <w:t>18</w:t>
                  </w:r>
                  <w:r>
                    <w:rPr>
                      <w:rFonts w:hint="default" w:ascii="Times New Roman" w:hAnsi="Times New Roman" w:eastAsia="宋体" w:cs="Times New Roman"/>
                      <w:color w:val="auto"/>
                      <w:szCs w:val="21"/>
                    </w:rPr>
                    <w:t>C</w:t>
                  </w:r>
                  <w:r>
                    <w:rPr>
                      <w:rFonts w:hint="default" w:ascii="Times New Roman" w:hAnsi="Times New Roman" w:eastAsia="宋体" w:cs="Times New Roman"/>
                      <w:color w:val="auto"/>
                      <w:szCs w:val="21"/>
                      <w:vertAlign w:val="subscript"/>
                    </w:rPr>
                    <w:t>l3</w:t>
                  </w:r>
                  <w:r>
                    <w:rPr>
                      <w:rFonts w:hint="default" w:ascii="Times New Roman" w:hAnsi="Times New Roman" w:eastAsia="宋体" w:cs="Times New Roman"/>
                      <w:color w:val="auto"/>
                      <w:szCs w:val="21"/>
                    </w:rPr>
                    <w:t>O</w:t>
                  </w:r>
                  <w:r>
                    <w:rPr>
                      <w:rFonts w:hint="default" w:ascii="Times New Roman" w:hAnsi="Times New Roman" w:eastAsia="宋体" w:cs="Times New Roman"/>
                      <w:color w:val="auto"/>
                      <w:szCs w:val="21"/>
                      <w:vertAlign w:val="subscript"/>
                    </w:rPr>
                    <w:t>4</w:t>
                  </w:r>
                  <w:r>
                    <w:rPr>
                      <w:rFonts w:hint="default" w:ascii="Times New Roman" w:hAnsi="Times New Roman" w:eastAsia="宋体" w:cs="Times New Roman"/>
                      <w:color w:val="auto"/>
                      <w:szCs w:val="21"/>
                    </w:rPr>
                    <w:t>P</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分子量327.5696</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hd w:val="clear" w:color="auto" w:fill="FFFFFF"/>
                    </w:rPr>
                    <w:t>相对密度（20℃）1.43</w:t>
                  </w:r>
                  <w:r>
                    <w:rPr>
                      <w:rFonts w:hint="default" w:ascii="Times New Roman" w:hAnsi="Times New Roman" w:eastAsia="宋体" w:cs="Times New Roman"/>
                      <w:color w:val="auto"/>
                      <w:shd w:val="clear" w:color="auto" w:fill="FFFFFF"/>
                      <w:lang w:eastAsia="zh-CN"/>
                    </w:rPr>
                    <w:t>，</w:t>
                  </w:r>
                  <w:r>
                    <w:rPr>
                      <w:rFonts w:hint="default" w:ascii="Times New Roman" w:hAnsi="Times New Roman" w:eastAsia="宋体" w:cs="Times New Roman"/>
                      <w:color w:val="auto"/>
                      <w:shd w:val="clear" w:color="auto" w:fill="FFFFFF"/>
                    </w:rPr>
                    <w:t>饱和蒸汽压（kPa）0.067(145℃)</w:t>
                  </w:r>
                  <w:r>
                    <w:rPr>
                      <w:rFonts w:hint="default" w:ascii="Times New Roman" w:hAnsi="Times New Roman" w:eastAsia="宋体" w:cs="Times New Roman"/>
                      <w:color w:val="auto"/>
                      <w:shd w:val="clear" w:color="auto" w:fill="FFFFFF"/>
                      <w:lang w:eastAsia="zh-CN"/>
                    </w:rPr>
                    <w:t>，</w:t>
                  </w:r>
                  <w:r>
                    <w:rPr>
                      <w:rFonts w:hint="default" w:ascii="Times New Roman" w:hAnsi="Times New Roman" w:eastAsia="宋体" w:cs="Times New Roman"/>
                      <w:color w:val="auto"/>
                      <w:shd w:val="clear" w:color="auto" w:fill="FFFFFF"/>
                    </w:rPr>
                    <w:t>引燃温度601.6℃</w:t>
                  </w:r>
                  <w:r>
                    <w:rPr>
                      <w:rFonts w:hint="default" w:ascii="Times New Roman" w:hAnsi="Times New Roman" w:eastAsia="宋体" w:cs="Times New Roman"/>
                      <w:color w:val="auto"/>
                      <w:shd w:val="clear" w:color="auto" w:fill="FFFFFF"/>
                      <w:lang w:eastAsia="zh-CN"/>
                    </w:rPr>
                    <w:t>，</w:t>
                  </w:r>
                  <w:r>
                    <w:rPr>
                      <w:rFonts w:hint="default" w:ascii="Times New Roman" w:hAnsi="Times New Roman" w:eastAsia="宋体" w:cs="Times New Roman"/>
                      <w:color w:val="auto"/>
                      <w:shd w:val="clear" w:color="auto" w:fill="FFFFFF"/>
                    </w:rPr>
                    <w:t>闪点216℃</w:t>
                  </w:r>
                  <w:r>
                    <w:rPr>
                      <w:rFonts w:hint="default" w:ascii="Times New Roman" w:hAnsi="Times New Roman" w:eastAsia="宋体" w:cs="Times New Roman"/>
                      <w:color w:val="auto"/>
                      <w:szCs w:val="21"/>
                    </w:rPr>
                    <w:t>。用于条状﹑块状泡沫生产中的火焰阻燃剂。它是一种成本低廉的火焰阻燃剂</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且具有良好的稳定性。</w:t>
                  </w:r>
                </w:p>
              </w:tc>
            </w:tr>
            <w:tr w14:paraId="7F6A91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4956954E">
                  <w:pPr>
                    <w:pStyle w:val="101"/>
                    <w:rPr>
                      <w:rFonts w:hint="default" w:ascii="Times New Roman" w:hAnsi="Times New Roman" w:cs="Times New Roman"/>
                      <w:color w:val="auto"/>
                    </w:rPr>
                  </w:pPr>
                  <w:r>
                    <w:rPr>
                      <w:rFonts w:hint="default" w:ascii="Times New Roman" w:hAnsi="Times New Roman" w:cs="Times New Roman"/>
                      <w:color w:val="auto"/>
                    </w:rPr>
                    <w:t>6</w:t>
                  </w:r>
                </w:p>
              </w:tc>
              <w:tc>
                <w:tcPr>
                  <w:tcW w:w="0" w:type="auto"/>
                  <w:vAlign w:val="center"/>
                </w:tcPr>
                <w:p w14:paraId="4C899E4B">
                  <w:pPr>
                    <w:pStyle w:val="101"/>
                    <w:rPr>
                      <w:rFonts w:hint="default" w:ascii="Times New Roman" w:hAnsi="Times New Roman" w:cs="Times New Roman"/>
                      <w:color w:val="auto"/>
                    </w:rPr>
                  </w:pPr>
                  <w:r>
                    <w:rPr>
                      <w:rFonts w:hint="default" w:ascii="Times New Roman" w:hAnsi="Times New Roman" w:cs="Times New Roman"/>
                      <w:color w:val="auto"/>
                    </w:rPr>
                    <w:t>增塑剂</w:t>
                  </w:r>
                </w:p>
                <w:p w14:paraId="29A660DD">
                  <w:pPr>
                    <w:pStyle w:val="101"/>
                    <w:rPr>
                      <w:rFonts w:hint="default" w:ascii="Times New Roman" w:hAnsi="Times New Roman" w:cs="Times New Roman"/>
                      <w:color w:val="auto"/>
                    </w:rPr>
                  </w:pPr>
                  <w:r>
                    <w:rPr>
                      <w:rFonts w:hint="default" w:ascii="Times New Roman" w:hAnsi="Times New Roman" w:cs="Times New Roman"/>
                      <w:color w:val="auto"/>
                    </w:rPr>
                    <w:t>（二丁酯）</w:t>
                  </w:r>
                </w:p>
              </w:tc>
              <w:tc>
                <w:tcPr>
                  <w:tcW w:w="0" w:type="auto"/>
                  <w:vAlign w:val="center"/>
                </w:tcPr>
                <w:p w14:paraId="307F27AA">
                  <w:pPr>
                    <w:pStyle w:val="101"/>
                    <w:rPr>
                      <w:rFonts w:hint="default" w:ascii="Times New Roman" w:hAnsi="Times New Roman" w:eastAsia="宋体" w:cs="Times New Roman"/>
                      <w:color w:val="auto"/>
                      <w:szCs w:val="21"/>
                    </w:rPr>
                  </w:pPr>
                  <w:r>
                    <w:rPr>
                      <w:rFonts w:hint="default" w:ascii="Times New Roman" w:hAnsi="Times New Roman" w:eastAsia="宋体" w:cs="Times New Roman"/>
                      <w:color w:val="auto"/>
                      <w:szCs w:val="21"/>
                      <w:shd w:val="clear" w:color="auto" w:fill="FFFFFF"/>
                    </w:rPr>
                    <w:t>别名：邻苯二甲酸二丁酯</w:t>
                  </w:r>
                  <w:r>
                    <w:rPr>
                      <w:rFonts w:hint="default" w:ascii="Times New Roman" w:hAnsi="Times New Roman" w:eastAsia="宋体" w:cs="Times New Roman"/>
                      <w:color w:val="auto"/>
                      <w:szCs w:val="21"/>
                      <w:shd w:val="clear" w:color="auto" w:fill="FFFFFF"/>
                      <w:lang w:eastAsia="zh-CN"/>
                    </w:rPr>
                    <w:t>，</w:t>
                  </w:r>
                  <w:r>
                    <w:rPr>
                      <w:rFonts w:hint="default" w:ascii="Times New Roman" w:hAnsi="Times New Roman" w:eastAsia="宋体" w:cs="Times New Roman"/>
                      <w:color w:val="auto"/>
                      <w:szCs w:val="21"/>
                      <w:shd w:val="clear" w:color="auto" w:fill="FFFFFF"/>
                    </w:rPr>
                    <w:t>化学式为C</w:t>
                  </w:r>
                  <w:r>
                    <w:rPr>
                      <w:rFonts w:hint="default" w:ascii="Times New Roman" w:hAnsi="Times New Roman" w:eastAsia="宋体" w:cs="Times New Roman"/>
                      <w:color w:val="auto"/>
                      <w:szCs w:val="21"/>
                      <w:shd w:val="clear" w:color="auto" w:fill="FFFFFF"/>
                      <w:vertAlign w:val="subscript"/>
                    </w:rPr>
                    <w:t>16</w:t>
                  </w:r>
                  <w:r>
                    <w:rPr>
                      <w:rFonts w:hint="default" w:ascii="Times New Roman" w:hAnsi="Times New Roman" w:eastAsia="宋体" w:cs="Times New Roman"/>
                      <w:color w:val="auto"/>
                      <w:szCs w:val="21"/>
                      <w:shd w:val="clear" w:color="auto" w:fill="FFFFFF"/>
                    </w:rPr>
                    <w:t>H</w:t>
                  </w:r>
                  <w:r>
                    <w:rPr>
                      <w:rFonts w:hint="default" w:ascii="Times New Roman" w:hAnsi="Times New Roman" w:eastAsia="宋体" w:cs="Times New Roman"/>
                      <w:color w:val="auto"/>
                      <w:szCs w:val="21"/>
                      <w:shd w:val="clear" w:color="auto" w:fill="FFFFFF"/>
                      <w:vertAlign w:val="subscript"/>
                    </w:rPr>
                    <w:t>22</w:t>
                  </w:r>
                  <w:r>
                    <w:rPr>
                      <w:rFonts w:hint="default" w:ascii="Times New Roman" w:hAnsi="Times New Roman" w:eastAsia="宋体" w:cs="Times New Roman"/>
                      <w:color w:val="auto"/>
                      <w:szCs w:val="21"/>
                      <w:shd w:val="clear" w:color="auto" w:fill="FFFFFF"/>
                    </w:rPr>
                    <w:t>O</w:t>
                  </w:r>
                  <w:r>
                    <w:rPr>
                      <w:rFonts w:hint="default" w:ascii="Times New Roman" w:hAnsi="Times New Roman" w:eastAsia="宋体" w:cs="Times New Roman"/>
                      <w:color w:val="auto"/>
                      <w:szCs w:val="21"/>
                      <w:shd w:val="clear" w:color="auto" w:fill="FFFFFF"/>
                      <w:vertAlign w:val="subscript"/>
                    </w:rPr>
                    <w:t>4</w:t>
                  </w:r>
                  <w:r>
                    <w:rPr>
                      <w:rFonts w:hint="default" w:ascii="Times New Roman" w:hAnsi="Times New Roman" w:eastAsia="宋体" w:cs="Times New Roman"/>
                      <w:color w:val="auto"/>
                      <w:szCs w:val="21"/>
                      <w:shd w:val="clear" w:color="auto" w:fill="FFFFFF"/>
                      <w:lang w:eastAsia="zh-CN"/>
                    </w:rPr>
                    <w:t>，</w:t>
                  </w:r>
                  <w:r>
                    <w:rPr>
                      <w:rFonts w:hint="default" w:ascii="Times New Roman" w:hAnsi="Times New Roman" w:eastAsia="宋体" w:cs="Times New Roman"/>
                      <w:color w:val="auto"/>
                      <w:szCs w:val="21"/>
                      <w:shd w:val="clear" w:color="auto" w:fill="FFFFFF"/>
                    </w:rPr>
                    <w:t>分子量：278.344</w:t>
                  </w:r>
                  <w:r>
                    <w:rPr>
                      <w:rFonts w:hint="default" w:ascii="Times New Roman" w:hAnsi="Times New Roman" w:eastAsia="宋体" w:cs="Times New Roman"/>
                      <w:color w:val="auto"/>
                      <w:szCs w:val="21"/>
                      <w:shd w:val="clear" w:color="auto" w:fill="FFFFFF"/>
                      <w:lang w:eastAsia="zh-CN"/>
                    </w:rPr>
                    <w:t>，</w:t>
                  </w:r>
                  <w:r>
                    <w:rPr>
                      <w:rFonts w:hint="default" w:ascii="Times New Roman" w:hAnsi="Times New Roman" w:eastAsia="宋体" w:cs="Times New Roman"/>
                      <w:color w:val="auto"/>
                      <w:szCs w:val="21"/>
                      <w:shd w:val="clear" w:color="auto" w:fill="FFFFFF"/>
                    </w:rPr>
                    <w:t>相对</w:t>
                  </w:r>
                  <w:r>
                    <w:rPr>
                      <w:rFonts w:hint="default" w:ascii="Times New Roman" w:hAnsi="Times New Roman" w:eastAsia="宋体" w:cs="Times New Roman"/>
                      <w:color w:val="auto"/>
                      <w:szCs w:val="21"/>
                    </w:rPr>
                    <w:t>密度（水=1）：1.05</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蒸汽密度（空气=1）9.6</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熔点：-35℃</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沸点：337℃</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闪点：171.1℃</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折射率：1.499</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shd w:val="clear" w:color="auto" w:fill="FFFFFF"/>
                    </w:rPr>
                    <w:t>蒸汽压</w:t>
                  </w:r>
                  <w:r>
                    <w:rPr>
                      <w:rFonts w:hint="default" w:ascii="Times New Roman" w:hAnsi="Times New Roman" w:eastAsia="宋体" w:cs="Times New Roman"/>
                      <w:color w:val="auto"/>
                      <w:szCs w:val="21"/>
                    </w:rPr>
                    <w:t>（20℃）0.0003mm Hg</w:t>
                  </w:r>
                  <w:r>
                    <w:rPr>
                      <w:rFonts w:hint="default" w:ascii="Times New Roman" w:hAnsi="Times New Roman" w:eastAsia="宋体" w:cs="Times New Roman"/>
                      <w:color w:val="auto"/>
                      <w:szCs w:val="21"/>
                      <w:shd w:val="clear" w:color="auto" w:fill="FFFFFF"/>
                      <w:lang w:eastAsia="zh-CN"/>
                    </w:rPr>
                    <w:t>，</w:t>
                  </w:r>
                  <w:r>
                    <w:rPr>
                      <w:rFonts w:hint="default" w:ascii="Times New Roman" w:hAnsi="Times New Roman" w:eastAsia="宋体" w:cs="Times New Roman"/>
                      <w:color w:val="auto"/>
                      <w:szCs w:val="21"/>
                    </w:rPr>
                    <w:t>外观：无色透明油状液体</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溶解性：不溶于水</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rPr>
                    <w:t>易溶于醇、醚、丙酮和苯</w:t>
                  </w:r>
                  <w:r>
                    <w:rPr>
                      <w:rFonts w:hint="default" w:ascii="Times New Roman" w:hAnsi="Times New Roman" w:eastAsia="宋体" w:cs="Times New Roman"/>
                      <w:color w:val="auto"/>
                      <w:szCs w:val="21"/>
                      <w:lang w:eastAsia="zh-CN"/>
                    </w:rPr>
                    <w:t>，</w:t>
                  </w:r>
                  <w:r>
                    <w:rPr>
                      <w:rFonts w:hint="default" w:ascii="Times New Roman" w:hAnsi="Times New Roman" w:eastAsia="宋体" w:cs="Times New Roman"/>
                      <w:color w:val="auto"/>
                      <w:szCs w:val="21"/>
                      <w:shd w:val="clear" w:color="auto" w:fill="FFFFFF"/>
                    </w:rPr>
                    <w:t>邻苯二甲酸二丁酯为增塑剂</w:t>
                  </w:r>
                  <w:r>
                    <w:rPr>
                      <w:rFonts w:hint="default" w:ascii="Times New Roman" w:hAnsi="Times New Roman" w:eastAsia="宋体" w:cs="Times New Roman"/>
                      <w:color w:val="auto"/>
                      <w:szCs w:val="21"/>
                      <w:shd w:val="clear" w:color="auto" w:fill="FFFFFF"/>
                      <w:lang w:eastAsia="zh-CN"/>
                    </w:rPr>
                    <w:t>，</w:t>
                  </w:r>
                  <w:r>
                    <w:rPr>
                      <w:rFonts w:hint="default" w:ascii="Times New Roman" w:hAnsi="Times New Roman" w:eastAsia="宋体" w:cs="Times New Roman"/>
                      <w:color w:val="auto"/>
                      <w:szCs w:val="21"/>
                      <w:shd w:val="clear" w:color="auto" w:fill="FFFFFF"/>
                    </w:rPr>
                    <w:t>对多种树脂具有很强溶解力</w:t>
                  </w:r>
                  <w:r>
                    <w:rPr>
                      <w:rFonts w:hint="default" w:ascii="Times New Roman" w:hAnsi="Times New Roman" w:eastAsia="宋体" w:cs="Times New Roman"/>
                      <w:color w:val="auto"/>
                      <w:szCs w:val="21"/>
                      <w:shd w:val="clear" w:color="auto" w:fill="FFFFFF"/>
                      <w:lang w:eastAsia="zh-CN"/>
                    </w:rPr>
                    <w:t>，</w:t>
                  </w:r>
                  <w:r>
                    <w:rPr>
                      <w:rFonts w:hint="default" w:ascii="Times New Roman" w:hAnsi="Times New Roman" w:eastAsia="宋体" w:cs="Times New Roman"/>
                      <w:color w:val="auto"/>
                      <w:szCs w:val="21"/>
                      <w:shd w:val="clear" w:color="auto" w:fill="FFFFFF"/>
                    </w:rPr>
                    <w:t>为有毒物质。</w:t>
                  </w:r>
                </w:p>
              </w:tc>
            </w:tr>
          </w:tbl>
          <w:p w14:paraId="107489EE">
            <w:pPr>
              <w:pStyle w:val="102"/>
              <w:ind w:firstLine="480"/>
              <w:rPr>
                <w:color w:val="auto"/>
              </w:rPr>
            </w:pPr>
            <w:r>
              <w:rPr>
                <w:color w:val="auto"/>
              </w:rPr>
              <w:t>3</w:t>
            </w:r>
            <w:r>
              <w:rPr>
                <w:rFonts w:hint="eastAsia"/>
                <w:color w:val="auto"/>
              </w:rPr>
              <w:t>、产品规模</w:t>
            </w:r>
          </w:p>
          <w:p w14:paraId="700C5CE0">
            <w:pPr>
              <w:pStyle w:val="102"/>
              <w:ind w:firstLine="480"/>
              <w:rPr>
                <w:color w:val="auto"/>
                <w:highlight w:val="none"/>
              </w:rPr>
            </w:pPr>
            <w:r>
              <w:rPr>
                <w:color w:val="auto"/>
              </w:rPr>
              <w:t>本</w:t>
            </w:r>
            <w:r>
              <w:rPr>
                <w:rFonts w:hint="eastAsia"/>
                <w:color w:val="auto"/>
              </w:rPr>
              <w:t>项目生产的</w:t>
            </w:r>
            <w:r>
              <w:rPr>
                <w:rFonts w:hint="eastAsia"/>
                <w:color w:val="auto"/>
                <w:lang w:eastAsia="zh-CN"/>
              </w:rPr>
              <w:t>煤矿加固煤岩体用硅酸盐改性聚氨醋材料</w:t>
            </w:r>
            <w:r>
              <w:rPr>
                <w:rFonts w:hint="eastAsia"/>
                <w:color w:val="auto"/>
              </w:rPr>
              <w:t>其产品质量指标执行安全生产行业标准《煤</w:t>
            </w:r>
            <w:r>
              <w:rPr>
                <w:rFonts w:hint="eastAsia"/>
                <w:color w:val="auto"/>
                <w:highlight w:val="none"/>
              </w:rPr>
              <w:t>矿加固煤岩体用高分子材料》（AQ</w:t>
            </w:r>
            <w:r>
              <w:rPr>
                <w:color w:val="auto"/>
                <w:highlight w:val="none"/>
              </w:rPr>
              <w:t>/T</w:t>
            </w:r>
            <w:r>
              <w:rPr>
                <w:rFonts w:hint="eastAsia"/>
                <w:color w:val="auto"/>
                <w:highlight w:val="none"/>
              </w:rPr>
              <w:t>1089-20</w:t>
            </w:r>
            <w:r>
              <w:rPr>
                <w:color w:val="auto"/>
                <w:highlight w:val="none"/>
              </w:rPr>
              <w:t>20</w:t>
            </w:r>
            <w:r>
              <w:rPr>
                <w:rFonts w:hint="eastAsia"/>
                <w:color w:val="auto"/>
                <w:highlight w:val="none"/>
              </w:rPr>
              <w:t>）</w:t>
            </w:r>
            <w:r>
              <w:rPr>
                <w:rFonts w:hint="eastAsia"/>
                <w:color w:val="auto"/>
                <w:highlight w:val="none"/>
                <w:lang w:eastAsia="zh-CN"/>
              </w:rPr>
              <w:t>，</w:t>
            </w:r>
            <w:r>
              <w:rPr>
                <w:color w:val="auto"/>
                <w:highlight w:val="none"/>
              </w:rPr>
              <w:t>项目产品生产情况见表2-4</w:t>
            </w:r>
            <w:r>
              <w:rPr>
                <w:rFonts w:hint="eastAsia"/>
                <w:color w:val="auto"/>
                <w:highlight w:val="none"/>
                <w:lang w:eastAsia="zh-CN"/>
              </w:rPr>
              <w:t>，</w:t>
            </w:r>
            <w:r>
              <w:rPr>
                <w:rFonts w:hint="eastAsia"/>
                <w:color w:val="auto"/>
                <w:highlight w:val="none"/>
              </w:rPr>
              <w:t>质量标准见表2</w:t>
            </w:r>
            <w:r>
              <w:rPr>
                <w:color w:val="auto"/>
                <w:highlight w:val="none"/>
              </w:rPr>
              <w:t>-5</w:t>
            </w:r>
            <w:r>
              <w:rPr>
                <w:rFonts w:hint="eastAsia"/>
                <w:color w:val="auto"/>
                <w:highlight w:val="none"/>
                <w:lang w:eastAsia="zh-CN"/>
              </w:rPr>
              <w:t>，</w:t>
            </w:r>
            <w:r>
              <w:rPr>
                <w:rFonts w:hint="eastAsia"/>
                <w:color w:val="auto"/>
                <w:highlight w:val="none"/>
              </w:rPr>
              <w:t>物料平衡见表2</w:t>
            </w:r>
            <w:r>
              <w:rPr>
                <w:color w:val="auto"/>
                <w:highlight w:val="none"/>
              </w:rPr>
              <w:t>-6</w:t>
            </w:r>
            <w:r>
              <w:rPr>
                <w:rFonts w:hint="eastAsia"/>
                <w:color w:val="auto"/>
                <w:highlight w:val="none"/>
              </w:rPr>
              <w:t>及图2</w:t>
            </w:r>
            <w:r>
              <w:rPr>
                <w:color w:val="auto"/>
                <w:highlight w:val="none"/>
              </w:rPr>
              <w:t>-1。</w:t>
            </w:r>
          </w:p>
          <w:p w14:paraId="6B9C620F">
            <w:pPr>
              <w:pStyle w:val="114"/>
              <w:rPr>
                <w:color w:val="auto"/>
                <w:highlight w:val="none"/>
              </w:rPr>
            </w:pPr>
            <w:r>
              <w:rPr>
                <w:color w:val="auto"/>
                <w:highlight w:val="none"/>
              </w:rPr>
              <w:t xml:space="preserve">表2-4  </w:t>
            </w:r>
            <w:r>
              <w:rPr>
                <w:rFonts w:hint="eastAsia"/>
                <w:color w:val="auto"/>
                <w:highlight w:val="none"/>
              </w:rPr>
              <w:t>主要</w:t>
            </w:r>
            <w:r>
              <w:rPr>
                <w:color w:val="auto"/>
                <w:highlight w:val="none"/>
              </w:rPr>
              <w:t>产品</w:t>
            </w:r>
            <w:r>
              <w:rPr>
                <w:rFonts w:hint="eastAsia"/>
                <w:color w:val="auto"/>
                <w:highlight w:val="none"/>
              </w:rPr>
              <w:t>一览</w:t>
            </w:r>
            <w:r>
              <w:rPr>
                <w:color w:val="auto"/>
                <w:highlight w:val="none"/>
              </w:rPr>
              <w:t>表</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76"/>
              <w:gridCol w:w="1159"/>
              <w:gridCol w:w="876"/>
              <w:gridCol w:w="876"/>
              <w:gridCol w:w="4636"/>
            </w:tblGrid>
            <w:tr w14:paraId="0B9C89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520" w:type="pct"/>
                  <w:vAlign w:val="center"/>
                </w:tcPr>
                <w:p w14:paraId="012D78D2">
                  <w:pPr>
                    <w:pStyle w:val="101"/>
                    <w:rPr>
                      <w:color w:val="auto"/>
                      <w:highlight w:val="none"/>
                    </w:rPr>
                  </w:pPr>
                  <w:r>
                    <w:rPr>
                      <w:color w:val="auto"/>
                      <w:highlight w:val="none"/>
                    </w:rPr>
                    <w:t>序号</w:t>
                  </w:r>
                </w:p>
              </w:tc>
              <w:tc>
                <w:tcPr>
                  <w:tcW w:w="688" w:type="pct"/>
                  <w:vAlign w:val="center"/>
                </w:tcPr>
                <w:p w14:paraId="23D7FD71">
                  <w:pPr>
                    <w:pStyle w:val="101"/>
                    <w:rPr>
                      <w:color w:val="auto"/>
                      <w:highlight w:val="none"/>
                    </w:rPr>
                  </w:pPr>
                  <w:r>
                    <w:rPr>
                      <w:color w:val="auto"/>
                      <w:highlight w:val="none"/>
                    </w:rPr>
                    <w:t>名称</w:t>
                  </w:r>
                </w:p>
              </w:tc>
              <w:tc>
                <w:tcPr>
                  <w:tcW w:w="520" w:type="pct"/>
                  <w:vAlign w:val="center"/>
                </w:tcPr>
                <w:p w14:paraId="23BC0A1B">
                  <w:pPr>
                    <w:pStyle w:val="101"/>
                    <w:rPr>
                      <w:color w:val="auto"/>
                      <w:highlight w:val="none"/>
                    </w:rPr>
                  </w:pPr>
                  <w:r>
                    <w:rPr>
                      <w:color w:val="auto"/>
                      <w:highlight w:val="none"/>
                    </w:rPr>
                    <w:t>单位</w:t>
                  </w:r>
                </w:p>
              </w:tc>
              <w:tc>
                <w:tcPr>
                  <w:tcW w:w="520" w:type="pct"/>
                  <w:vAlign w:val="center"/>
                </w:tcPr>
                <w:p w14:paraId="0D7CD27B">
                  <w:pPr>
                    <w:pStyle w:val="101"/>
                    <w:rPr>
                      <w:color w:val="auto"/>
                      <w:highlight w:val="none"/>
                    </w:rPr>
                  </w:pPr>
                  <w:r>
                    <w:rPr>
                      <w:color w:val="auto"/>
                      <w:highlight w:val="none"/>
                    </w:rPr>
                    <w:t>数量</w:t>
                  </w:r>
                </w:p>
              </w:tc>
              <w:tc>
                <w:tcPr>
                  <w:tcW w:w="2752" w:type="pct"/>
                  <w:vAlign w:val="center"/>
                </w:tcPr>
                <w:p w14:paraId="1D7AA799">
                  <w:pPr>
                    <w:pStyle w:val="101"/>
                    <w:rPr>
                      <w:color w:val="auto"/>
                      <w:highlight w:val="none"/>
                    </w:rPr>
                  </w:pPr>
                  <w:r>
                    <w:rPr>
                      <w:rFonts w:hint="eastAsia"/>
                      <w:color w:val="auto"/>
                      <w:highlight w:val="none"/>
                    </w:rPr>
                    <w:t>质量指标</w:t>
                  </w:r>
                </w:p>
              </w:tc>
            </w:tr>
            <w:tr w14:paraId="5A48F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0" w:type="pct"/>
                  <w:vAlign w:val="center"/>
                </w:tcPr>
                <w:p w14:paraId="62FA9A95">
                  <w:pPr>
                    <w:pStyle w:val="101"/>
                    <w:rPr>
                      <w:color w:val="auto"/>
                      <w:highlight w:val="none"/>
                    </w:rPr>
                  </w:pPr>
                  <w:r>
                    <w:rPr>
                      <w:rFonts w:hint="eastAsia"/>
                      <w:color w:val="auto"/>
                      <w:highlight w:val="none"/>
                    </w:rPr>
                    <w:t>1</w:t>
                  </w:r>
                </w:p>
              </w:tc>
              <w:tc>
                <w:tcPr>
                  <w:tcW w:w="688" w:type="pct"/>
                  <w:vAlign w:val="center"/>
                </w:tcPr>
                <w:p w14:paraId="33D08730">
                  <w:pPr>
                    <w:pStyle w:val="101"/>
                    <w:rPr>
                      <w:color w:val="auto"/>
                      <w:highlight w:val="none"/>
                    </w:rPr>
                  </w:pPr>
                  <w:r>
                    <w:rPr>
                      <w:rFonts w:hint="eastAsia"/>
                      <w:color w:val="auto"/>
                      <w:highlight w:val="none"/>
                    </w:rPr>
                    <w:t>A组分</w:t>
                  </w:r>
                </w:p>
              </w:tc>
              <w:tc>
                <w:tcPr>
                  <w:tcW w:w="520" w:type="pct"/>
                  <w:vAlign w:val="center"/>
                </w:tcPr>
                <w:p w14:paraId="78034850">
                  <w:pPr>
                    <w:pStyle w:val="101"/>
                    <w:rPr>
                      <w:color w:val="auto"/>
                      <w:highlight w:val="none"/>
                    </w:rPr>
                  </w:pPr>
                  <w:r>
                    <w:rPr>
                      <w:rFonts w:hint="eastAsia"/>
                      <w:color w:val="auto"/>
                      <w:szCs w:val="21"/>
                      <w:highlight w:val="none"/>
                    </w:rPr>
                    <w:t>t</w:t>
                  </w:r>
                  <w:r>
                    <w:rPr>
                      <w:color w:val="auto"/>
                      <w:szCs w:val="21"/>
                      <w:highlight w:val="none"/>
                    </w:rPr>
                    <w:t>/</w:t>
                  </w:r>
                  <w:r>
                    <w:rPr>
                      <w:rFonts w:hint="eastAsia"/>
                      <w:color w:val="auto"/>
                      <w:szCs w:val="21"/>
                      <w:highlight w:val="none"/>
                    </w:rPr>
                    <w:t>a</w:t>
                  </w:r>
                </w:p>
              </w:tc>
              <w:tc>
                <w:tcPr>
                  <w:tcW w:w="520" w:type="pct"/>
                  <w:vAlign w:val="center"/>
                </w:tcPr>
                <w:p w14:paraId="227F75B3">
                  <w:pPr>
                    <w:pStyle w:val="101"/>
                    <w:rPr>
                      <w:color w:val="auto"/>
                      <w:highlight w:val="none"/>
                    </w:rPr>
                  </w:pPr>
                  <w:r>
                    <w:rPr>
                      <w:rFonts w:hint="eastAsia"/>
                      <w:color w:val="auto"/>
                      <w:highlight w:val="none"/>
                      <w:lang w:val="en-US" w:eastAsia="zh-CN"/>
                    </w:rPr>
                    <w:t>20</w:t>
                  </w:r>
                  <w:r>
                    <w:rPr>
                      <w:color w:val="auto"/>
                      <w:highlight w:val="none"/>
                    </w:rPr>
                    <w:t>50</w:t>
                  </w:r>
                </w:p>
              </w:tc>
              <w:tc>
                <w:tcPr>
                  <w:tcW w:w="2752" w:type="pct"/>
                  <w:vMerge w:val="restart"/>
                  <w:vAlign w:val="center"/>
                </w:tcPr>
                <w:p w14:paraId="563DCEF6">
                  <w:pPr>
                    <w:pStyle w:val="101"/>
                    <w:rPr>
                      <w:color w:val="auto"/>
                      <w:highlight w:val="none"/>
                    </w:rPr>
                  </w:pPr>
                  <w:r>
                    <w:rPr>
                      <w:rFonts w:hint="eastAsia"/>
                      <w:color w:val="auto"/>
                      <w:highlight w:val="none"/>
                    </w:rPr>
                    <w:t>《煤矿加固煤岩体用高分子材料》</w:t>
                  </w:r>
                </w:p>
                <w:p w14:paraId="17F3C281">
                  <w:pPr>
                    <w:pStyle w:val="101"/>
                    <w:rPr>
                      <w:color w:val="auto"/>
                      <w:highlight w:val="none"/>
                    </w:rPr>
                  </w:pPr>
                  <w:r>
                    <w:rPr>
                      <w:rFonts w:hint="eastAsia"/>
                      <w:color w:val="auto"/>
                      <w:highlight w:val="none"/>
                    </w:rPr>
                    <w:t>（AQ</w:t>
                  </w:r>
                  <w:r>
                    <w:rPr>
                      <w:color w:val="auto"/>
                      <w:highlight w:val="none"/>
                    </w:rPr>
                    <w:t>/T</w:t>
                  </w:r>
                  <w:r>
                    <w:rPr>
                      <w:rFonts w:hint="eastAsia"/>
                      <w:color w:val="auto"/>
                      <w:highlight w:val="none"/>
                    </w:rPr>
                    <w:t>1089-20</w:t>
                  </w:r>
                  <w:r>
                    <w:rPr>
                      <w:color w:val="auto"/>
                      <w:highlight w:val="none"/>
                    </w:rPr>
                    <w:t>20</w:t>
                  </w:r>
                  <w:r>
                    <w:rPr>
                      <w:rFonts w:hint="eastAsia"/>
                      <w:color w:val="auto"/>
                      <w:highlight w:val="none"/>
                    </w:rPr>
                    <w:t>）</w:t>
                  </w:r>
                </w:p>
              </w:tc>
            </w:tr>
            <w:tr w14:paraId="4EDD27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20" w:type="pct"/>
                  <w:vAlign w:val="center"/>
                </w:tcPr>
                <w:p w14:paraId="3AC7F345">
                  <w:pPr>
                    <w:pStyle w:val="101"/>
                    <w:rPr>
                      <w:color w:val="auto"/>
                      <w:highlight w:val="none"/>
                    </w:rPr>
                  </w:pPr>
                  <w:r>
                    <w:rPr>
                      <w:rFonts w:hint="eastAsia"/>
                      <w:color w:val="auto"/>
                      <w:highlight w:val="none"/>
                    </w:rPr>
                    <w:t>2</w:t>
                  </w:r>
                </w:p>
              </w:tc>
              <w:tc>
                <w:tcPr>
                  <w:tcW w:w="688" w:type="pct"/>
                  <w:vAlign w:val="center"/>
                </w:tcPr>
                <w:p w14:paraId="2DF7087A">
                  <w:pPr>
                    <w:pStyle w:val="101"/>
                    <w:rPr>
                      <w:color w:val="auto"/>
                      <w:highlight w:val="none"/>
                    </w:rPr>
                  </w:pPr>
                  <w:r>
                    <w:rPr>
                      <w:rFonts w:hint="eastAsia"/>
                      <w:color w:val="auto"/>
                      <w:highlight w:val="none"/>
                    </w:rPr>
                    <w:t>B组分</w:t>
                  </w:r>
                </w:p>
              </w:tc>
              <w:tc>
                <w:tcPr>
                  <w:tcW w:w="520" w:type="pct"/>
                  <w:vAlign w:val="center"/>
                </w:tcPr>
                <w:p w14:paraId="680BA513">
                  <w:pPr>
                    <w:pStyle w:val="101"/>
                    <w:rPr>
                      <w:color w:val="auto"/>
                      <w:szCs w:val="21"/>
                      <w:highlight w:val="none"/>
                    </w:rPr>
                  </w:pPr>
                  <w:r>
                    <w:rPr>
                      <w:rFonts w:hint="eastAsia"/>
                      <w:color w:val="auto"/>
                      <w:szCs w:val="21"/>
                      <w:highlight w:val="none"/>
                    </w:rPr>
                    <w:t>t</w:t>
                  </w:r>
                  <w:r>
                    <w:rPr>
                      <w:color w:val="auto"/>
                      <w:szCs w:val="21"/>
                      <w:highlight w:val="none"/>
                    </w:rPr>
                    <w:t>/</w:t>
                  </w:r>
                  <w:r>
                    <w:rPr>
                      <w:rFonts w:hint="eastAsia"/>
                      <w:color w:val="auto"/>
                      <w:szCs w:val="21"/>
                      <w:highlight w:val="none"/>
                    </w:rPr>
                    <w:t>a</w:t>
                  </w:r>
                </w:p>
              </w:tc>
              <w:tc>
                <w:tcPr>
                  <w:tcW w:w="520" w:type="pct"/>
                  <w:vAlign w:val="center"/>
                </w:tcPr>
                <w:p w14:paraId="6C2EDC33">
                  <w:pPr>
                    <w:pStyle w:val="101"/>
                    <w:rPr>
                      <w:color w:val="auto"/>
                      <w:highlight w:val="none"/>
                    </w:rPr>
                  </w:pPr>
                  <w:r>
                    <w:rPr>
                      <w:rFonts w:hint="eastAsia"/>
                      <w:color w:val="auto"/>
                      <w:highlight w:val="none"/>
                      <w:lang w:val="en-US" w:eastAsia="zh-CN"/>
                    </w:rPr>
                    <w:t>95</w:t>
                  </w:r>
                  <w:r>
                    <w:rPr>
                      <w:color w:val="auto"/>
                      <w:highlight w:val="none"/>
                    </w:rPr>
                    <w:t>0</w:t>
                  </w:r>
                </w:p>
              </w:tc>
              <w:tc>
                <w:tcPr>
                  <w:tcW w:w="2752" w:type="pct"/>
                  <w:vMerge w:val="continue"/>
                  <w:vAlign w:val="center"/>
                </w:tcPr>
                <w:p w14:paraId="5544D19F">
                  <w:pPr>
                    <w:pStyle w:val="101"/>
                    <w:rPr>
                      <w:color w:val="auto"/>
                      <w:highlight w:val="none"/>
                    </w:rPr>
                  </w:pPr>
                </w:p>
              </w:tc>
            </w:tr>
            <w:tr w14:paraId="7A2D88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208" w:type="pct"/>
                  <w:gridSpan w:val="2"/>
                  <w:vAlign w:val="center"/>
                </w:tcPr>
                <w:p w14:paraId="517FE2F6">
                  <w:pPr>
                    <w:pStyle w:val="101"/>
                    <w:rPr>
                      <w:color w:val="auto"/>
                      <w:highlight w:val="none"/>
                    </w:rPr>
                  </w:pPr>
                  <w:r>
                    <w:rPr>
                      <w:rFonts w:hint="eastAsia"/>
                      <w:color w:val="auto"/>
                      <w:highlight w:val="none"/>
                    </w:rPr>
                    <w:t>合计</w:t>
                  </w:r>
                </w:p>
              </w:tc>
              <w:tc>
                <w:tcPr>
                  <w:tcW w:w="520" w:type="pct"/>
                  <w:vAlign w:val="center"/>
                </w:tcPr>
                <w:p w14:paraId="3BDB8664">
                  <w:pPr>
                    <w:pStyle w:val="101"/>
                    <w:rPr>
                      <w:color w:val="auto"/>
                      <w:szCs w:val="21"/>
                      <w:highlight w:val="none"/>
                    </w:rPr>
                  </w:pPr>
                  <w:r>
                    <w:rPr>
                      <w:rFonts w:hint="eastAsia"/>
                      <w:color w:val="auto"/>
                      <w:szCs w:val="21"/>
                      <w:highlight w:val="none"/>
                    </w:rPr>
                    <w:t>t</w:t>
                  </w:r>
                  <w:r>
                    <w:rPr>
                      <w:color w:val="auto"/>
                      <w:szCs w:val="21"/>
                      <w:highlight w:val="none"/>
                    </w:rPr>
                    <w:t>/</w:t>
                  </w:r>
                  <w:r>
                    <w:rPr>
                      <w:rFonts w:hint="eastAsia"/>
                      <w:color w:val="auto"/>
                      <w:szCs w:val="21"/>
                      <w:highlight w:val="none"/>
                    </w:rPr>
                    <w:t>a</w:t>
                  </w:r>
                </w:p>
              </w:tc>
              <w:tc>
                <w:tcPr>
                  <w:tcW w:w="520" w:type="pct"/>
                  <w:vAlign w:val="center"/>
                </w:tcPr>
                <w:p w14:paraId="413EE271">
                  <w:pPr>
                    <w:pStyle w:val="101"/>
                    <w:rPr>
                      <w:color w:val="auto"/>
                      <w:highlight w:val="none"/>
                    </w:rPr>
                  </w:pPr>
                  <w:r>
                    <w:rPr>
                      <w:color w:val="auto"/>
                      <w:highlight w:val="none"/>
                    </w:rPr>
                    <w:fldChar w:fldCharType="begin"/>
                  </w:r>
                  <w:r>
                    <w:rPr>
                      <w:color w:val="auto"/>
                      <w:highlight w:val="none"/>
                    </w:rPr>
                    <w:instrText xml:space="preserve"> =SUM(ABOVE) </w:instrText>
                  </w:r>
                  <w:r>
                    <w:rPr>
                      <w:color w:val="auto"/>
                      <w:highlight w:val="none"/>
                    </w:rPr>
                    <w:fldChar w:fldCharType="separate"/>
                  </w:r>
                  <w:r>
                    <w:rPr>
                      <w:rFonts w:hint="eastAsia"/>
                      <w:color w:val="auto"/>
                      <w:highlight w:val="none"/>
                      <w:lang w:eastAsia="zh-CN"/>
                    </w:rPr>
                    <w:t>3000</w:t>
                  </w:r>
                  <w:r>
                    <w:rPr>
                      <w:color w:val="auto"/>
                      <w:highlight w:val="none"/>
                    </w:rPr>
                    <w:fldChar w:fldCharType="end"/>
                  </w:r>
                </w:p>
              </w:tc>
              <w:tc>
                <w:tcPr>
                  <w:tcW w:w="2752" w:type="pct"/>
                  <w:vMerge w:val="continue"/>
                  <w:vAlign w:val="center"/>
                </w:tcPr>
                <w:p w14:paraId="73C78D1E">
                  <w:pPr>
                    <w:pStyle w:val="101"/>
                    <w:rPr>
                      <w:color w:val="auto"/>
                      <w:highlight w:val="none"/>
                    </w:rPr>
                  </w:pPr>
                </w:p>
              </w:tc>
            </w:tr>
          </w:tbl>
          <w:p w14:paraId="67E6B0DB">
            <w:pPr>
              <w:pStyle w:val="114"/>
              <w:rPr>
                <w:color w:val="auto"/>
              </w:rPr>
            </w:pPr>
            <w:r>
              <w:rPr>
                <w:rFonts w:hint="eastAsia"/>
                <w:color w:val="auto"/>
                <w:highlight w:val="none"/>
              </w:rPr>
              <w:t>表</w:t>
            </w:r>
            <w:r>
              <w:rPr>
                <w:color w:val="auto"/>
                <w:highlight w:val="none"/>
              </w:rPr>
              <w:t xml:space="preserve">2-5 </w:t>
            </w:r>
            <w:r>
              <w:rPr>
                <w:rFonts w:hint="eastAsia"/>
                <w:color w:val="auto"/>
                <w:highlight w:val="none"/>
              </w:rPr>
              <w:t xml:space="preserve"> 煤矿加固煤岩体</w:t>
            </w:r>
            <w:r>
              <w:rPr>
                <w:rFonts w:hint="eastAsia"/>
                <w:color w:val="auto"/>
              </w:rPr>
              <w:t>用高分子材料产品质量标准（AQ</w:t>
            </w:r>
            <w:r>
              <w:rPr>
                <w:color w:val="auto"/>
              </w:rPr>
              <w:t>/T</w:t>
            </w:r>
            <w:r>
              <w:rPr>
                <w:rFonts w:hint="eastAsia"/>
                <w:color w:val="auto"/>
              </w:rPr>
              <w:t>1089-20</w:t>
            </w:r>
            <w:r>
              <w:rPr>
                <w:color w:val="auto"/>
              </w:rPr>
              <w:t>20</w:t>
            </w:r>
            <w:r>
              <w:rPr>
                <w:rFonts w:hint="eastAsia"/>
                <w:color w:val="auto"/>
              </w:rPr>
              <w:t>）</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124"/>
              <w:gridCol w:w="453"/>
              <w:gridCol w:w="2016"/>
              <w:gridCol w:w="2143"/>
              <w:gridCol w:w="2687"/>
            </w:tblGrid>
            <w:tr w14:paraId="54E2A39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44" w:hRule="atLeast"/>
                <w:jc w:val="center"/>
              </w:trPr>
              <w:tc>
                <w:tcPr>
                  <w:tcW w:w="667" w:type="pct"/>
                  <w:vAlign w:val="center"/>
                </w:tcPr>
                <w:p w14:paraId="543764EB">
                  <w:pPr>
                    <w:pStyle w:val="101"/>
                    <w:rPr>
                      <w:color w:val="auto"/>
                    </w:rPr>
                  </w:pPr>
                  <w:r>
                    <w:rPr>
                      <w:color w:val="auto"/>
                    </w:rPr>
                    <w:t>序号</w:t>
                  </w:r>
                </w:p>
              </w:tc>
              <w:tc>
                <w:tcPr>
                  <w:tcW w:w="2738" w:type="pct"/>
                  <w:gridSpan w:val="3"/>
                  <w:vAlign w:val="center"/>
                </w:tcPr>
                <w:p w14:paraId="75B6ACF5">
                  <w:pPr>
                    <w:pStyle w:val="101"/>
                    <w:rPr>
                      <w:color w:val="auto"/>
                    </w:rPr>
                  </w:pPr>
                  <w:r>
                    <w:rPr>
                      <w:color w:val="auto"/>
                    </w:rPr>
                    <w:t>名称</w:t>
                  </w:r>
                </w:p>
              </w:tc>
              <w:tc>
                <w:tcPr>
                  <w:tcW w:w="1595" w:type="pct"/>
                  <w:vAlign w:val="center"/>
                </w:tcPr>
                <w:p w14:paraId="2111FF7D">
                  <w:pPr>
                    <w:pStyle w:val="101"/>
                    <w:rPr>
                      <w:color w:val="auto"/>
                    </w:rPr>
                  </w:pPr>
                  <w:r>
                    <w:rPr>
                      <w:rFonts w:hint="eastAsia"/>
                      <w:color w:val="auto"/>
                    </w:rPr>
                    <w:t>指标</w:t>
                  </w:r>
                </w:p>
              </w:tc>
            </w:tr>
            <w:tr w14:paraId="0960FE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67" w:type="pct"/>
                  <w:vMerge w:val="restart"/>
                  <w:vAlign w:val="center"/>
                </w:tcPr>
                <w:p w14:paraId="64D87EAB">
                  <w:pPr>
                    <w:pStyle w:val="101"/>
                    <w:rPr>
                      <w:color w:val="auto"/>
                    </w:rPr>
                  </w:pPr>
                  <w:r>
                    <w:rPr>
                      <w:rFonts w:hint="eastAsia"/>
                      <w:color w:val="auto"/>
                    </w:rPr>
                    <w:t>基本性能</w:t>
                  </w:r>
                </w:p>
              </w:tc>
              <w:tc>
                <w:tcPr>
                  <w:tcW w:w="2738" w:type="pct"/>
                  <w:gridSpan w:val="3"/>
                  <w:vAlign w:val="center"/>
                </w:tcPr>
                <w:p w14:paraId="67E3C167">
                  <w:pPr>
                    <w:pStyle w:val="101"/>
                    <w:rPr>
                      <w:color w:val="auto"/>
                    </w:rPr>
                  </w:pPr>
                  <w:r>
                    <w:rPr>
                      <w:rFonts w:hint="eastAsia"/>
                      <w:color w:val="auto"/>
                    </w:rPr>
                    <w:t>最高反应温度</w:t>
                  </w:r>
                  <w:r>
                    <w:rPr>
                      <w:rFonts w:hint="eastAsia"/>
                      <w:color w:val="auto"/>
                      <w:lang w:eastAsia="zh-CN"/>
                    </w:rPr>
                    <w:t>，</w:t>
                  </w:r>
                  <w:r>
                    <w:rPr>
                      <w:rFonts w:hint="eastAsia"/>
                      <w:color w:val="auto"/>
                    </w:rPr>
                    <w:t>℃</w:t>
                  </w:r>
                </w:p>
              </w:tc>
              <w:tc>
                <w:tcPr>
                  <w:tcW w:w="1595" w:type="pct"/>
                  <w:vAlign w:val="center"/>
                </w:tcPr>
                <w:p w14:paraId="598C67FE">
                  <w:pPr>
                    <w:pStyle w:val="101"/>
                    <w:rPr>
                      <w:color w:val="auto"/>
                    </w:rPr>
                  </w:pPr>
                  <w:r>
                    <w:rPr>
                      <w:rFonts w:hint="eastAsia"/>
                      <w:color w:val="auto"/>
                    </w:rPr>
                    <w:t>≤1</w:t>
                  </w:r>
                  <w:r>
                    <w:rPr>
                      <w:color w:val="auto"/>
                    </w:rPr>
                    <w:t>0</w:t>
                  </w:r>
                  <w:r>
                    <w:rPr>
                      <w:rFonts w:hint="eastAsia"/>
                      <w:color w:val="auto"/>
                    </w:rPr>
                    <w:t>0</w:t>
                  </w:r>
                </w:p>
              </w:tc>
            </w:tr>
            <w:tr w14:paraId="5674C3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15519439">
                  <w:pPr>
                    <w:pStyle w:val="101"/>
                    <w:rPr>
                      <w:color w:val="auto"/>
                    </w:rPr>
                  </w:pPr>
                </w:p>
              </w:tc>
              <w:tc>
                <w:tcPr>
                  <w:tcW w:w="2738" w:type="pct"/>
                  <w:gridSpan w:val="3"/>
                  <w:vAlign w:val="center"/>
                </w:tcPr>
                <w:p w14:paraId="0495D579">
                  <w:pPr>
                    <w:pStyle w:val="101"/>
                    <w:rPr>
                      <w:color w:val="auto"/>
                    </w:rPr>
                  </w:pPr>
                  <w:r>
                    <w:rPr>
                      <w:rFonts w:hint="eastAsia"/>
                      <w:color w:val="auto"/>
                    </w:rPr>
                    <w:t>氧指数</w:t>
                  </w:r>
                  <w:r>
                    <w:rPr>
                      <w:rFonts w:hint="eastAsia"/>
                      <w:color w:val="auto"/>
                      <w:lang w:eastAsia="zh-CN"/>
                    </w:rPr>
                    <w:t>，</w:t>
                  </w:r>
                  <w:r>
                    <w:rPr>
                      <w:rFonts w:hint="eastAsia"/>
                      <w:color w:val="auto"/>
                    </w:rPr>
                    <w:t>%</w:t>
                  </w:r>
                </w:p>
              </w:tc>
              <w:tc>
                <w:tcPr>
                  <w:tcW w:w="1595" w:type="pct"/>
                  <w:vAlign w:val="center"/>
                </w:tcPr>
                <w:p w14:paraId="14886706">
                  <w:pPr>
                    <w:pStyle w:val="101"/>
                    <w:rPr>
                      <w:color w:val="auto"/>
                    </w:rPr>
                  </w:pPr>
                  <w:r>
                    <w:rPr>
                      <w:rFonts w:hint="eastAsia"/>
                      <w:color w:val="auto"/>
                    </w:rPr>
                    <w:t>≥2</w:t>
                  </w:r>
                  <w:r>
                    <w:rPr>
                      <w:color w:val="auto"/>
                    </w:rPr>
                    <w:t>8</w:t>
                  </w:r>
                </w:p>
              </w:tc>
            </w:tr>
            <w:tr w14:paraId="1C6BC4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5FB84002">
                  <w:pPr>
                    <w:pStyle w:val="101"/>
                    <w:rPr>
                      <w:color w:val="auto"/>
                    </w:rPr>
                  </w:pPr>
                </w:p>
              </w:tc>
              <w:tc>
                <w:tcPr>
                  <w:tcW w:w="2738" w:type="pct"/>
                  <w:gridSpan w:val="3"/>
                  <w:vAlign w:val="center"/>
                </w:tcPr>
                <w:p w14:paraId="350E43C6">
                  <w:pPr>
                    <w:pStyle w:val="101"/>
                    <w:rPr>
                      <w:color w:val="auto"/>
                    </w:rPr>
                  </w:pPr>
                  <w:r>
                    <w:rPr>
                      <w:rFonts w:hint="eastAsia"/>
                      <w:color w:val="auto"/>
                    </w:rPr>
                    <w:t>膨胀倍数</w:t>
                  </w:r>
                  <w:r>
                    <w:rPr>
                      <w:rFonts w:hint="eastAsia"/>
                      <w:color w:val="auto"/>
                      <w:lang w:eastAsia="zh-CN"/>
                    </w:rPr>
                    <w:t>，</w:t>
                  </w:r>
                  <w:r>
                    <w:rPr>
                      <w:rFonts w:hint="eastAsia"/>
                      <w:color w:val="auto"/>
                    </w:rPr>
                    <w:t>倍</w:t>
                  </w:r>
                </w:p>
              </w:tc>
              <w:tc>
                <w:tcPr>
                  <w:tcW w:w="1595" w:type="pct"/>
                  <w:vAlign w:val="center"/>
                </w:tcPr>
                <w:p w14:paraId="39251D0D">
                  <w:pPr>
                    <w:pStyle w:val="101"/>
                    <w:rPr>
                      <w:color w:val="auto"/>
                    </w:rPr>
                  </w:pPr>
                  <w:r>
                    <w:rPr>
                      <w:rFonts w:hint="eastAsia"/>
                      <w:color w:val="auto"/>
                    </w:rPr>
                    <w:t>≥1.0</w:t>
                  </w:r>
                </w:p>
              </w:tc>
            </w:tr>
            <w:tr w14:paraId="127AD4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561CB907">
                  <w:pPr>
                    <w:pStyle w:val="101"/>
                    <w:rPr>
                      <w:color w:val="auto"/>
                    </w:rPr>
                  </w:pPr>
                </w:p>
              </w:tc>
              <w:tc>
                <w:tcPr>
                  <w:tcW w:w="2738" w:type="pct"/>
                  <w:gridSpan w:val="3"/>
                  <w:vAlign w:val="center"/>
                </w:tcPr>
                <w:p w14:paraId="00E4F6F6">
                  <w:pPr>
                    <w:pStyle w:val="101"/>
                    <w:rPr>
                      <w:color w:val="auto"/>
                    </w:rPr>
                  </w:pPr>
                  <w:r>
                    <w:rPr>
                      <w:rFonts w:hint="eastAsia"/>
                      <w:color w:val="auto"/>
                    </w:rPr>
                    <w:t>抗老化性能</w:t>
                  </w:r>
                  <w:r>
                    <w:rPr>
                      <w:rFonts w:hint="eastAsia"/>
                      <w:color w:val="auto"/>
                      <w:lang w:eastAsia="zh-CN"/>
                    </w:rPr>
                    <w:t>，</w:t>
                  </w:r>
                  <w:r>
                    <w:rPr>
                      <w:rFonts w:hint="eastAsia"/>
                      <w:color w:val="auto"/>
                    </w:rPr>
                    <w:t>（80℃±2℃；168h）</w:t>
                  </w:r>
                </w:p>
              </w:tc>
              <w:tc>
                <w:tcPr>
                  <w:tcW w:w="1595" w:type="pct"/>
                  <w:vAlign w:val="center"/>
                </w:tcPr>
                <w:p w14:paraId="41119CC5">
                  <w:pPr>
                    <w:pStyle w:val="101"/>
                    <w:rPr>
                      <w:color w:val="auto"/>
                    </w:rPr>
                  </w:pPr>
                  <w:r>
                    <w:rPr>
                      <w:rFonts w:hint="eastAsia"/>
                      <w:color w:val="auto"/>
                    </w:rPr>
                    <w:t>表面无变化</w:t>
                  </w:r>
                  <w:r>
                    <w:rPr>
                      <w:rFonts w:hint="eastAsia"/>
                      <w:color w:val="auto"/>
                      <w:lang w:eastAsia="zh-CN"/>
                    </w:rPr>
                    <w:t>，</w:t>
                  </w:r>
                  <w:r>
                    <w:rPr>
                      <w:rFonts w:hint="eastAsia"/>
                      <w:color w:val="auto"/>
                    </w:rPr>
                    <w:t>抗压强度损失≤5%</w:t>
                  </w:r>
                </w:p>
              </w:tc>
            </w:tr>
            <w:tr w14:paraId="7D90BAE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79431B02">
                  <w:pPr>
                    <w:pStyle w:val="101"/>
                    <w:rPr>
                      <w:color w:val="auto"/>
                    </w:rPr>
                  </w:pPr>
                </w:p>
              </w:tc>
              <w:tc>
                <w:tcPr>
                  <w:tcW w:w="269" w:type="pct"/>
                  <w:vMerge w:val="restart"/>
                  <w:vAlign w:val="center"/>
                </w:tcPr>
                <w:p w14:paraId="614A71E2">
                  <w:pPr>
                    <w:pStyle w:val="101"/>
                    <w:rPr>
                      <w:color w:val="auto"/>
                    </w:rPr>
                  </w:pPr>
                  <w:r>
                    <w:rPr>
                      <w:rFonts w:hint="eastAsia"/>
                      <w:color w:val="auto"/>
                    </w:rPr>
                    <w:t>阻</w:t>
                  </w:r>
                </w:p>
                <w:p w14:paraId="748F40D4">
                  <w:pPr>
                    <w:pStyle w:val="101"/>
                    <w:rPr>
                      <w:color w:val="auto"/>
                    </w:rPr>
                  </w:pPr>
                  <w:r>
                    <w:rPr>
                      <w:rFonts w:hint="eastAsia"/>
                      <w:color w:val="auto"/>
                    </w:rPr>
                    <w:t>燃</w:t>
                  </w:r>
                </w:p>
                <w:p w14:paraId="143A03E9">
                  <w:pPr>
                    <w:pStyle w:val="101"/>
                    <w:rPr>
                      <w:color w:val="auto"/>
                    </w:rPr>
                  </w:pPr>
                  <w:r>
                    <w:rPr>
                      <w:rFonts w:hint="eastAsia"/>
                      <w:color w:val="auto"/>
                    </w:rPr>
                    <w:t>性</w:t>
                  </w:r>
                </w:p>
                <w:p w14:paraId="6064DEBE">
                  <w:pPr>
                    <w:pStyle w:val="101"/>
                    <w:rPr>
                      <w:color w:val="auto"/>
                    </w:rPr>
                  </w:pPr>
                  <w:r>
                    <w:rPr>
                      <w:rFonts w:hint="eastAsia"/>
                      <w:color w:val="auto"/>
                    </w:rPr>
                    <w:t>能</w:t>
                  </w:r>
                </w:p>
              </w:tc>
              <w:tc>
                <w:tcPr>
                  <w:tcW w:w="1197" w:type="pct"/>
                  <w:vMerge w:val="restart"/>
                  <w:vAlign w:val="center"/>
                </w:tcPr>
                <w:p w14:paraId="68C1809C">
                  <w:pPr>
                    <w:pStyle w:val="101"/>
                    <w:rPr>
                      <w:color w:val="auto"/>
                    </w:rPr>
                  </w:pPr>
                  <w:r>
                    <w:rPr>
                      <w:rFonts w:hint="eastAsia"/>
                      <w:color w:val="auto"/>
                    </w:rPr>
                    <w:t>酒精喷灯燃烧试验</w:t>
                  </w:r>
                </w:p>
              </w:tc>
              <w:tc>
                <w:tcPr>
                  <w:tcW w:w="1272" w:type="pct"/>
                  <w:vAlign w:val="center"/>
                </w:tcPr>
                <w:p w14:paraId="411B0C09">
                  <w:pPr>
                    <w:pStyle w:val="101"/>
                    <w:rPr>
                      <w:color w:val="auto"/>
                    </w:rPr>
                  </w:pPr>
                  <w:r>
                    <w:rPr>
                      <w:rFonts w:hint="eastAsia"/>
                      <w:color w:val="auto"/>
                    </w:rPr>
                    <w:t>有焰燃烧时间</w:t>
                  </w:r>
                  <w:r>
                    <w:rPr>
                      <w:rFonts w:hint="eastAsia"/>
                      <w:color w:val="auto"/>
                      <w:lang w:eastAsia="zh-CN"/>
                    </w:rPr>
                    <w:t>，</w:t>
                  </w:r>
                  <w:r>
                    <w:rPr>
                      <w:rFonts w:hint="eastAsia"/>
                      <w:color w:val="auto"/>
                    </w:rPr>
                    <w:t>s</w:t>
                  </w:r>
                </w:p>
              </w:tc>
              <w:tc>
                <w:tcPr>
                  <w:tcW w:w="1595" w:type="pct"/>
                  <w:vAlign w:val="center"/>
                </w:tcPr>
                <w:p w14:paraId="61325E05">
                  <w:pPr>
                    <w:pStyle w:val="101"/>
                    <w:rPr>
                      <w:color w:val="auto"/>
                    </w:rPr>
                  </w:pPr>
                  <w:r>
                    <w:rPr>
                      <w:rFonts w:hint="eastAsia"/>
                      <w:color w:val="auto"/>
                    </w:rPr>
                    <w:t>≤3</w:t>
                  </w:r>
                </w:p>
              </w:tc>
            </w:tr>
            <w:tr w14:paraId="0E6C13B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51705ACE">
                  <w:pPr>
                    <w:pStyle w:val="101"/>
                    <w:rPr>
                      <w:color w:val="auto"/>
                    </w:rPr>
                  </w:pPr>
                </w:p>
              </w:tc>
              <w:tc>
                <w:tcPr>
                  <w:tcW w:w="269" w:type="pct"/>
                  <w:vMerge w:val="continue"/>
                  <w:vAlign w:val="center"/>
                </w:tcPr>
                <w:p w14:paraId="7BE2B5C2">
                  <w:pPr>
                    <w:pStyle w:val="101"/>
                    <w:rPr>
                      <w:color w:val="auto"/>
                    </w:rPr>
                  </w:pPr>
                </w:p>
              </w:tc>
              <w:tc>
                <w:tcPr>
                  <w:tcW w:w="1197" w:type="pct"/>
                  <w:vMerge w:val="continue"/>
                  <w:vAlign w:val="center"/>
                </w:tcPr>
                <w:p w14:paraId="5F92169B">
                  <w:pPr>
                    <w:pStyle w:val="101"/>
                    <w:rPr>
                      <w:color w:val="auto"/>
                    </w:rPr>
                  </w:pPr>
                </w:p>
              </w:tc>
              <w:tc>
                <w:tcPr>
                  <w:tcW w:w="1272" w:type="pct"/>
                  <w:vAlign w:val="center"/>
                </w:tcPr>
                <w:p w14:paraId="2EB647F6">
                  <w:pPr>
                    <w:pStyle w:val="101"/>
                    <w:rPr>
                      <w:color w:val="auto"/>
                    </w:rPr>
                  </w:pPr>
                  <w:r>
                    <w:rPr>
                      <w:rFonts w:hint="eastAsia"/>
                      <w:color w:val="auto"/>
                    </w:rPr>
                    <w:t>无焰燃烧时间</w:t>
                  </w:r>
                  <w:r>
                    <w:rPr>
                      <w:rFonts w:hint="eastAsia"/>
                      <w:color w:val="auto"/>
                      <w:lang w:eastAsia="zh-CN"/>
                    </w:rPr>
                    <w:t>，</w:t>
                  </w:r>
                  <w:r>
                    <w:rPr>
                      <w:rFonts w:hint="eastAsia"/>
                      <w:color w:val="auto"/>
                    </w:rPr>
                    <w:t>s</w:t>
                  </w:r>
                </w:p>
              </w:tc>
              <w:tc>
                <w:tcPr>
                  <w:tcW w:w="1595" w:type="pct"/>
                  <w:vAlign w:val="center"/>
                </w:tcPr>
                <w:p w14:paraId="6946B08C">
                  <w:pPr>
                    <w:pStyle w:val="101"/>
                    <w:rPr>
                      <w:color w:val="auto"/>
                    </w:rPr>
                  </w:pPr>
                  <w:r>
                    <w:rPr>
                      <w:rFonts w:hint="eastAsia"/>
                      <w:color w:val="auto"/>
                    </w:rPr>
                    <w:t>≤10</w:t>
                  </w:r>
                </w:p>
              </w:tc>
            </w:tr>
            <w:tr w14:paraId="4FF587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27CC96A3">
                  <w:pPr>
                    <w:pStyle w:val="101"/>
                    <w:rPr>
                      <w:color w:val="auto"/>
                    </w:rPr>
                  </w:pPr>
                </w:p>
              </w:tc>
              <w:tc>
                <w:tcPr>
                  <w:tcW w:w="269" w:type="pct"/>
                  <w:vMerge w:val="continue"/>
                  <w:vAlign w:val="center"/>
                </w:tcPr>
                <w:p w14:paraId="444E56C2">
                  <w:pPr>
                    <w:pStyle w:val="101"/>
                    <w:rPr>
                      <w:color w:val="auto"/>
                    </w:rPr>
                  </w:pPr>
                </w:p>
              </w:tc>
              <w:tc>
                <w:tcPr>
                  <w:tcW w:w="1197" w:type="pct"/>
                  <w:vMerge w:val="continue"/>
                  <w:vAlign w:val="center"/>
                </w:tcPr>
                <w:p w14:paraId="722B23C0">
                  <w:pPr>
                    <w:pStyle w:val="101"/>
                    <w:rPr>
                      <w:color w:val="auto"/>
                    </w:rPr>
                  </w:pPr>
                </w:p>
              </w:tc>
              <w:tc>
                <w:tcPr>
                  <w:tcW w:w="1272" w:type="pct"/>
                  <w:vAlign w:val="center"/>
                </w:tcPr>
                <w:p w14:paraId="1E3B1B25">
                  <w:pPr>
                    <w:pStyle w:val="101"/>
                    <w:rPr>
                      <w:color w:val="auto"/>
                    </w:rPr>
                  </w:pPr>
                  <w:r>
                    <w:rPr>
                      <w:rFonts w:hint="eastAsia"/>
                      <w:color w:val="auto"/>
                    </w:rPr>
                    <w:t>火焰扩展长度</w:t>
                  </w:r>
                  <w:r>
                    <w:rPr>
                      <w:rFonts w:hint="eastAsia"/>
                      <w:color w:val="auto"/>
                      <w:lang w:eastAsia="zh-CN"/>
                    </w:rPr>
                    <w:t>，</w:t>
                  </w:r>
                  <w:r>
                    <w:rPr>
                      <w:rFonts w:hint="eastAsia"/>
                      <w:color w:val="auto"/>
                    </w:rPr>
                    <w:t>mm</w:t>
                  </w:r>
                </w:p>
              </w:tc>
              <w:tc>
                <w:tcPr>
                  <w:tcW w:w="1595" w:type="pct"/>
                  <w:vAlign w:val="center"/>
                </w:tcPr>
                <w:p w14:paraId="04E5323B">
                  <w:pPr>
                    <w:pStyle w:val="101"/>
                    <w:rPr>
                      <w:color w:val="auto"/>
                    </w:rPr>
                  </w:pPr>
                  <w:r>
                    <w:rPr>
                      <w:rFonts w:hint="eastAsia"/>
                      <w:color w:val="auto"/>
                    </w:rPr>
                    <w:t>≤280</w:t>
                  </w:r>
                </w:p>
              </w:tc>
            </w:tr>
            <w:tr w14:paraId="7A76CE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504A7197">
                  <w:pPr>
                    <w:pStyle w:val="101"/>
                    <w:rPr>
                      <w:color w:val="auto"/>
                    </w:rPr>
                  </w:pPr>
                </w:p>
              </w:tc>
              <w:tc>
                <w:tcPr>
                  <w:tcW w:w="269" w:type="pct"/>
                  <w:vMerge w:val="continue"/>
                  <w:vAlign w:val="center"/>
                </w:tcPr>
                <w:p w14:paraId="6F9499F2">
                  <w:pPr>
                    <w:pStyle w:val="101"/>
                    <w:rPr>
                      <w:color w:val="auto"/>
                    </w:rPr>
                  </w:pPr>
                </w:p>
              </w:tc>
              <w:tc>
                <w:tcPr>
                  <w:tcW w:w="1197" w:type="pct"/>
                  <w:vMerge w:val="restart"/>
                  <w:vAlign w:val="center"/>
                </w:tcPr>
                <w:p w14:paraId="536D94FB">
                  <w:pPr>
                    <w:pStyle w:val="101"/>
                    <w:rPr>
                      <w:color w:val="auto"/>
                    </w:rPr>
                  </w:pPr>
                  <w:r>
                    <w:rPr>
                      <w:rFonts w:hint="eastAsia"/>
                      <w:color w:val="auto"/>
                    </w:rPr>
                    <w:t>酒精灯燃烧试验</w:t>
                  </w:r>
                </w:p>
              </w:tc>
              <w:tc>
                <w:tcPr>
                  <w:tcW w:w="1272" w:type="pct"/>
                  <w:vAlign w:val="center"/>
                </w:tcPr>
                <w:p w14:paraId="62990959">
                  <w:pPr>
                    <w:pStyle w:val="101"/>
                    <w:rPr>
                      <w:color w:val="auto"/>
                    </w:rPr>
                  </w:pPr>
                  <w:r>
                    <w:rPr>
                      <w:rFonts w:hint="eastAsia"/>
                      <w:color w:val="auto"/>
                    </w:rPr>
                    <w:t>有焰燃烧时间</w:t>
                  </w:r>
                  <w:r>
                    <w:rPr>
                      <w:rFonts w:hint="eastAsia"/>
                      <w:color w:val="auto"/>
                      <w:lang w:eastAsia="zh-CN"/>
                    </w:rPr>
                    <w:t>，</w:t>
                  </w:r>
                  <w:r>
                    <w:rPr>
                      <w:rFonts w:hint="eastAsia"/>
                      <w:color w:val="auto"/>
                    </w:rPr>
                    <w:t>s</w:t>
                  </w:r>
                </w:p>
              </w:tc>
              <w:tc>
                <w:tcPr>
                  <w:tcW w:w="1595" w:type="pct"/>
                  <w:vAlign w:val="center"/>
                </w:tcPr>
                <w:p w14:paraId="143A3CD9">
                  <w:pPr>
                    <w:pStyle w:val="101"/>
                    <w:rPr>
                      <w:color w:val="auto"/>
                    </w:rPr>
                  </w:pPr>
                  <w:r>
                    <w:rPr>
                      <w:rFonts w:hint="eastAsia"/>
                      <w:color w:val="auto"/>
                    </w:rPr>
                    <w:t>≤6</w:t>
                  </w:r>
                </w:p>
              </w:tc>
            </w:tr>
            <w:tr w14:paraId="409415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667" w:type="pct"/>
                  <w:vMerge w:val="continue"/>
                  <w:vAlign w:val="center"/>
                </w:tcPr>
                <w:p w14:paraId="1B1591DF">
                  <w:pPr>
                    <w:pStyle w:val="101"/>
                    <w:rPr>
                      <w:color w:val="auto"/>
                    </w:rPr>
                  </w:pPr>
                </w:p>
              </w:tc>
              <w:tc>
                <w:tcPr>
                  <w:tcW w:w="269" w:type="pct"/>
                  <w:vMerge w:val="continue"/>
                  <w:vAlign w:val="center"/>
                </w:tcPr>
                <w:p w14:paraId="6050BE60">
                  <w:pPr>
                    <w:pStyle w:val="101"/>
                    <w:rPr>
                      <w:color w:val="auto"/>
                    </w:rPr>
                  </w:pPr>
                </w:p>
              </w:tc>
              <w:tc>
                <w:tcPr>
                  <w:tcW w:w="1197" w:type="pct"/>
                  <w:vMerge w:val="continue"/>
                  <w:vAlign w:val="center"/>
                </w:tcPr>
                <w:p w14:paraId="4509E73C">
                  <w:pPr>
                    <w:pStyle w:val="101"/>
                    <w:rPr>
                      <w:color w:val="auto"/>
                    </w:rPr>
                  </w:pPr>
                </w:p>
              </w:tc>
              <w:tc>
                <w:tcPr>
                  <w:tcW w:w="1272" w:type="pct"/>
                  <w:vAlign w:val="center"/>
                </w:tcPr>
                <w:p w14:paraId="63A94C87">
                  <w:pPr>
                    <w:pStyle w:val="101"/>
                    <w:rPr>
                      <w:color w:val="auto"/>
                    </w:rPr>
                  </w:pPr>
                  <w:r>
                    <w:rPr>
                      <w:rFonts w:hint="eastAsia"/>
                      <w:color w:val="auto"/>
                    </w:rPr>
                    <w:t>无焰燃烧时间</w:t>
                  </w:r>
                  <w:r>
                    <w:rPr>
                      <w:rFonts w:hint="eastAsia"/>
                      <w:color w:val="auto"/>
                      <w:lang w:eastAsia="zh-CN"/>
                    </w:rPr>
                    <w:t>，</w:t>
                  </w:r>
                  <w:r>
                    <w:rPr>
                      <w:rFonts w:hint="eastAsia"/>
                      <w:color w:val="auto"/>
                    </w:rPr>
                    <w:t>s</w:t>
                  </w:r>
                </w:p>
              </w:tc>
              <w:tc>
                <w:tcPr>
                  <w:tcW w:w="1595" w:type="pct"/>
                  <w:vAlign w:val="center"/>
                </w:tcPr>
                <w:p w14:paraId="54E2B48D">
                  <w:pPr>
                    <w:pStyle w:val="101"/>
                    <w:rPr>
                      <w:color w:val="auto"/>
                    </w:rPr>
                  </w:pPr>
                  <w:r>
                    <w:rPr>
                      <w:rFonts w:hint="eastAsia"/>
                      <w:color w:val="auto"/>
                    </w:rPr>
                    <w:t>≤20</w:t>
                  </w:r>
                </w:p>
              </w:tc>
            </w:tr>
            <w:tr w14:paraId="7F446E0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4EABA78D">
                  <w:pPr>
                    <w:pStyle w:val="101"/>
                    <w:rPr>
                      <w:color w:val="auto"/>
                    </w:rPr>
                  </w:pPr>
                </w:p>
              </w:tc>
              <w:tc>
                <w:tcPr>
                  <w:tcW w:w="269" w:type="pct"/>
                  <w:vMerge w:val="continue"/>
                  <w:vAlign w:val="center"/>
                </w:tcPr>
                <w:p w14:paraId="5F6347DC">
                  <w:pPr>
                    <w:pStyle w:val="101"/>
                    <w:rPr>
                      <w:color w:val="auto"/>
                    </w:rPr>
                  </w:pPr>
                </w:p>
              </w:tc>
              <w:tc>
                <w:tcPr>
                  <w:tcW w:w="1197" w:type="pct"/>
                  <w:vMerge w:val="continue"/>
                  <w:vAlign w:val="center"/>
                </w:tcPr>
                <w:p w14:paraId="3D6789B2">
                  <w:pPr>
                    <w:pStyle w:val="101"/>
                    <w:rPr>
                      <w:color w:val="auto"/>
                    </w:rPr>
                  </w:pPr>
                </w:p>
              </w:tc>
              <w:tc>
                <w:tcPr>
                  <w:tcW w:w="1272" w:type="pct"/>
                  <w:vAlign w:val="center"/>
                </w:tcPr>
                <w:p w14:paraId="61A7B67D">
                  <w:pPr>
                    <w:pStyle w:val="101"/>
                    <w:rPr>
                      <w:color w:val="auto"/>
                    </w:rPr>
                  </w:pPr>
                  <w:r>
                    <w:rPr>
                      <w:rFonts w:hint="eastAsia"/>
                      <w:color w:val="auto"/>
                    </w:rPr>
                    <w:t>火焰扩展长度</w:t>
                  </w:r>
                  <w:r>
                    <w:rPr>
                      <w:rFonts w:hint="eastAsia"/>
                      <w:color w:val="auto"/>
                      <w:lang w:eastAsia="zh-CN"/>
                    </w:rPr>
                    <w:t>，</w:t>
                  </w:r>
                  <w:r>
                    <w:rPr>
                      <w:rFonts w:hint="eastAsia"/>
                      <w:color w:val="auto"/>
                    </w:rPr>
                    <w:t>mm</w:t>
                  </w:r>
                </w:p>
              </w:tc>
              <w:tc>
                <w:tcPr>
                  <w:tcW w:w="1595" w:type="pct"/>
                  <w:vAlign w:val="center"/>
                </w:tcPr>
                <w:p w14:paraId="5DC85C65">
                  <w:pPr>
                    <w:pStyle w:val="101"/>
                    <w:rPr>
                      <w:color w:val="auto"/>
                    </w:rPr>
                  </w:pPr>
                  <w:r>
                    <w:rPr>
                      <w:rFonts w:hint="eastAsia"/>
                      <w:color w:val="auto"/>
                    </w:rPr>
                    <w:t>≤250</w:t>
                  </w:r>
                </w:p>
              </w:tc>
            </w:tr>
            <w:tr w14:paraId="0414597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restart"/>
                  <w:vAlign w:val="center"/>
                </w:tcPr>
                <w:p w14:paraId="72BD36A5">
                  <w:pPr>
                    <w:pStyle w:val="101"/>
                    <w:rPr>
                      <w:color w:val="auto"/>
                    </w:rPr>
                  </w:pPr>
                  <w:r>
                    <w:rPr>
                      <w:rFonts w:hint="eastAsia"/>
                      <w:color w:val="auto"/>
                    </w:rPr>
                    <w:t>强度性能</w:t>
                  </w:r>
                </w:p>
              </w:tc>
              <w:tc>
                <w:tcPr>
                  <w:tcW w:w="2738" w:type="pct"/>
                  <w:gridSpan w:val="3"/>
                  <w:vAlign w:val="center"/>
                </w:tcPr>
                <w:p w14:paraId="779A9366">
                  <w:pPr>
                    <w:pStyle w:val="101"/>
                    <w:rPr>
                      <w:color w:val="auto"/>
                    </w:rPr>
                  </w:pPr>
                  <w:r>
                    <w:rPr>
                      <w:rFonts w:hint="eastAsia"/>
                      <w:color w:val="auto"/>
                    </w:rPr>
                    <w:t>抗压强度</w:t>
                  </w:r>
                  <w:r>
                    <w:rPr>
                      <w:rFonts w:hint="eastAsia"/>
                      <w:color w:val="auto"/>
                      <w:lang w:eastAsia="zh-CN"/>
                    </w:rPr>
                    <w:t>，</w:t>
                  </w:r>
                  <w:r>
                    <w:rPr>
                      <w:rFonts w:hint="eastAsia"/>
                      <w:color w:val="auto"/>
                    </w:rPr>
                    <w:t>MPa</w:t>
                  </w:r>
                </w:p>
              </w:tc>
              <w:tc>
                <w:tcPr>
                  <w:tcW w:w="1595" w:type="pct"/>
                  <w:vAlign w:val="center"/>
                </w:tcPr>
                <w:p w14:paraId="1970F420">
                  <w:pPr>
                    <w:pStyle w:val="101"/>
                    <w:rPr>
                      <w:color w:val="auto"/>
                    </w:rPr>
                  </w:pPr>
                  <w:r>
                    <w:rPr>
                      <w:rFonts w:hint="eastAsia"/>
                      <w:color w:val="auto"/>
                      <w:szCs w:val="21"/>
                    </w:rPr>
                    <w:t>≥40</w:t>
                  </w:r>
                </w:p>
              </w:tc>
            </w:tr>
            <w:tr w14:paraId="10F179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02023929">
                  <w:pPr>
                    <w:pStyle w:val="101"/>
                    <w:rPr>
                      <w:color w:val="auto"/>
                    </w:rPr>
                  </w:pPr>
                </w:p>
              </w:tc>
              <w:tc>
                <w:tcPr>
                  <w:tcW w:w="2738" w:type="pct"/>
                  <w:gridSpan w:val="3"/>
                  <w:vAlign w:val="center"/>
                </w:tcPr>
                <w:p w14:paraId="26264497">
                  <w:pPr>
                    <w:pStyle w:val="101"/>
                    <w:rPr>
                      <w:color w:val="auto"/>
                    </w:rPr>
                  </w:pPr>
                  <w:r>
                    <w:rPr>
                      <w:rFonts w:hint="eastAsia"/>
                      <w:color w:val="auto"/>
                    </w:rPr>
                    <w:t>抗拉强度</w:t>
                  </w:r>
                  <w:r>
                    <w:rPr>
                      <w:rFonts w:hint="eastAsia"/>
                      <w:color w:val="auto"/>
                      <w:lang w:eastAsia="zh-CN"/>
                    </w:rPr>
                    <w:t>，</w:t>
                  </w:r>
                  <w:r>
                    <w:rPr>
                      <w:rFonts w:hint="eastAsia"/>
                      <w:color w:val="auto"/>
                    </w:rPr>
                    <w:t>MPa</w:t>
                  </w:r>
                </w:p>
              </w:tc>
              <w:tc>
                <w:tcPr>
                  <w:tcW w:w="1595" w:type="pct"/>
                  <w:vAlign w:val="center"/>
                </w:tcPr>
                <w:p w14:paraId="2DC70629">
                  <w:pPr>
                    <w:pStyle w:val="101"/>
                    <w:rPr>
                      <w:color w:val="auto"/>
                    </w:rPr>
                  </w:pPr>
                  <w:r>
                    <w:rPr>
                      <w:rFonts w:hint="eastAsia"/>
                      <w:color w:val="auto"/>
                      <w:szCs w:val="21"/>
                    </w:rPr>
                    <w:t>≥</w:t>
                  </w:r>
                  <w:r>
                    <w:rPr>
                      <w:color w:val="auto"/>
                      <w:szCs w:val="21"/>
                    </w:rPr>
                    <w:t>5</w:t>
                  </w:r>
                </w:p>
              </w:tc>
            </w:tr>
            <w:tr w14:paraId="07EFEC9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340F764B">
                  <w:pPr>
                    <w:pStyle w:val="101"/>
                    <w:rPr>
                      <w:color w:val="auto"/>
                    </w:rPr>
                  </w:pPr>
                </w:p>
              </w:tc>
              <w:tc>
                <w:tcPr>
                  <w:tcW w:w="2738" w:type="pct"/>
                  <w:gridSpan w:val="3"/>
                  <w:vAlign w:val="center"/>
                </w:tcPr>
                <w:p w14:paraId="0EB10B6E">
                  <w:pPr>
                    <w:pStyle w:val="101"/>
                    <w:rPr>
                      <w:color w:val="auto"/>
                    </w:rPr>
                  </w:pPr>
                  <w:r>
                    <w:rPr>
                      <w:rFonts w:hint="eastAsia"/>
                      <w:color w:val="auto"/>
                    </w:rPr>
                    <w:t>抗剪强度</w:t>
                  </w:r>
                  <w:r>
                    <w:rPr>
                      <w:rFonts w:hint="eastAsia"/>
                      <w:color w:val="auto"/>
                      <w:lang w:eastAsia="zh-CN"/>
                    </w:rPr>
                    <w:t>，</w:t>
                  </w:r>
                  <w:r>
                    <w:rPr>
                      <w:rFonts w:hint="eastAsia"/>
                      <w:color w:val="auto"/>
                    </w:rPr>
                    <w:t>MPa</w:t>
                  </w:r>
                </w:p>
              </w:tc>
              <w:tc>
                <w:tcPr>
                  <w:tcW w:w="1595" w:type="pct"/>
                  <w:vAlign w:val="center"/>
                </w:tcPr>
                <w:p w14:paraId="1CC1494B">
                  <w:pPr>
                    <w:pStyle w:val="101"/>
                    <w:rPr>
                      <w:color w:val="auto"/>
                    </w:rPr>
                  </w:pPr>
                  <w:r>
                    <w:rPr>
                      <w:rFonts w:hint="eastAsia"/>
                      <w:color w:val="auto"/>
                      <w:szCs w:val="21"/>
                    </w:rPr>
                    <w:t>≥1</w:t>
                  </w:r>
                  <w:r>
                    <w:rPr>
                      <w:color w:val="auto"/>
                      <w:szCs w:val="21"/>
                    </w:rPr>
                    <w:t>5</w:t>
                  </w:r>
                </w:p>
              </w:tc>
            </w:tr>
            <w:tr w14:paraId="235FB5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20781520">
                  <w:pPr>
                    <w:pStyle w:val="101"/>
                    <w:rPr>
                      <w:color w:val="auto"/>
                    </w:rPr>
                  </w:pPr>
                </w:p>
              </w:tc>
              <w:tc>
                <w:tcPr>
                  <w:tcW w:w="2738" w:type="pct"/>
                  <w:gridSpan w:val="3"/>
                  <w:vAlign w:val="center"/>
                </w:tcPr>
                <w:p w14:paraId="6E6DD776">
                  <w:pPr>
                    <w:pStyle w:val="101"/>
                    <w:rPr>
                      <w:color w:val="auto"/>
                    </w:rPr>
                  </w:pPr>
                  <w:r>
                    <w:rPr>
                      <w:rFonts w:hint="eastAsia"/>
                      <w:color w:val="auto"/>
                    </w:rPr>
                    <w:t>粘结强度</w:t>
                  </w:r>
                  <w:r>
                    <w:rPr>
                      <w:rFonts w:hint="eastAsia"/>
                      <w:color w:val="auto"/>
                      <w:lang w:eastAsia="zh-CN"/>
                    </w:rPr>
                    <w:t>，</w:t>
                  </w:r>
                  <w:r>
                    <w:rPr>
                      <w:rFonts w:hint="eastAsia"/>
                      <w:color w:val="auto"/>
                    </w:rPr>
                    <w:t>MPa</w:t>
                  </w:r>
                </w:p>
              </w:tc>
              <w:tc>
                <w:tcPr>
                  <w:tcW w:w="1595" w:type="pct"/>
                  <w:vAlign w:val="center"/>
                </w:tcPr>
                <w:p w14:paraId="7DBB24FF">
                  <w:pPr>
                    <w:pStyle w:val="101"/>
                    <w:rPr>
                      <w:color w:val="auto"/>
                    </w:rPr>
                  </w:pPr>
                  <w:r>
                    <w:rPr>
                      <w:rFonts w:hint="eastAsia"/>
                      <w:color w:val="auto"/>
                    </w:rPr>
                    <w:t>≥3.0</w:t>
                  </w:r>
                </w:p>
              </w:tc>
            </w:tr>
            <w:tr w14:paraId="3310AF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667" w:type="pct"/>
                  <w:vMerge w:val="continue"/>
                  <w:vAlign w:val="center"/>
                </w:tcPr>
                <w:p w14:paraId="45EC45B2">
                  <w:pPr>
                    <w:pStyle w:val="101"/>
                    <w:rPr>
                      <w:color w:val="auto"/>
                    </w:rPr>
                  </w:pPr>
                </w:p>
              </w:tc>
              <w:tc>
                <w:tcPr>
                  <w:tcW w:w="2738" w:type="pct"/>
                  <w:gridSpan w:val="3"/>
                  <w:vAlign w:val="center"/>
                </w:tcPr>
                <w:p w14:paraId="257620FB">
                  <w:pPr>
                    <w:pStyle w:val="101"/>
                    <w:rPr>
                      <w:color w:val="auto"/>
                    </w:rPr>
                  </w:pPr>
                  <w:r>
                    <w:rPr>
                      <w:rFonts w:hint="eastAsia"/>
                      <w:color w:val="auto"/>
                    </w:rPr>
                    <w:t>标准砂固结体抗压强度</w:t>
                  </w:r>
                  <w:r>
                    <w:rPr>
                      <w:rFonts w:hint="eastAsia"/>
                      <w:color w:val="auto"/>
                      <w:lang w:eastAsia="zh-CN"/>
                    </w:rPr>
                    <w:t>，</w:t>
                  </w:r>
                  <w:r>
                    <w:rPr>
                      <w:rFonts w:hint="eastAsia"/>
                      <w:color w:val="auto"/>
                    </w:rPr>
                    <w:t>MPa</w:t>
                  </w:r>
                </w:p>
              </w:tc>
              <w:tc>
                <w:tcPr>
                  <w:tcW w:w="1595" w:type="pct"/>
                  <w:vAlign w:val="center"/>
                </w:tcPr>
                <w:p w14:paraId="733ECA8D">
                  <w:pPr>
                    <w:pStyle w:val="101"/>
                    <w:rPr>
                      <w:color w:val="auto"/>
                    </w:rPr>
                  </w:pPr>
                  <w:r>
                    <w:rPr>
                      <w:rFonts w:hint="eastAsia"/>
                      <w:color w:val="auto"/>
                    </w:rPr>
                    <w:t>≥30</w:t>
                  </w:r>
                </w:p>
              </w:tc>
            </w:tr>
          </w:tbl>
          <w:p w14:paraId="23BF36E9">
            <w:pPr>
              <w:pStyle w:val="114"/>
              <w:rPr>
                <w:color w:val="auto"/>
                <w:highlight w:val="none"/>
              </w:rPr>
            </w:pPr>
            <w:r>
              <w:rPr>
                <w:color w:val="auto"/>
                <w:highlight w:val="none"/>
              </w:rPr>
              <w:t xml:space="preserve">表2-6  </w:t>
            </w:r>
            <w:r>
              <w:rPr>
                <w:rFonts w:hint="eastAsia"/>
                <w:color w:val="auto"/>
                <w:highlight w:val="none"/>
              </w:rPr>
              <w:t>物料平衡</w:t>
            </w:r>
            <w:r>
              <w:rPr>
                <w:color w:val="auto"/>
                <w:highlight w:val="none"/>
              </w:rPr>
              <w:t>表</w:t>
            </w:r>
            <w:r>
              <w:rPr>
                <w:rFonts w:hint="eastAsia"/>
                <w:color w:val="auto"/>
                <w:highlight w:val="none"/>
              </w:rPr>
              <w:t xml:space="preserve"> </w:t>
            </w:r>
            <w:r>
              <w:rPr>
                <w:color w:val="auto"/>
                <w:highlight w:val="none"/>
              </w:rPr>
              <w:t xml:space="preserve">  </w:t>
            </w:r>
            <w:r>
              <w:rPr>
                <w:rFonts w:hint="eastAsia"/>
                <w:color w:val="auto"/>
                <w:highlight w:val="none"/>
              </w:rPr>
              <w:t>单位：t</w:t>
            </w:r>
            <w:r>
              <w:rPr>
                <w:color w:val="auto"/>
                <w:highlight w:val="none"/>
              </w:rPr>
              <w:t>/</w:t>
            </w:r>
            <w:r>
              <w:rPr>
                <w:rFonts w:hint="eastAsia"/>
                <w:color w:val="auto"/>
                <w:highlight w:val="none"/>
              </w:rPr>
              <w:t>a</w:t>
            </w:r>
          </w:p>
          <w:tbl>
            <w:tblPr>
              <w:tblStyle w:val="43"/>
              <w:tblW w:w="5000" w:type="pct"/>
              <w:jc w:val="center"/>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27"/>
              <w:gridCol w:w="1978"/>
              <w:gridCol w:w="1873"/>
              <w:gridCol w:w="1873"/>
              <w:gridCol w:w="1872"/>
            </w:tblGrid>
            <w:tr w14:paraId="7ACCA91F">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2777" w:type="pct"/>
                  <w:gridSpan w:val="3"/>
                  <w:vAlign w:val="center"/>
                </w:tcPr>
                <w:p w14:paraId="583B61BC">
                  <w:pPr>
                    <w:pStyle w:val="101"/>
                    <w:rPr>
                      <w:color w:val="auto"/>
                      <w:highlight w:val="none"/>
                    </w:rPr>
                  </w:pPr>
                  <w:r>
                    <w:rPr>
                      <w:rFonts w:hint="eastAsia"/>
                      <w:color w:val="auto"/>
                      <w:highlight w:val="none"/>
                    </w:rPr>
                    <w:t>输入</w:t>
                  </w:r>
                </w:p>
              </w:tc>
              <w:tc>
                <w:tcPr>
                  <w:tcW w:w="2223" w:type="pct"/>
                  <w:gridSpan w:val="2"/>
                  <w:vAlign w:val="center"/>
                </w:tcPr>
                <w:p w14:paraId="334FC253">
                  <w:pPr>
                    <w:pStyle w:val="101"/>
                    <w:rPr>
                      <w:color w:val="auto"/>
                      <w:highlight w:val="none"/>
                    </w:rPr>
                  </w:pPr>
                  <w:r>
                    <w:rPr>
                      <w:rFonts w:hint="eastAsia"/>
                      <w:color w:val="auto"/>
                      <w:highlight w:val="none"/>
                    </w:rPr>
                    <w:t>输出</w:t>
                  </w:r>
                </w:p>
              </w:tc>
            </w:tr>
            <w:tr w14:paraId="50AEF2E2">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PrEx>
              <w:trPr>
                <w:trHeight w:val="397" w:hRule="atLeast"/>
                <w:jc w:val="center"/>
              </w:trPr>
              <w:tc>
                <w:tcPr>
                  <w:tcW w:w="1665" w:type="pct"/>
                  <w:gridSpan w:val="2"/>
                  <w:vAlign w:val="center"/>
                </w:tcPr>
                <w:p w14:paraId="45268D36">
                  <w:pPr>
                    <w:pStyle w:val="101"/>
                    <w:rPr>
                      <w:color w:val="auto"/>
                      <w:highlight w:val="none"/>
                    </w:rPr>
                  </w:pPr>
                  <w:r>
                    <w:rPr>
                      <w:color w:val="auto"/>
                      <w:highlight w:val="none"/>
                    </w:rPr>
                    <w:t>名称</w:t>
                  </w:r>
                </w:p>
              </w:tc>
              <w:tc>
                <w:tcPr>
                  <w:tcW w:w="1112" w:type="pct"/>
                  <w:vAlign w:val="center"/>
                </w:tcPr>
                <w:p w14:paraId="39BA92D8">
                  <w:pPr>
                    <w:pStyle w:val="101"/>
                    <w:rPr>
                      <w:color w:val="auto"/>
                      <w:highlight w:val="none"/>
                    </w:rPr>
                  </w:pPr>
                  <w:r>
                    <w:rPr>
                      <w:rFonts w:hint="eastAsia"/>
                      <w:color w:val="auto"/>
                      <w:highlight w:val="none"/>
                    </w:rPr>
                    <w:t>数量</w:t>
                  </w:r>
                </w:p>
              </w:tc>
              <w:tc>
                <w:tcPr>
                  <w:tcW w:w="1112" w:type="pct"/>
                  <w:vAlign w:val="center"/>
                </w:tcPr>
                <w:p w14:paraId="4BC81292">
                  <w:pPr>
                    <w:pStyle w:val="101"/>
                    <w:rPr>
                      <w:color w:val="auto"/>
                      <w:highlight w:val="none"/>
                    </w:rPr>
                  </w:pPr>
                  <w:r>
                    <w:rPr>
                      <w:color w:val="auto"/>
                      <w:highlight w:val="none"/>
                    </w:rPr>
                    <w:t>名称</w:t>
                  </w:r>
                </w:p>
              </w:tc>
              <w:tc>
                <w:tcPr>
                  <w:tcW w:w="1111" w:type="pct"/>
                  <w:vAlign w:val="center"/>
                </w:tcPr>
                <w:p w14:paraId="32CCF910">
                  <w:pPr>
                    <w:pStyle w:val="101"/>
                    <w:rPr>
                      <w:color w:val="auto"/>
                      <w:highlight w:val="none"/>
                    </w:rPr>
                  </w:pPr>
                  <w:r>
                    <w:rPr>
                      <w:rFonts w:hint="eastAsia"/>
                      <w:color w:val="auto"/>
                      <w:highlight w:val="none"/>
                    </w:rPr>
                    <w:t>数量</w:t>
                  </w:r>
                </w:p>
              </w:tc>
            </w:tr>
            <w:tr w14:paraId="291B8331">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1" w:type="pct"/>
                  <w:vMerge w:val="restart"/>
                  <w:vAlign w:val="center"/>
                </w:tcPr>
                <w:p w14:paraId="7CDFBEA8">
                  <w:pPr>
                    <w:pStyle w:val="101"/>
                    <w:rPr>
                      <w:color w:val="auto"/>
                      <w:highlight w:val="none"/>
                    </w:rPr>
                  </w:pPr>
                  <w:r>
                    <w:rPr>
                      <w:rFonts w:hint="eastAsia"/>
                      <w:color w:val="auto"/>
                      <w:highlight w:val="none"/>
                    </w:rPr>
                    <w:t>A组分原料</w:t>
                  </w:r>
                </w:p>
              </w:tc>
              <w:tc>
                <w:tcPr>
                  <w:tcW w:w="1174" w:type="pct"/>
                  <w:vAlign w:val="center"/>
                </w:tcPr>
                <w:p w14:paraId="5E4FE94C">
                  <w:pPr>
                    <w:pStyle w:val="101"/>
                    <w:rPr>
                      <w:color w:val="auto"/>
                      <w:highlight w:val="none"/>
                    </w:rPr>
                  </w:pPr>
                  <w:r>
                    <w:rPr>
                      <w:rFonts w:hint="eastAsia"/>
                      <w:color w:val="auto"/>
                      <w:highlight w:val="none"/>
                    </w:rPr>
                    <w:t>硅酸钠</w:t>
                  </w:r>
                </w:p>
              </w:tc>
              <w:tc>
                <w:tcPr>
                  <w:tcW w:w="1873" w:type="dxa"/>
                  <w:vAlign w:val="center"/>
                </w:tcPr>
                <w:p w14:paraId="7DA32B32">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1370</w:t>
                  </w:r>
                </w:p>
              </w:tc>
              <w:tc>
                <w:tcPr>
                  <w:tcW w:w="1873" w:type="dxa"/>
                  <w:vAlign w:val="center"/>
                </w:tcPr>
                <w:p w14:paraId="610F23F6">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A</w:t>
                  </w:r>
                  <w:r>
                    <w:rPr>
                      <w:rFonts w:hint="eastAsia" w:ascii="宋体" w:hAnsi="宋体" w:eastAsia="宋体" w:cs="宋体"/>
                      <w:i w:val="0"/>
                      <w:iCs w:val="0"/>
                      <w:color w:val="000000"/>
                      <w:kern w:val="0"/>
                      <w:sz w:val="21"/>
                      <w:szCs w:val="21"/>
                      <w:u w:val="none"/>
                      <w:lang w:val="en-US" w:eastAsia="zh-CN" w:bidi="ar"/>
                    </w:rPr>
                    <w:t>组分产品</w:t>
                  </w:r>
                </w:p>
              </w:tc>
              <w:tc>
                <w:tcPr>
                  <w:tcW w:w="1871" w:type="dxa"/>
                  <w:vAlign w:val="center"/>
                </w:tcPr>
                <w:p w14:paraId="63B88727">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2050</w:t>
                  </w:r>
                </w:p>
              </w:tc>
            </w:tr>
            <w:tr w14:paraId="63EE42E4">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2C6E0894">
                  <w:pPr>
                    <w:pStyle w:val="101"/>
                    <w:rPr>
                      <w:color w:val="auto"/>
                      <w:highlight w:val="none"/>
                    </w:rPr>
                  </w:pPr>
                </w:p>
              </w:tc>
              <w:tc>
                <w:tcPr>
                  <w:tcW w:w="1174" w:type="pct"/>
                  <w:vAlign w:val="center"/>
                </w:tcPr>
                <w:p w14:paraId="274EB168">
                  <w:pPr>
                    <w:pStyle w:val="101"/>
                    <w:rPr>
                      <w:color w:val="auto"/>
                      <w:highlight w:val="none"/>
                    </w:rPr>
                  </w:pPr>
                  <w:r>
                    <w:rPr>
                      <w:rFonts w:hint="eastAsia"/>
                      <w:color w:val="auto"/>
                      <w:highlight w:val="none"/>
                    </w:rPr>
                    <w:t>多元醇</w:t>
                  </w:r>
                </w:p>
              </w:tc>
              <w:tc>
                <w:tcPr>
                  <w:tcW w:w="1873" w:type="dxa"/>
                  <w:vAlign w:val="center"/>
                </w:tcPr>
                <w:p w14:paraId="5686B24F">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57.026</w:t>
                  </w:r>
                </w:p>
              </w:tc>
              <w:tc>
                <w:tcPr>
                  <w:tcW w:w="1873" w:type="dxa"/>
                  <w:vAlign w:val="center"/>
                </w:tcPr>
                <w:p w14:paraId="780564E7">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B</w:t>
                  </w:r>
                  <w:r>
                    <w:rPr>
                      <w:rFonts w:hint="eastAsia" w:ascii="宋体" w:hAnsi="宋体" w:eastAsia="宋体" w:cs="宋体"/>
                      <w:i w:val="0"/>
                      <w:iCs w:val="0"/>
                      <w:color w:val="000000"/>
                      <w:kern w:val="0"/>
                      <w:sz w:val="21"/>
                      <w:szCs w:val="21"/>
                      <w:u w:val="none"/>
                      <w:lang w:val="en-US" w:eastAsia="zh-CN" w:bidi="ar"/>
                    </w:rPr>
                    <w:t>组分产品</w:t>
                  </w:r>
                </w:p>
              </w:tc>
              <w:tc>
                <w:tcPr>
                  <w:tcW w:w="1871" w:type="dxa"/>
                  <w:vAlign w:val="center"/>
                </w:tcPr>
                <w:p w14:paraId="7C9483FC">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950</w:t>
                  </w:r>
                </w:p>
              </w:tc>
            </w:tr>
            <w:tr w14:paraId="1BFF2D9D">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40E9C1DA">
                  <w:pPr>
                    <w:pStyle w:val="101"/>
                    <w:rPr>
                      <w:color w:val="auto"/>
                      <w:highlight w:val="none"/>
                    </w:rPr>
                  </w:pPr>
                </w:p>
              </w:tc>
              <w:tc>
                <w:tcPr>
                  <w:tcW w:w="1174" w:type="pct"/>
                  <w:vAlign w:val="center"/>
                </w:tcPr>
                <w:p w14:paraId="2C8B1B15">
                  <w:pPr>
                    <w:pStyle w:val="101"/>
                    <w:rPr>
                      <w:color w:val="auto"/>
                      <w:highlight w:val="none"/>
                    </w:rPr>
                  </w:pPr>
                  <w:r>
                    <w:rPr>
                      <w:rFonts w:hint="eastAsia"/>
                      <w:color w:val="auto"/>
                      <w:highlight w:val="none"/>
                    </w:rPr>
                    <w:t>甘油</w:t>
                  </w:r>
                </w:p>
              </w:tc>
              <w:tc>
                <w:tcPr>
                  <w:tcW w:w="1873" w:type="dxa"/>
                  <w:vAlign w:val="center"/>
                </w:tcPr>
                <w:p w14:paraId="6D178A4B">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623.106</w:t>
                  </w:r>
                </w:p>
              </w:tc>
              <w:tc>
                <w:tcPr>
                  <w:tcW w:w="1873" w:type="dxa"/>
                  <w:vAlign w:val="center"/>
                </w:tcPr>
                <w:p w14:paraId="51BF2D4F">
                  <w:pPr>
                    <w:keepNext w:val="0"/>
                    <w:keepLines w:val="0"/>
                    <w:widowControl/>
                    <w:suppressLineNumbers w:val="0"/>
                    <w:jc w:val="center"/>
                    <w:textAlignment w:val="center"/>
                    <w:rPr>
                      <w:color w:val="auto"/>
                      <w:highlight w:val="none"/>
                    </w:rPr>
                  </w:pPr>
                  <w:r>
                    <w:rPr>
                      <w:rFonts w:hint="eastAsia" w:ascii="宋体" w:hAnsi="宋体" w:eastAsia="宋体" w:cs="宋体"/>
                      <w:i w:val="0"/>
                      <w:iCs w:val="0"/>
                      <w:color w:val="000000"/>
                      <w:kern w:val="0"/>
                      <w:sz w:val="21"/>
                      <w:szCs w:val="21"/>
                      <w:u w:val="none"/>
                      <w:lang w:val="en-US" w:eastAsia="zh-CN" w:bidi="ar"/>
                    </w:rPr>
                    <w:t>废气损耗</w:t>
                  </w:r>
                </w:p>
              </w:tc>
              <w:tc>
                <w:tcPr>
                  <w:tcW w:w="1871" w:type="dxa"/>
                  <w:vAlign w:val="center"/>
                </w:tcPr>
                <w:p w14:paraId="0A928C1E">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0.37</w:t>
                  </w:r>
                </w:p>
              </w:tc>
            </w:tr>
            <w:tr w14:paraId="3498A505">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1" w:type="pct"/>
                  <w:vMerge w:val="restart"/>
                  <w:vAlign w:val="center"/>
                </w:tcPr>
                <w:p w14:paraId="192123CF">
                  <w:pPr>
                    <w:pStyle w:val="101"/>
                    <w:rPr>
                      <w:color w:val="auto"/>
                      <w:highlight w:val="none"/>
                    </w:rPr>
                  </w:pPr>
                  <w:r>
                    <w:rPr>
                      <w:rFonts w:hint="eastAsia"/>
                      <w:color w:val="auto"/>
                      <w:highlight w:val="none"/>
                    </w:rPr>
                    <w:t>B组分原料</w:t>
                  </w:r>
                </w:p>
              </w:tc>
              <w:tc>
                <w:tcPr>
                  <w:tcW w:w="1174" w:type="pct"/>
                  <w:vAlign w:val="center"/>
                </w:tcPr>
                <w:p w14:paraId="1CBCE986">
                  <w:pPr>
                    <w:pStyle w:val="101"/>
                    <w:rPr>
                      <w:color w:val="auto"/>
                      <w:highlight w:val="none"/>
                    </w:rPr>
                  </w:pPr>
                  <w:r>
                    <w:rPr>
                      <w:rFonts w:hint="eastAsia"/>
                      <w:color w:val="auto"/>
                      <w:highlight w:val="none"/>
                    </w:rPr>
                    <w:t>聚合M</w:t>
                  </w:r>
                  <w:r>
                    <w:rPr>
                      <w:color w:val="auto"/>
                      <w:highlight w:val="none"/>
                    </w:rPr>
                    <w:t>DI</w:t>
                  </w:r>
                </w:p>
              </w:tc>
              <w:tc>
                <w:tcPr>
                  <w:tcW w:w="1873" w:type="dxa"/>
                  <w:vAlign w:val="center"/>
                </w:tcPr>
                <w:p w14:paraId="43494A2C">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850.211</w:t>
                  </w:r>
                </w:p>
              </w:tc>
              <w:tc>
                <w:tcPr>
                  <w:tcW w:w="1873" w:type="dxa"/>
                  <w:vAlign w:val="center"/>
                </w:tcPr>
                <w:p w14:paraId="1C7DCF44">
                  <w:pPr>
                    <w:jc w:val="center"/>
                    <w:rPr>
                      <w:color w:val="auto"/>
                      <w:highlight w:val="none"/>
                    </w:rPr>
                  </w:pPr>
                </w:p>
              </w:tc>
              <w:tc>
                <w:tcPr>
                  <w:tcW w:w="1871" w:type="dxa"/>
                  <w:vAlign w:val="center"/>
                </w:tcPr>
                <w:p w14:paraId="477168CC">
                  <w:pPr>
                    <w:jc w:val="center"/>
                    <w:rPr>
                      <w:color w:val="auto"/>
                      <w:highlight w:val="none"/>
                    </w:rPr>
                  </w:pPr>
                </w:p>
              </w:tc>
            </w:tr>
            <w:tr w14:paraId="723B8C55">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PrEx>
              <w:trPr>
                <w:trHeight w:val="397" w:hRule="atLeast"/>
                <w:jc w:val="center"/>
              </w:trPr>
              <w:tc>
                <w:tcPr>
                  <w:tcW w:w="491" w:type="pct"/>
                  <w:vMerge w:val="continue"/>
                  <w:vAlign w:val="center"/>
                </w:tcPr>
                <w:p w14:paraId="4BA46FA8">
                  <w:pPr>
                    <w:pStyle w:val="101"/>
                    <w:rPr>
                      <w:color w:val="auto"/>
                      <w:highlight w:val="none"/>
                    </w:rPr>
                  </w:pPr>
                </w:p>
              </w:tc>
              <w:tc>
                <w:tcPr>
                  <w:tcW w:w="1174" w:type="pct"/>
                  <w:vAlign w:val="center"/>
                </w:tcPr>
                <w:p w14:paraId="7D8BB02C">
                  <w:pPr>
                    <w:pStyle w:val="101"/>
                    <w:rPr>
                      <w:color w:val="auto"/>
                      <w:highlight w:val="none"/>
                    </w:rPr>
                  </w:pPr>
                  <w:r>
                    <w:rPr>
                      <w:rFonts w:hint="eastAsia"/>
                      <w:color w:val="auto"/>
                      <w:highlight w:val="none"/>
                    </w:rPr>
                    <w:t>阻燃剂（</w:t>
                  </w:r>
                  <w:r>
                    <w:rPr>
                      <w:color w:val="auto"/>
                      <w:highlight w:val="none"/>
                    </w:rPr>
                    <w:t>TCPP</w:t>
                  </w:r>
                  <w:r>
                    <w:rPr>
                      <w:rFonts w:hint="eastAsia"/>
                      <w:color w:val="auto"/>
                      <w:highlight w:val="none"/>
                    </w:rPr>
                    <w:t>）</w:t>
                  </w:r>
                </w:p>
              </w:tc>
              <w:tc>
                <w:tcPr>
                  <w:tcW w:w="1873" w:type="dxa"/>
                  <w:vAlign w:val="center"/>
                </w:tcPr>
                <w:p w14:paraId="7E344F61">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50</w:t>
                  </w:r>
                </w:p>
              </w:tc>
              <w:tc>
                <w:tcPr>
                  <w:tcW w:w="1873" w:type="dxa"/>
                  <w:vAlign w:val="center"/>
                </w:tcPr>
                <w:p w14:paraId="5939C037">
                  <w:pPr>
                    <w:jc w:val="center"/>
                    <w:rPr>
                      <w:color w:val="auto"/>
                      <w:highlight w:val="none"/>
                    </w:rPr>
                  </w:pPr>
                </w:p>
              </w:tc>
              <w:tc>
                <w:tcPr>
                  <w:tcW w:w="1871" w:type="dxa"/>
                  <w:vAlign w:val="center"/>
                </w:tcPr>
                <w:p w14:paraId="72620F8C">
                  <w:pPr>
                    <w:jc w:val="center"/>
                    <w:rPr>
                      <w:color w:val="auto"/>
                      <w:highlight w:val="none"/>
                    </w:rPr>
                  </w:pPr>
                </w:p>
              </w:tc>
            </w:tr>
            <w:tr w14:paraId="5F989B47">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91" w:type="pct"/>
                  <w:vMerge w:val="continue"/>
                  <w:vAlign w:val="center"/>
                </w:tcPr>
                <w:p w14:paraId="1446AED0">
                  <w:pPr>
                    <w:pStyle w:val="101"/>
                    <w:rPr>
                      <w:color w:val="auto"/>
                      <w:highlight w:val="none"/>
                    </w:rPr>
                  </w:pPr>
                </w:p>
              </w:tc>
              <w:tc>
                <w:tcPr>
                  <w:tcW w:w="1174" w:type="pct"/>
                  <w:vAlign w:val="center"/>
                </w:tcPr>
                <w:p w14:paraId="0ED16949">
                  <w:pPr>
                    <w:pStyle w:val="101"/>
                    <w:rPr>
                      <w:color w:val="auto"/>
                      <w:highlight w:val="none"/>
                    </w:rPr>
                  </w:pPr>
                  <w:r>
                    <w:rPr>
                      <w:rFonts w:hint="eastAsia"/>
                      <w:color w:val="auto"/>
                      <w:highlight w:val="none"/>
                    </w:rPr>
                    <w:t>增塑剂（二丁酯）</w:t>
                  </w:r>
                </w:p>
              </w:tc>
              <w:tc>
                <w:tcPr>
                  <w:tcW w:w="1873" w:type="dxa"/>
                  <w:vAlign w:val="center"/>
                </w:tcPr>
                <w:p w14:paraId="64E1B76C">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50.027</w:t>
                  </w:r>
                </w:p>
              </w:tc>
              <w:tc>
                <w:tcPr>
                  <w:tcW w:w="1873" w:type="dxa"/>
                  <w:vAlign w:val="center"/>
                </w:tcPr>
                <w:p w14:paraId="23CFBDDF">
                  <w:pPr>
                    <w:jc w:val="center"/>
                    <w:rPr>
                      <w:color w:val="auto"/>
                      <w:highlight w:val="none"/>
                    </w:rPr>
                  </w:pPr>
                </w:p>
              </w:tc>
              <w:tc>
                <w:tcPr>
                  <w:tcW w:w="1871" w:type="dxa"/>
                  <w:vAlign w:val="center"/>
                </w:tcPr>
                <w:p w14:paraId="1B301B5C">
                  <w:pPr>
                    <w:jc w:val="center"/>
                    <w:rPr>
                      <w:color w:val="auto"/>
                      <w:highlight w:val="none"/>
                    </w:rPr>
                  </w:pPr>
                </w:p>
              </w:tc>
            </w:tr>
            <w:tr w14:paraId="47C20703">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5" w:type="pct"/>
                  <w:gridSpan w:val="2"/>
                  <w:vAlign w:val="center"/>
                </w:tcPr>
                <w:p w14:paraId="5D9D1525">
                  <w:pPr>
                    <w:pStyle w:val="101"/>
                    <w:rPr>
                      <w:color w:val="auto"/>
                      <w:highlight w:val="none"/>
                    </w:rPr>
                  </w:pPr>
                  <w:r>
                    <w:rPr>
                      <w:rFonts w:hint="eastAsia"/>
                      <w:color w:val="auto"/>
                      <w:highlight w:val="none"/>
                    </w:rPr>
                    <w:t>合计</w:t>
                  </w:r>
                </w:p>
              </w:tc>
              <w:tc>
                <w:tcPr>
                  <w:tcW w:w="1873" w:type="dxa"/>
                  <w:vAlign w:val="center"/>
                </w:tcPr>
                <w:p w14:paraId="59EA7076">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3000.37</w:t>
                  </w:r>
                </w:p>
              </w:tc>
              <w:tc>
                <w:tcPr>
                  <w:tcW w:w="1873" w:type="dxa"/>
                  <w:vAlign w:val="center"/>
                </w:tcPr>
                <w:p w14:paraId="162D2A6F">
                  <w:pPr>
                    <w:jc w:val="center"/>
                    <w:rPr>
                      <w:color w:val="auto"/>
                      <w:highlight w:val="none"/>
                    </w:rPr>
                  </w:pPr>
                </w:p>
              </w:tc>
              <w:tc>
                <w:tcPr>
                  <w:tcW w:w="1871" w:type="dxa"/>
                  <w:vAlign w:val="center"/>
                </w:tcPr>
                <w:p w14:paraId="36CE5FD8">
                  <w:pPr>
                    <w:keepNext w:val="0"/>
                    <w:keepLines w:val="0"/>
                    <w:widowControl/>
                    <w:suppressLineNumbers w:val="0"/>
                    <w:jc w:val="center"/>
                    <w:textAlignment w:val="center"/>
                    <w:rPr>
                      <w:color w:val="auto"/>
                      <w:highlight w:val="none"/>
                    </w:rPr>
                  </w:pPr>
                  <w:r>
                    <w:rPr>
                      <w:rFonts w:hint="default" w:ascii="Times New Roman" w:hAnsi="Times New Roman" w:eastAsia="宋体" w:cs="Times New Roman"/>
                      <w:i w:val="0"/>
                      <w:iCs w:val="0"/>
                      <w:color w:val="000000"/>
                      <w:kern w:val="0"/>
                      <w:sz w:val="21"/>
                      <w:szCs w:val="21"/>
                      <w:u w:val="none"/>
                      <w:lang w:val="en-US" w:eastAsia="zh-CN" w:bidi="ar"/>
                    </w:rPr>
                    <w:t>3000.37</w:t>
                  </w:r>
                </w:p>
              </w:tc>
            </w:tr>
          </w:tbl>
          <w:p w14:paraId="18FEC451">
            <w:pPr>
              <w:pStyle w:val="101"/>
              <w:rPr>
                <w:color w:val="auto"/>
              </w:rPr>
            </w:pPr>
          </w:p>
          <w:p w14:paraId="1B868461">
            <w:pPr>
              <w:pStyle w:val="101"/>
              <w:rPr>
                <w:color w:val="auto"/>
              </w:rPr>
            </w:pPr>
          </w:p>
          <w:p w14:paraId="4ECDEB7F">
            <w:pPr>
              <w:pStyle w:val="101"/>
              <w:rPr>
                <w:rStyle w:val="242"/>
                <w:b/>
                <w:color w:val="auto"/>
                <w:highlight w:val="none"/>
              </w:rPr>
            </w:pPr>
            <w:r>
              <w:rPr>
                <w:color w:val="auto"/>
              </w:rPr>
              <w:object>
                <v:shape id="_x0000_i1025" o:spt="75" type="#_x0000_t75" style="height:215.35pt;width:430.75pt;" o:ole="t" filled="f" o:preferrelative="t" stroked="f" coordsize="21600,21600">
                  <v:path/>
                  <v:fill on="f" focussize="0,0"/>
                  <v:stroke on="f"/>
                  <v:imagedata r:id="rId12" o:title=""/>
                  <o:lock v:ext="edit" aspectratio="f"/>
                  <w10:wrap type="none"/>
                  <w10:anchorlock/>
                </v:shape>
                <o:OLEObject Type="Embed" ProgID="Visio.Drawing.11" ShapeID="_x0000_i1025" DrawAspect="Content" ObjectID="_1468075725" r:id="rId11">
                  <o:LockedField>false</o:LockedField>
                </o:OLEObject>
              </w:object>
            </w:r>
            <w:r>
              <w:rPr>
                <w:rStyle w:val="242"/>
                <w:b/>
                <w:color w:val="auto"/>
                <w:highlight w:val="none"/>
              </w:rPr>
              <w:t>表2-1  物料平衡</w:t>
            </w:r>
            <w:r>
              <w:rPr>
                <w:rStyle w:val="242"/>
                <w:rFonts w:hint="eastAsia"/>
                <w:b/>
                <w:color w:val="auto"/>
                <w:highlight w:val="none"/>
              </w:rPr>
              <w:t xml:space="preserve">图 </w:t>
            </w:r>
            <w:r>
              <w:rPr>
                <w:rStyle w:val="242"/>
                <w:b/>
                <w:color w:val="auto"/>
                <w:highlight w:val="none"/>
              </w:rPr>
              <w:t xml:space="preserve">  单位：t/a</w:t>
            </w:r>
          </w:p>
          <w:p w14:paraId="7E328CA5">
            <w:pPr>
              <w:pStyle w:val="102"/>
              <w:ind w:firstLine="480"/>
              <w:rPr>
                <w:color w:val="auto"/>
              </w:rPr>
            </w:pPr>
            <w:r>
              <w:rPr>
                <w:color w:val="auto"/>
              </w:rPr>
              <w:t>4</w:t>
            </w:r>
            <w:r>
              <w:rPr>
                <w:rFonts w:hint="eastAsia"/>
                <w:color w:val="auto"/>
              </w:rPr>
              <w:t>、主要设备</w:t>
            </w:r>
          </w:p>
          <w:p w14:paraId="7A1D6241">
            <w:pPr>
              <w:pStyle w:val="102"/>
              <w:ind w:firstLine="480"/>
              <w:rPr>
                <w:color w:val="auto"/>
              </w:rPr>
            </w:pPr>
            <w:r>
              <w:rPr>
                <w:color w:val="auto"/>
              </w:rPr>
              <w:t>本项目所需主要设备见表2-7。</w:t>
            </w:r>
          </w:p>
          <w:p w14:paraId="043E1D35">
            <w:pPr>
              <w:pStyle w:val="114"/>
              <w:rPr>
                <w:color w:val="auto"/>
              </w:rPr>
            </w:pPr>
            <w:r>
              <w:rPr>
                <w:color w:val="auto"/>
              </w:rPr>
              <w:t xml:space="preserve">表2-7 </w:t>
            </w:r>
            <w:r>
              <w:rPr>
                <w:rFonts w:hint="eastAsia"/>
                <w:color w:val="auto"/>
              </w:rPr>
              <w:t xml:space="preserve"> </w:t>
            </w:r>
            <w:r>
              <w:rPr>
                <w:color w:val="auto"/>
              </w:rPr>
              <w:t>主要设备一览表</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1"/>
              <w:gridCol w:w="1697"/>
              <w:gridCol w:w="851"/>
              <w:gridCol w:w="851"/>
              <w:gridCol w:w="851"/>
              <w:gridCol w:w="3322"/>
            </w:tblGrid>
            <w:tr w14:paraId="5D3DBB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5" w:type="pct"/>
                  <w:vAlign w:val="center"/>
                </w:tcPr>
                <w:p w14:paraId="2A9CEA68">
                  <w:pPr>
                    <w:pStyle w:val="101"/>
                    <w:rPr>
                      <w:color w:val="auto"/>
                      <w:szCs w:val="21"/>
                    </w:rPr>
                  </w:pPr>
                  <w:r>
                    <w:rPr>
                      <w:color w:val="auto"/>
                      <w:szCs w:val="21"/>
                    </w:rPr>
                    <w:t>序号</w:t>
                  </w:r>
                </w:p>
              </w:tc>
              <w:tc>
                <w:tcPr>
                  <w:tcW w:w="1007" w:type="pct"/>
                  <w:vAlign w:val="center"/>
                </w:tcPr>
                <w:p w14:paraId="7EF78ED5">
                  <w:pPr>
                    <w:pStyle w:val="101"/>
                    <w:rPr>
                      <w:color w:val="auto"/>
                      <w:szCs w:val="21"/>
                    </w:rPr>
                  </w:pPr>
                  <w:r>
                    <w:rPr>
                      <w:color w:val="auto"/>
                      <w:szCs w:val="21"/>
                    </w:rPr>
                    <w:t>设备名称</w:t>
                  </w:r>
                </w:p>
              </w:tc>
              <w:tc>
                <w:tcPr>
                  <w:tcW w:w="505" w:type="pct"/>
                  <w:vAlign w:val="center"/>
                </w:tcPr>
                <w:p w14:paraId="1660BABC">
                  <w:pPr>
                    <w:pStyle w:val="101"/>
                    <w:rPr>
                      <w:color w:val="auto"/>
                      <w:szCs w:val="21"/>
                    </w:rPr>
                  </w:pPr>
                  <w:r>
                    <w:rPr>
                      <w:color w:val="auto"/>
                      <w:szCs w:val="21"/>
                    </w:rPr>
                    <w:t>规格</w:t>
                  </w:r>
                </w:p>
              </w:tc>
              <w:tc>
                <w:tcPr>
                  <w:tcW w:w="505" w:type="pct"/>
                  <w:vAlign w:val="center"/>
                </w:tcPr>
                <w:p w14:paraId="3DE51A0F">
                  <w:pPr>
                    <w:pStyle w:val="101"/>
                    <w:rPr>
                      <w:color w:val="auto"/>
                      <w:szCs w:val="21"/>
                    </w:rPr>
                  </w:pPr>
                  <w:r>
                    <w:rPr>
                      <w:color w:val="auto"/>
                      <w:szCs w:val="21"/>
                    </w:rPr>
                    <w:t>单位</w:t>
                  </w:r>
                </w:p>
              </w:tc>
              <w:tc>
                <w:tcPr>
                  <w:tcW w:w="505" w:type="pct"/>
                  <w:vAlign w:val="center"/>
                </w:tcPr>
                <w:p w14:paraId="08794F0E">
                  <w:pPr>
                    <w:pStyle w:val="101"/>
                    <w:rPr>
                      <w:color w:val="auto"/>
                      <w:szCs w:val="21"/>
                    </w:rPr>
                  </w:pPr>
                  <w:r>
                    <w:rPr>
                      <w:color w:val="auto"/>
                      <w:szCs w:val="21"/>
                    </w:rPr>
                    <w:t>数量</w:t>
                  </w:r>
                </w:p>
              </w:tc>
              <w:tc>
                <w:tcPr>
                  <w:tcW w:w="1970" w:type="pct"/>
                  <w:vAlign w:val="center"/>
                </w:tcPr>
                <w:p w14:paraId="4F6581EC">
                  <w:pPr>
                    <w:pStyle w:val="101"/>
                    <w:rPr>
                      <w:color w:val="auto"/>
                      <w:szCs w:val="21"/>
                    </w:rPr>
                  </w:pPr>
                  <w:r>
                    <w:rPr>
                      <w:color w:val="auto"/>
                      <w:szCs w:val="21"/>
                    </w:rPr>
                    <w:t>备注</w:t>
                  </w:r>
                </w:p>
              </w:tc>
            </w:tr>
            <w:tr w14:paraId="6EBF26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5" w:type="pct"/>
                  <w:vAlign w:val="center"/>
                </w:tcPr>
                <w:p w14:paraId="7896EA32">
                  <w:pPr>
                    <w:pStyle w:val="101"/>
                    <w:rPr>
                      <w:color w:val="auto"/>
                      <w:szCs w:val="21"/>
                    </w:rPr>
                  </w:pPr>
                  <w:r>
                    <w:rPr>
                      <w:color w:val="auto"/>
                      <w:szCs w:val="21"/>
                    </w:rPr>
                    <w:t>1</w:t>
                  </w:r>
                </w:p>
              </w:tc>
              <w:tc>
                <w:tcPr>
                  <w:tcW w:w="1007" w:type="pct"/>
                  <w:vAlign w:val="center"/>
                </w:tcPr>
                <w:p w14:paraId="71CBBBD9">
                  <w:pPr>
                    <w:jc w:val="center"/>
                    <w:rPr>
                      <w:bCs/>
                      <w:color w:val="auto"/>
                      <w:szCs w:val="21"/>
                    </w:rPr>
                  </w:pPr>
                  <w:r>
                    <w:rPr>
                      <w:rFonts w:hint="eastAsia"/>
                      <w:bCs/>
                      <w:color w:val="auto"/>
                      <w:szCs w:val="21"/>
                    </w:rPr>
                    <w:t>不锈钢储罐</w:t>
                  </w:r>
                </w:p>
              </w:tc>
              <w:tc>
                <w:tcPr>
                  <w:tcW w:w="505" w:type="pct"/>
                  <w:vAlign w:val="center"/>
                </w:tcPr>
                <w:p w14:paraId="41109539">
                  <w:pPr>
                    <w:jc w:val="center"/>
                    <w:rPr>
                      <w:bCs/>
                      <w:color w:val="auto"/>
                      <w:szCs w:val="21"/>
                    </w:rPr>
                  </w:pPr>
                  <w:r>
                    <w:rPr>
                      <w:rFonts w:hint="eastAsia"/>
                      <w:bCs/>
                      <w:color w:val="auto"/>
                      <w:szCs w:val="21"/>
                      <w:lang w:val="en-US" w:eastAsia="zh-CN"/>
                    </w:rPr>
                    <w:t>20</w:t>
                  </w:r>
                  <w:r>
                    <w:rPr>
                      <w:rFonts w:hint="eastAsia"/>
                      <w:bCs/>
                      <w:color w:val="auto"/>
                      <w:szCs w:val="21"/>
                    </w:rPr>
                    <w:t>m</w:t>
                  </w:r>
                  <w:r>
                    <w:rPr>
                      <w:bCs/>
                      <w:color w:val="auto"/>
                      <w:szCs w:val="21"/>
                      <w:vertAlign w:val="superscript"/>
                    </w:rPr>
                    <w:t>3</w:t>
                  </w:r>
                </w:p>
              </w:tc>
              <w:tc>
                <w:tcPr>
                  <w:tcW w:w="505" w:type="pct"/>
                  <w:vAlign w:val="center"/>
                </w:tcPr>
                <w:p w14:paraId="59205BFA">
                  <w:pPr>
                    <w:pStyle w:val="101"/>
                    <w:rPr>
                      <w:color w:val="auto"/>
                      <w:szCs w:val="21"/>
                    </w:rPr>
                  </w:pPr>
                  <w:r>
                    <w:rPr>
                      <w:rFonts w:hint="eastAsia"/>
                      <w:color w:val="auto"/>
                      <w:szCs w:val="21"/>
                    </w:rPr>
                    <w:t>个</w:t>
                  </w:r>
                </w:p>
              </w:tc>
              <w:tc>
                <w:tcPr>
                  <w:tcW w:w="505" w:type="pct"/>
                  <w:vAlign w:val="center"/>
                </w:tcPr>
                <w:p w14:paraId="33967326">
                  <w:pPr>
                    <w:pStyle w:val="101"/>
                    <w:rPr>
                      <w:rFonts w:hint="eastAsia" w:eastAsia="宋体"/>
                      <w:color w:val="auto"/>
                      <w:szCs w:val="21"/>
                      <w:lang w:eastAsia="zh-CN"/>
                    </w:rPr>
                  </w:pPr>
                  <w:r>
                    <w:rPr>
                      <w:rFonts w:hint="eastAsia"/>
                      <w:color w:val="auto"/>
                      <w:szCs w:val="21"/>
                      <w:lang w:val="en-US" w:eastAsia="zh-CN"/>
                    </w:rPr>
                    <w:t>2</w:t>
                  </w:r>
                </w:p>
              </w:tc>
              <w:tc>
                <w:tcPr>
                  <w:tcW w:w="1970" w:type="pct"/>
                  <w:vAlign w:val="center"/>
                </w:tcPr>
                <w:p w14:paraId="0856C7E0">
                  <w:pPr>
                    <w:pStyle w:val="101"/>
                    <w:rPr>
                      <w:rFonts w:hint="eastAsia" w:eastAsia="宋体"/>
                      <w:color w:val="auto"/>
                      <w:szCs w:val="21"/>
                      <w:lang w:val="en-US" w:eastAsia="zh-CN"/>
                    </w:rPr>
                  </w:pPr>
                  <w:r>
                    <w:rPr>
                      <w:rFonts w:hint="eastAsia"/>
                      <w:color w:val="auto"/>
                      <w:szCs w:val="21"/>
                      <w:lang w:val="en-US" w:eastAsia="zh-CN"/>
                    </w:rPr>
                    <w:t>贮存</w:t>
                  </w:r>
                  <w:r>
                    <w:rPr>
                      <w:rStyle w:val="100"/>
                      <w:rFonts w:hint="eastAsia"/>
                      <w:color w:val="auto"/>
                      <w:lang w:eastAsia="zh-CN"/>
                    </w:rPr>
                    <w:t>硅酸钠</w:t>
                  </w:r>
                  <w:r>
                    <w:rPr>
                      <w:rStyle w:val="100"/>
                      <w:rFonts w:hint="eastAsia"/>
                      <w:color w:val="auto"/>
                      <w:lang w:val="en-US" w:eastAsia="zh-CN"/>
                    </w:rPr>
                    <w:t>和</w:t>
                  </w:r>
                  <w:r>
                    <w:rPr>
                      <w:rStyle w:val="100"/>
                      <w:rFonts w:hint="eastAsia"/>
                      <w:color w:val="auto"/>
                      <w:lang w:eastAsia="zh-CN"/>
                    </w:rPr>
                    <w:t>聚合MDI</w:t>
                  </w:r>
                </w:p>
              </w:tc>
            </w:tr>
            <w:tr w14:paraId="574D59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5" w:type="pct"/>
                  <w:shd w:val="clear" w:color="auto" w:fill="auto"/>
                  <w:vAlign w:val="center"/>
                </w:tcPr>
                <w:p w14:paraId="5E272FA5">
                  <w:pPr>
                    <w:pStyle w:val="101"/>
                    <w:rPr>
                      <w:rFonts w:ascii="Times New Roman" w:hAnsi="Times New Roman" w:eastAsia="宋体" w:cs="Times New Roman"/>
                      <w:color w:val="auto"/>
                      <w:kern w:val="0"/>
                      <w:sz w:val="21"/>
                      <w:szCs w:val="21"/>
                      <w:lang w:val="en-US" w:eastAsia="zh-CN" w:bidi="ar-SA"/>
                    </w:rPr>
                  </w:pPr>
                  <w:r>
                    <w:rPr>
                      <w:rFonts w:hint="eastAsia"/>
                      <w:color w:val="auto"/>
                      <w:szCs w:val="21"/>
                    </w:rPr>
                    <w:t>2</w:t>
                  </w:r>
                </w:p>
              </w:tc>
              <w:tc>
                <w:tcPr>
                  <w:tcW w:w="1007" w:type="pct"/>
                  <w:shd w:val="clear" w:color="auto" w:fill="auto"/>
                  <w:vAlign w:val="center"/>
                </w:tcPr>
                <w:p w14:paraId="6CF23E9E">
                  <w:pPr>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rPr>
                    <w:t>不锈钢储罐</w:t>
                  </w:r>
                </w:p>
              </w:tc>
              <w:tc>
                <w:tcPr>
                  <w:tcW w:w="505" w:type="pct"/>
                  <w:shd w:val="clear" w:color="auto" w:fill="auto"/>
                  <w:vAlign w:val="center"/>
                </w:tcPr>
                <w:p w14:paraId="6BB60C12">
                  <w:pPr>
                    <w:jc w:val="center"/>
                    <w:rPr>
                      <w:rFonts w:ascii="Times New Roman" w:hAnsi="Times New Roman" w:eastAsia="宋体" w:cs="Times New Roman"/>
                      <w:bCs/>
                      <w:color w:val="auto"/>
                      <w:kern w:val="2"/>
                      <w:sz w:val="21"/>
                      <w:szCs w:val="21"/>
                      <w:lang w:val="en-US" w:eastAsia="zh-CN" w:bidi="ar-SA"/>
                    </w:rPr>
                  </w:pPr>
                  <w:r>
                    <w:rPr>
                      <w:rFonts w:hint="eastAsia"/>
                      <w:bCs/>
                      <w:color w:val="auto"/>
                      <w:szCs w:val="21"/>
                      <w:lang w:val="en-US" w:eastAsia="zh-CN"/>
                    </w:rPr>
                    <w:t>10</w:t>
                  </w:r>
                  <w:r>
                    <w:rPr>
                      <w:rFonts w:hint="eastAsia"/>
                      <w:bCs/>
                      <w:color w:val="auto"/>
                      <w:szCs w:val="21"/>
                    </w:rPr>
                    <w:t>m</w:t>
                  </w:r>
                  <w:r>
                    <w:rPr>
                      <w:bCs/>
                      <w:color w:val="auto"/>
                      <w:szCs w:val="21"/>
                      <w:vertAlign w:val="superscript"/>
                    </w:rPr>
                    <w:t>3</w:t>
                  </w:r>
                </w:p>
              </w:tc>
              <w:tc>
                <w:tcPr>
                  <w:tcW w:w="505" w:type="pct"/>
                  <w:shd w:val="clear" w:color="auto" w:fill="auto"/>
                  <w:vAlign w:val="center"/>
                </w:tcPr>
                <w:p w14:paraId="71FE1A85">
                  <w:pPr>
                    <w:pStyle w:val="101"/>
                    <w:rPr>
                      <w:rFonts w:hint="eastAsia" w:ascii="Times New Roman" w:hAnsi="Times New Roman" w:eastAsia="宋体" w:cs="Times New Roman"/>
                      <w:color w:val="auto"/>
                      <w:kern w:val="0"/>
                      <w:sz w:val="21"/>
                      <w:szCs w:val="21"/>
                      <w:lang w:val="en-US" w:eastAsia="zh-CN" w:bidi="ar-SA"/>
                    </w:rPr>
                  </w:pPr>
                  <w:r>
                    <w:rPr>
                      <w:rFonts w:hint="eastAsia"/>
                      <w:color w:val="auto"/>
                      <w:szCs w:val="21"/>
                    </w:rPr>
                    <w:t>个</w:t>
                  </w:r>
                </w:p>
              </w:tc>
              <w:tc>
                <w:tcPr>
                  <w:tcW w:w="505" w:type="pct"/>
                  <w:shd w:val="clear" w:color="auto" w:fill="auto"/>
                  <w:vAlign w:val="center"/>
                </w:tcPr>
                <w:p w14:paraId="4A44CE87">
                  <w:pPr>
                    <w:pStyle w:val="101"/>
                    <w:rPr>
                      <w:rFonts w:hint="eastAsia" w:ascii="Times New Roman" w:hAnsi="Times New Roman" w:eastAsia="宋体" w:cs="Times New Roman"/>
                      <w:color w:val="auto"/>
                      <w:kern w:val="0"/>
                      <w:sz w:val="21"/>
                      <w:szCs w:val="21"/>
                      <w:lang w:val="en-US" w:eastAsia="zh-CN" w:bidi="ar-SA"/>
                    </w:rPr>
                  </w:pPr>
                  <w:r>
                    <w:rPr>
                      <w:rFonts w:hint="eastAsia"/>
                      <w:color w:val="auto"/>
                      <w:szCs w:val="21"/>
                      <w:lang w:val="en-US" w:eastAsia="zh-CN"/>
                    </w:rPr>
                    <w:t>1</w:t>
                  </w:r>
                </w:p>
              </w:tc>
              <w:tc>
                <w:tcPr>
                  <w:tcW w:w="1970" w:type="pct"/>
                  <w:vAlign w:val="center"/>
                </w:tcPr>
                <w:p w14:paraId="02D0C9FD">
                  <w:pPr>
                    <w:pStyle w:val="101"/>
                    <w:rPr>
                      <w:rFonts w:hint="default"/>
                      <w:color w:val="auto"/>
                      <w:szCs w:val="21"/>
                      <w:lang w:val="en-US"/>
                    </w:rPr>
                  </w:pPr>
                  <w:r>
                    <w:rPr>
                      <w:rFonts w:hint="eastAsia"/>
                      <w:color w:val="auto"/>
                      <w:szCs w:val="21"/>
                      <w:lang w:val="en-US" w:eastAsia="zh-CN"/>
                    </w:rPr>
                    <w:t>贮存甘油</w:t>
                  </w:r>
                </w:p>
              </w:tc>
            </w:tr>
            <w:tr w14:paraId="103DD05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9" w:hRule="atLeast"/>
                <w:jc w:val="center"/>
              </w:trPr>
              <w:tc>
                <w:tcPr>
                  <w:tcW w:w="505" w:type="pct"/>
                  <w:shd w:val="clear" w:color="auto" w:fill="auto"/>
                  <w:vAlign w:val="center"/>
                </w:tcPr>
                <w:p w14:paraId="2F5FF758">
                  <w:pPr>
                    <w:pStyle w:val="101"/>
                    <w:rPr>
                      <w:rFonts w:ascii="Times New Roman" w:hAnsi="Times New Roman" w:eastAsia="宋体" w:cs="Times New Roman"/>
                      <w:color w:val="auto"/>
                      <w:kern w:val="0"/>
                      <w:sz w:val="21"/>
                      <w:szCs w:val="21"/>
                      <w:lang w:val="en-US" w:eastAsia="zh-CN" w:bidi="ar-SA"/>
                    </w:rPr>
                  </w:pPr>
                  <w:r>
                    <w:rPr>
                      <w:rFonts w:hint="eastAsia"/>
                      <w:color w:val="auto"/>
                      <w:szCs w:val="21"/>
                    </w:rPr>
                    <w:t>3</w:t>
                  </w:r>
                </w:p>
              </w:tc>
              <w:tc>
                <w:tcPr>
                  <w:tcW w:w="1007" w:type="pct"/>
                  <w:shd w:val="clear" w:color="auto" w:fill="auto"/>
                  <w:vAlign w:val="center"/>
                </w:tcPr>
                <w:p w14:paraId="18D13241">
                  <w:pPr>
                    <w:jc w:val="center"/>
                    <w:rPr>
                      <w:rFonts w:hint="eastAsia" w:ascii="Times New Roman" w:hAnsi="Times New Roman" w:eastAsia="宋体" w:cs="Times New Roman"/>
                      <w:bCs/>
                      <w:color w:val="auto"/>
                      <w:kern w:val="2"/>
                      <w:sz w:val="21"/>
                      <w:szCs w:val="21"/>
                      <w:lang w:val="en-US" w:eastAsia="zh-CN" w:bidi="ar-SA"/>
                    </w:rPr>
                  </w:pPr>
                  <w:r>
                    <w:rPr>
                      <w:rFonts w:hint="eastAsia"/>
                      <w:bCs/>
                      <w:color w:val="auto"/>
                      <w:szCs w:val="21"/>
                    </w:rPr>
                    <w:t>不锈钢储罐</w:t>
                  </w:r>
                </w:p>
              </w:tc>
              <w:tc>
                <w:tcPr>
                  <w:tcW w:w="505" w:type="pct"/>
                  <w:shd w:val="clear" w:color="auto" w:fill="auto"/>
                  <w:vAlign w:val="center"/>
                </w:tcPr>
                <w:p w14:paraId="683902CC">
                  <w:pPr>
                    <w:jc w:val="center"/>
                    <w:rPr>
                      <w:rFonts w:ascii="Times New Roman" w:hAnsi="Times New Roman" w:eastAsia="宋体" w:cs="Times New Roman"/>
                      <w:bCs/>
                      <w:color w:val="auto"/>
                      <w:kern w:val="2"/>
                      <w:sz w:val="21"/>
                      <w:szCs w:val="21"/>
                      <w:lang w:val="en-US" w:eastAsia="zh-CN" w:bidi="ar-SA"/>
                    </w:rPr>
                  </w:pPr>
                  <w:r>
                    <w:rPr>
                      <w:rFonts w:hint="eastAsia"/>
                      <w:bCs/>
                      <w:color w:val="auto"/>
                      <w:szCs w:val="21"/>
                      <w:lang w:val="en-US" w:eastAsia="zh-CN"/>
                    </w:rPr>
                    <w:t>1</w:t>
                  </w:r>
                  <w:r>
                    <w:rPr>
                      <w:rFonts w:hint="eastAsia"/>
                      <w:bCs/>
                      <w:color w:val="auto"/>
                      <w:szCs w:val="21"/>
                    </w:rPr>
                    <w:t>m</w:t>
                  </w:r>
                  <w:r>
                    <w:rPr>
                      <w:bCs/>
                      <w:color w:val="auto"/>
                      <w:szCs w:val="21"/>
                      <w:vertAlign w:val="superscript"/>
                    </w:rPr>
                    <w:t>3</w:t>
                  </w:r>
                </w:p>
              </w:tc>
              <w:tc>
                <w:tcPr>
                  <w:tcW w:w="505" w:type="pct"/>
                  <w:shd w:val="clear" w:color="auto" w:fill="auto"/>
                  <w:vAlign w:val="center"/>
                </w:tcPr>
                <w:p w14:paraId="6BCE83CB">
                  <w:pPr>
                    <w:pStyle w:val="101"/>
                    <w:rPr>
                      <w:rFonts w:hint="eastAsia" w:ascii="Times New Roman" w:hAnsi="Times New Roman" w:eastAsia="宋体" w:cs="Times New Roman"/>
                      <w:color w:val="auto"/>
                      <w:kern w:val="0"/>
                      <w:sz w:val="21"/>
                      <w:szCs w:val="21"/>
                      <w:lang w:val="en-US" w:eastAsia="zh-CN" w:bidi="ar-SA"/>
                    </w:rPr>
                  </w:pPr>
                  <w:r>
                    <w:rPr>
                      <w:rFonts w:hint="eastAsia"/>
                      <w:color w:val="auto"/>
                      <w:szCs w:val="21"/>
                    </w:rPr>
                    <w:t>个</w:t>
                  </w:r>
                </w:p>
              </w:tc>
              <w:tc>
                <w:tcPr>
                  <w:tcW w:w="505" w:type="pct"/>
                  <w:shd w:val="clear" w:color="auto" w:fill="auto"/>
                  <w:vAlign w:val="center"/>
                </w:tcPr>
                <w:p w14:paraId="5B279754">
                  <w:pPr>
                    <w:pStyle w:val="101"/>
                    <w:rPr>
                      <w:rFonts w:hint="eastAsia" w:ascii="Times New Roman" w:hAnsi="Times New Roman" w:eastAsia="宋体" w:cs="Times New Roman"/>
                      <w:color w:val="auto"/>
                      <w:kern w:val="0"/>
                      <w:sz w:val="21"/>
                      <w:szCs w:val="21"/>
                      <w:lang w:val="en-US" w:eastAsia="zh-CN" w:bidi="ar-SA"/>
                    </w:rPr>
                  </w:pPr>
                  <w:r>
                    <w:rPr>
                      <w:rFonts w:hint="eastAsia"/>
                      <w:color w:val="auto"/>
                      <w:szCs w:val="21"/>
                      <w:lang w:val="en-US" w:eastAsia="zh-CN"/>
                    </w:rPr>
                    <w:t>3</w:t>
                  </w:r>
                </w:p>
              </w:tc>
              <w:tc>
                <w:tcPr>
                  <w:tcW w:w="1970" w:type="pct"/>
                  <w:vAlign w:val="center"/>
                </w:tcPr>
                <w:p w14:paraId="73EC95FB">
                  <w:pPr>
                    <w:pStyle w:val="101"/>
                    <w:rPr>
                      <w:rFonts w:hint="eastAsia"/>
                      <w:color w:val="auto"/>
                      <w:szCs w:val="21"/>
                    </w:rPr>
                  </w:pPr>
                  <w:r>
                    <w:rPr>
                      <w:rFonts w:hint="eastAsia"/>
                      <w:color w:val="auto"/>
                      <w:szCs w:val="21"/>
                      <w:lang w:val="en-US" w:eastAsia="zh-CN"/>
                    </w:rPr>
                    <w:t>贮存</w:t>
                  </w:r>
                  <w:r>
                    <w:rPr>
                      <w:rStyle w:val="100"/>
                      <w:rFonts w:hint="eastAsia"/>
                      <w:color w:val="auto"/>
                      <w:lang w:eastAsia="zh-CN"/>
                    </w:rPr>
                    <w:t>多元醇、阻燃剂（TCPP）、增塑剂（二丁酯）</w:t>
                  </w:r>
                </w:p>
              </w:tc>
            </w:tr>
            <w:tr w14:paraId="643D6DB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5" w:type="pct"/>
                  <w:shd w:val="clear" w:color="auto" w:fill="auto"/>
                  <w:vAlign w:val="center"/>
                </w:tcPr>
                <w:p w14:paraId="06542EB3">
                  <w:pPr>
                    <w:pStyle w:val="101"/>
                    <w:rPr>
                      <w:rFonts w:ascii="Times New Roman" w:hAnsi="Times New Roman" w:eastAsia="宋体" w:cs="Times New Roman"/>
                      <w:color w:val="auto"/>
                      <w:kern w:val="0"/>
                      <w:sz w:val="21"/>
                      <w:szCs w:val="21"/>
                      <w:lang w:val="en-US" w:eastAsia="zh-CN" w:bidi="ar-SA"/>
                    </w:rPr>
                  </w:pPr>
                  <w:r>
                    <w:rPr>
                      <w:rFonts w:hint="eastAsia"/>
                      <w:color w:val="auto"/>
                      <w:szCs w:val="21"/>
                    </w:rPr>
                    <w:t>4</w:t>
                  </w:r>
                </w:p>
              </w:tc>
              <w:tc>
                <w:tcPr>
                  <w:tcW w:w="1007" w:type="pct"/>
                  <w:vAlign w:val="center"/>
                </w:tcPr>
                <w:p w14:paraId="04F6030F">
                  <w:pPr>
                    <w:jc w:val="center"/>
                    <w:rPr>
                      <w:rFonts w:hint="eastAsia" w:eastAsia="宋体"/>
                      <w:bCs/>
                      <w:color w:val="auto"/>
                      <w:szCs w:val="21"/>
                      <w:lang w:eastAsia="zh-CN"/>
                    </w:rPr>
                  </w:pPr>
                  <w:r>
                    <w:rPr>
                      <w:rFonts w:hint="eastAsia"/>
                      <w:bCs/>
                      <w:color w:val="auto"/>
                      <w:szCs w:val="21"/>
                    </w:rPr>
                    <w:t>真空搅拌</w:t>
                  </w:r>
                  <w:r>
                    <w:rPr>
                      <w:rFonts w:hint="eastAsia"/>
                      <w:bCs/>
                      <w:color w:val="auto"/>
                      <w:szCs w:val="21"/>
                      <w:lang w:eastAsia="zh-CN"/>
                    </w:rPr>
                    <w:t>罐</w:t>
                  </w:r>
                </w:p>
              </w:tc>
              <w:tc>
                <w:tcPr>
                  <w:tcW w:w="505" w:type="pct"/>
                  <w:vAlign w:val="center"/>
                </w:tcPr>
                <w:p w14:paraId="0C5994FC">
                  <w:pPr>
                    <w:jc w:val="center"/>
                    <w:rPr>
                      <w:bCs/>
                      <w:color w:val="auto"/>
                      <w:szCs w:val="21"/>
                    </w:rPr>
                  </w:pPr>
                  <w:r>
                    <w:rPr>
                      <w:bCs/>
                      <w:color w:val="auto"/>
                      <w:szCs w:val="21"/>
                    </w:rPr>
                    <w:t>3</w:t>
                  </w:r>
                  <w:r>
                    <w:rPr>
                      <w:rFonts w:hint="eastAsia"/>
                      <w:bCs/>
                      <w:color w:val="auto"/>
                      <w:szCs w:val="21"/>
                    </w:rPr>
                    <w:t>m</w:t>
                  </w:r>
                  <w:r>
                    <w:rPr>
                      <w:bCs/>
                      <w:color w:val="auto"/>
                      <w:szCs w:val="21"/>
                      <w:vertAlign w:val="superscript"/>
                    </w:rPr>
                    <w:t>3</w:t>
                  </w:r>
                </w:p>
              </w:tc>
              <w:tc>
                <w:tcPr>
                  <w:tcW w:w="505" w:type="pct"/>
                  <w:vAlign w:val="center"/>
                </w:tcPr>
                <w:p w14:paraId="6F4B5F22">
                  <w:pPr>
                    <w:pStyle w:val="101"/>
                    <w:rPr>
                      <w:color w:val="auto"/>
                      <w:szCs w:val="21"/>
                    </w:rPr>
                  </w:pPr>
                  <w:r>
                    <w:rPr>
                      <w:rFonts w:hint="eastAsia"/>
                      <w:color w:val="auto"/>
                      <w:szCs w:val="21"/>
                    </w:rPr>
                    <w:t>个</w:t>
                  </w:r>
                </w:p>
              </w:tc>
              <w:tc>
                <w:tcPr>
                  <w:tcW w:w="505" w:type="pct"/>
                  <w:vAlign w:val="center"/>
                </w:tcPr>
                <w:p w14:paraId="63452F1E">
                  <w:pPr>
                    <w:pStyle w:val="101"/>
                    <w:rPr>
                      <w:color w:val="auto"/>
                      <w:szCs w:val="21"/>
                    </w:rPr>
                  </w:pPr>
                  <w:r>
                    <w:rPr>
                      <w:color w:val="auto"/>
                      <w:szCs w:val="21"/>
                    </w:rPr>
                    <w:t>2</w:t>
                  </w:r>
                </w:p>
              </w:tc>
              <w:tc>
                <w:tcPr>
                  <w:tcW w:w="1970" w:type="pct"/>
                  <w:vAlign w:val="center"/>
                </w:tcPr>
                <w:p w14:paraId="318F41FA">
                  <w:pPr>
                    <w:pStyle w:val="101"/>
                    <w:rPr>
                      <w:color w:val="auto"/>
                      <w:szCs w:val="21"/>
                    </w:rPr>
                  </w:pPr>
                  <w:r>
                    <w:rPr>
                      <w:rFonts w:hint="eastAsia"/>
                      <w:color w:val="auto"/>
                      <w:szCs w:val="21"/>
                    </w:rPr>
                    <w:t>密闭搅拌</w:t>
                  </w:r>
                </w:p>
              </w:tc>
            </w:tr>
            <w:tr w14:paraId="71C0BB9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5" w:type="pct"/>
                  <w:shd w:val="clear" w:color="auto" w:fill="auto"/>
                  <w:vAlign w:val="center"/>
                </w:tcPr>
                <w:p w14:paraId="20919703">
                  <w:pPr>
                    <w:pStyle w:val="101"/>
                    <w:rPr>
                      <w:rFonts w:ascii="Times New Roman" w:hAnsi="Times New Roman" w:eastAsia="宋体" w:cs="Times New Roman"/>
                      <w:color w:val="auto"/>
                      <w:kern w:val="0"/>
                      <w:sz w:val="21"/>
                      <w:szCs w:val="21"/>
                      <w:lang w:val="en-US" w:eastAsia="zh-CN" w:bidi="ar-SA"/>
                    </w:rPr>
                  </w:pPr>
                  <w:r>
                    <w:rPr>
                      <w:rFonts w:hint="eastAsia"/>
                      <w:color w:val="auto"/>
                      <w:szCs w:val="21"/>
                    </w:rPr>
                    <w:t>5</w:t>
                  </w:r>
                </w:p>
              </w:tc>
              <w:tc>
                <w:tcPr>
                  <w:tcW w:w="1007" w:type="pct"/>
                  <w:vAlign w:val="center"/>
                </w:tcPr>
                <w:p w14:paraId="7061E3E1">
                  <w:pPr>
                    <w:jc w:val="center"/>
                    <w:rPr>
                      <w:bCs/>
                      <w:color w:val="auto"/>
                      <w:szCs w:val="21"/>
                    </w:rPr>
                  </w:pPr>
                  <w:r>
                    <w:rPr>
                      <w:rFonts w:hint="eastAsia"/>
                      <w:bCs/>
                      <w:color w:val="auto"/>
                      <w:szCs w:val="21"/>
                    </w:rPr>
                    <w:t>包装机</w:t>
                  </w:r>
                </w:p>
              </w:tc>
              <w:tc>
                <w:tcPr>
                  <w:tcW w:w="505" w:type="pct"/>
                  <w:vAlign w:val="center"/>
                </w:tcPr>
                <w:p w14:paraId="63BDD965">
                  <w:pPr>
                    <w:jc w:val="center"/>
                    <w:rPr>
                      <w:color w:val="auto"/>
                      <w:szCs w:val="21"/>
                    </w:rPr>
                  </w:pPr>
                  <w:r>
                    <w:rPr>
                      <w:color w:val="auto"/>
                      <w:szCs w:val="21"/>
                    </w:rPr>
                    <w:t>/</w:t>
                  </w:r>
                </w:p>
              </w:tc>
              <w:tc>
                <w:tcPr>
                  <w:tcW w:w="505" w:type="pct"/>
                  <w:vAlign w:val="center"/>
                </w:tcPr>
                <w:p w14:paraId="7A1DB164">
                  <w:pPr>
                    <w:pStyle w:val="101"/>
                    <w:rPr>
                      <w:color w:val="auto"/>
                      <w:szCs w:val="21"/>
                    </w:rPr>
                  </w:pPr>
                  <w:r>
                    <w:rPr>
                      <w:color w:val="auto"/>
                      <w:szCs w:val="21"/>
                    </w:rPr>
                    <w:t>台</w:t>
                  </w:r>
                </w:p>
              </w:tc>
              <w:tc>
                <w:tcPr>
                  <w:tcW w:w="505" w:type="pct"/>
                  <w:vAlign w:val="center"/>
                </w:tcPr>
                <w:p w14:paraId="111EEA19">
                  <w:pPr>
                    <w:pStyle w:val="101"/>
                    <w:rPr>
                      <w:rFonts w:hint="eastAsia" w:eastAsia="宋体"/>
                      <w:color w:val="auto"/>
                      <w:szCs w:val="21"/>
                      <w:lang w:eastAsia="zh-CN"/>
                    </w:rPr>
                  </w:pPr>
                  <w:r>
                    <w:rPr>
                      <w:rFonts w:hint="eastAsia"/>
                      <w:color w:val="auto"/>
                      <w:szCs w:val="21"/>
                      <w:lang w:val="en-US" w:eastAsia="zh-CN"/>
                    </w:rPr>
                    <w:t>2</w:t>
                  </w:r>
                </w:p>
              </w:tc>
              <w:tc>
                <w:tcPr>
                  <w:tcW w:w="1970" w:type="pct"/>
                  <w:vAlign w:val="center"/>
                </w:tcPr>
                <w:p w14:paraId="7D89543A">
                  <w:pPr>
                    <w:pStyle w:val="101"/>
                    <w:rPr>
                      <w:color w:val="auto"/>
                      <w:szCs w:val="21"/>
                    </w:rPr>
                  </w:pPr>
                  <w:r>
                    <w:rPr>
                      <w:rFonts w:hint="eastAsia"/>
                      <w:color w:val="auto"/>
                      <w:szCs w:val="21"/>
                    </w:rPr>
                    <w:t>自动包装</w:t>
                  </w:r>
                </w:p>
              </w:tc>
            </w:tr>
            <w:tr w14:paraId="17C7AA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5" w:type="pct"/>
                  <w:vAlign w:val="center"/>
                </w:tcPr>
                <w:p w14:paraId="487D95C6">
                  <w:pPr>
                    <w:pStyle w:val="101"/>
                    <w:rPr>
                      <w:rFonts w:hint="eastAsia" w:eastAsia="宋体"/>
                      <w:color w:val="auto"/>
                      <w:szCs w:val="21"/>
                      <w:lang w:val="en-US" w:eastAsia="zh-CN"/>
                    </w:rPr>
                  </w:pPr>
                  <w:r>
                    <w:rPr>
                      <w:rFonts w:hint="eastAsia"/>
                      <w:color w:val="auto"/>
                      <w:szCs w:val="21"/>
                      <w:lang w:val="en-US" w:eastAsia="zh-CN"/>
                    </w:rPr>
                    <w:t>6</w:t>
                  </w:r>
                </w:p>
              </w:tc>
              <w:tc>
                <w:tcPr>
                  <w:tcW w:w="1007" w:type="pct"/>
                  <w:vAlign w:val="center"/>
                </w:tcPr>
                <w:p w14:paraId="5D5B91DA">
                  <w:pPr>
                    <w:jc w:val="center"/>
                    <w:rPr>
                      <w:bCs/>
                      <w:color w:val="auto"/>
                      <w:szCs w:val="21"/>
                    </w:rPr>
                  </w:pPr>
                  <w:r>
                    <w:rPr>
                      <w:rFonts w:hint="eastAsia"/>
                      <w:bCs/>
                      <w:color w:val="auto"/>
                      <w:szCs w:val="21"/>
                    </w:rPr>
                    <w:t>供料泵</w:t>
                  </w:r>
                </w:p>
              </w:tc>
              <w:tc>
                <w:tcPr>
                  <w:tcW w:w="505" w:type="pct"/>
                  <w:vAlign w:val="center"/>
                </w:tcPr>
                <w:p w14:paraId="0C53E02D">
                  <w:pPr>
                    <w:jc w:val="center"/>
                    <w:rPr>
                      <w:color w:val="auto"/>
                      <w:szCs w:val="21"/>
                    </w:rPr>
                  </w:pPr>
                  <w:r>
                    <w:rPr>
                      <w:color w:val="auto"/>
                      <w:szCs w:val="21"/>
                    </w:rPr>
                    <w:t>/</w:t>
                  </w:r>
                </w:p>
              </w:tc>
              <w:tc>
                <w:tcPr>
                  <w:tcW w:w="505" w:type="pct"/>
                  <w:vAlign w:val="center"/>
                </w:tcPr>
                <w:p w14:paraId="33E5D35B">
                  <w:pPr>
                    <w:pStyle w:val="101"/>
                    <w:rPr>
                      <w:color w:val="auto"/>
                      <w:szCs w:val="21"/>
                    </w:rPr>
                  </w:pPr>
                  <w:r>
                    <w:rPr>
                      <w:color w:val="auto"/>
                      <w:szCs w:val="21"/>
                    </w:rPr>
                    <w:t>台</w:t>
                  </w:r>
                </w:p>
              </w:tc>
              <w:tc>
                <w:tcPr>
                  <w:tcW w:w="505" w:type="pct"/>
                  <w:vAlign w:val="center"/>
                </w:tcPr>
                <w:p w14:paraId="0CD8AFDD">
                  <w:pPr>
                    <w:pStyle w:val="101"/>
                    <w:rPr>
                      <w:rFonts w:hint="eastAsia" w:eastAsia="宋体"/>
                      <w:color w:val="auto"/>
                      <w:szCs w:val="21"/>
                      <w:lang w:eastAsia="zh-CN"/>
                    </w:rPr>
                  </w:pPr>
                  <w:r>
                    <w:rPr>
                      <w:rFonts w:hint="eastAsia"/>
                      <w:color w:val="auto"/>
                      <w:szCs w:val="21"/>
                      <w:lang w:val="en-US" w:eastAsia="zh-CN"/>
                    </w:rPr>
                    <w:t>6</w:t>
                  </w:r>
                </w:p>
              </w:tc>
              <w:tc>
                <w:tcPr>
                  <w:tcW w:w="1970" w:type="pct"/>
                  <w:vAlign w:val="center"/>
                </w:tcPr>
                <w:p w14:paraId="220B14BE">
                  <w:pPr>
                    <w:pStyle w:val="101"/>
                    <w:rPr>
                      <w:color w:val="auto"/>
                      <w:szCs w:val="21"/>
                    </w:rPr>
                  </w:pPr>
                  <w:r>
                    <w:rPr>
                      <w:rFonts w:hint="eastAsia"/>
                      <w:color w:val="auto"/>
                      <w:szCs w:val="21"/>
                    </w:rPr>
                    <w:t>每个储罐配备1台</w:t>
                  </w:r>
                </w:p>
              </w:tc>
            </w:tr>
            <w:tr w14:paraId="1F86BB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5" w:type="pct"/>
                  <w:vAlign w:val="center"/>
                </w:tcPr>
                <w:p w14:paraId="630C08BA">
                  <w:pPr>
                    <w:pStyle w:val="101"/>
                    <w:rPr>
                      <w:rFonts w:hint="eastAsia" w:eastAsia="宋体"/>
                      <w:color w:val="auto"/>
                      <w:szCs w:val="21"/>
                      <w:lang w:val="en-US" w:eastAsia="zh-CN"/>
                    </w:rPr>
                  </w:pPr>
                  <w:r>
                    <w:rPr>
                      <w:rFonts w:hint="eastAsia"/>
                      <w:color w:val="auto"/>
                      <w:szCs w:val="21"/>
                      <w:lang w:val="en-US" w:eastAsia="zh-CN"/>
                    </w:rPr>
                    <w:t>7</w:t>
                  </w:r>
                </w:p>
              </w:tc>
              <w:tc>
                <w:tcPr>
                  <w:tcW w:w="1007" w:type="pct"/>
                  <w:vAlign w:val="center"/>
                </w:tcPr>
                <w:p w14:paraId="506A5A8B">
                  <w:pPr>
                    <w:jc w:val="center"/>
                    <w:rPr>
                      <w:bCs/>
                      <w:color w:val="auto"/>
                      <w:szCs w:val="21"/>
                    </w:rPr>
                  </w:pPr>
                  <w:r>
                    <w:rPr>
                      <w:rFonts w:hint="eastAsia"/>
                      <w:bCs/>
                      <w:color w:val="auto"/>
                      <w:szCs w:val="21"/>
                    </w:rPr>
                    <w:t>出料泵</w:t>
                  </w:r>
                </w:p>
              </w:tc>
              <w:tc>
                <w:tcPr>
                  <w:tcW w:w="505" w:type="pct"/>
                  <w:vAlign w:val="center"/>
                </w:tcPr>
                <w:p w14:paraId="78909B5E">
                  <w:pPr>
                    <w:jc w:val="center"/>
                    <w:rPr>
                      <w:color w:val="auto"/>
                      <w:szCs w:val="21"/>
                    </w:rPr>
                  </w:pPr>
                  <w:r>
                    <w:rPr>
                      <w:rFonts w:hint="eastAsia"/>
                      <w:color w:val="auto"/>
                      <w:szCs w:val="21"/>
                    </w:rPr>
                    <w:t>/</w:t>
                  </w:r>
                </w:p>
              </w:tc>
              <w:tc>
                <w:tcPr>
                  <w:tcW w:w="505" w:type="pct"/>
                  <w:vAlign w:val="center"/>
                </w:tcPr>
                <w:p w14:paraId="0EC6930F">
                  <w:pPr>
                    <w:pStyle w:val="101"/>
                    <w:rPr>
                      <w:color w:val="auto"/>
                      <w:szCs w:val="21"/>
                    </w:rPr>
                  </w:pPr>
                  <w:r>
                    <w:rPr>
                      <w:color w:val="auto"/>
                      <w:szCs w:val="21"/>
                    </w:rPr>
                    <w:t>台</w:t>
                  </w:r>
                </w:p>
              </w:tc>
              <w:tc>
                <w:tcPr>
                  <w:tcW w:w="505" w:type="pct"/>
                  <w:vAlign w:val="center"/>
                </w:tcPr>
                <w:p w14:paraId="23280984">
                  <w:pPr>
                    <w:pStyle w:val="101"/>
                    <w:rPr>
                      <w:color w:val="auto"/>
                      <w:szCs w:val="21"/>
                    </w:rPr>
                  </w:pPr>
                  <w:r>
                    <w:rPr>
                      <w:color w:val="auto"/>
                      <w:szCs w:val="21"/>
                    </w:rPr>
                    <w:t>2</w:t>
                  </w:r>
                </w:p>
              </w:tc>
              <w:tc>
                <w:tcPr>
                  <w:tcW w:w="1970" w:type="pct"/>
                  <w:vAlign w:val="center"/>
                </w:tcPr>
                <w:p w14:paraId="4D192601">
                  <w:pPr>
                    <w:pStyle w:val="101"/>
                    <w:rPr>
                      <w:color w:val="auto"/>
                      <w:szCs w:val="21"/>
                    </w:rPr>
                  </w:pPr>
                  <w:r>
                    <w:rPr>
                      <w:rFonts w:hint="eastAsia"/>
                      <w:color w:val="auto"/>
                      <w:szCs w:val="21"/>
                    </w:rPr>
                    <w:t>每个搅拌</w:t>
                  </w:r>
                  <w:r>
                    <w:rPr>
                      <w:rFonts w:hint="eastAsia"/>
                      <w:color w:val="auto"/>
                      <w:szCs w:val="21"/>
                      <w:lang w:eastAsia="zh-CN"/>
                    </w:rPr>
                    <w:t>罐</w:t>
                  </w:r>
                  <w:r>
                    <w:rPr>
                      <w:rFonts w:hint="eastAsia"/>
                      <w:color w:val="auto"/>
                      <w:szCs w:val="21"/>
                    </w:rPr>
                    <w:t>配备1台</w:t>
                  </w:r>
                </w:p>
              </w:tc>
            </w:tr>
          </w:tbl>
          <w:p w14:paraId="08F33023">
            <w:pPr>
              <w:pStyle w:val="102"/>
              <w:ind w:firstLine="480"/>
              <w:rPr>
                <w:color w:val="auto"/>
              </w:rPr>
            </w:pPr>
            <w:r>
              <w:rPr>
                <w:color w:val="auto"/>
              </w:rPr>
              <w:t>5、</w:t>
            </w:r>
            <w:r>
              <w:rPr>
                <w:rFonts w:hint="eastAsia"/>
                <w:color w:val="auto"/>
              </w:rPr>
              <w:t>公用工程</w:t>
            </w:r>
          </w:p>
          <w:p w14:paraId="6B9AD6CE">
            <w:pPr>
              <w:pStyle w:val="102"/>
              <w:ind w:firstLine="480"/>
              <w:rPr>
                <w:color w:val="auto"/>
              </w:rPr>
            </w:pPr>
            <w:r>
              <w:rPr>
                <w:rFonts w:hint="eastAsia"/>
                <w:color w:val="auto"/>
              </w:rPr>
              <w:t>（1）</w:t>
            </w:r>
            <w:r>
              <w:rPr>
                <w:color w:val="auto"/>
              </w:rPr>
              <w:t>给水</w:t>
            </w:r>
          </w:p>
          <w:p w14:paraId="08D03ACD">
            <w:pPr>
              <w:pStyle w:val="102"/>
              <w:ind w:firstLine="480"/>
              <w:rPr>
                <w:color w:val="auto"/>
              </w:rPr>
            </w:pPr>
            <w:r>
              <w:rPr>
                <w:color w:val="auto"/>
              </w:rPr>
              <w:t>本项目</w:t>
            </w:r>
            <w:r>
              <w:rPr>
                <w:rFonts w:hint="eastAsia"/>
                <w:color w:val="auto"/>
              </w:rPr>
              <w:t>生产用水不用水</w:t>
            </w:r>
            <w:r>
              <w:rPr>
                <w:rFonts w:hint="eastAsia"/>
                <w:color w:val="auto"/>
                <w:lang w:eastAsia="zh-CN"/>
              </w:rPr>
              <w:t>，</w:t>
            </w:r>
            <w:r>
              <w:rPr>
                <w:rFonts w:hint="eastAsia"/>
                <w:color w:val="auto"/>
              </w:rPr>
              <w:t>用水仅为生活用水</w:t>
            </w:r>
            <w:r>
              <w:rPr>
                <w:rFonts w:hint="eastAsia"/>
                <w:color w:val="auto"/>
                <w:lang w:eastAsia="zh-CN"/>
              </w:rPr>
              <w:t>，</w:t>
            </w:r>
            <w:r>
              <w:rPr>
                <w:rFonts w:hint="eastAsia"/>
                <w:color w:val="auto"/>
              </w:rPr>
              <w:t>生活用水由</w:t>
            </w:r>
            <w:r>
              <w:rPr>
                <w:rFonts w:hint="eastAsia"/>
                <w:color w:val="auto"/>
                <w:lang w:val="en-US" w:eastAsia="zh-CN"/>
              </w:rPr>
              <w:t>南山</w:t>
            </w:r>
            <w:r>
              <w:rPr>
                <w:rFonts w:hint="eastAsia"/>
                <w:color w:val="auto"/>
              </w:rPr>
              <w:t>煤矿井水供给。</w:t>
            </w:r>
          </w:p>
          <w:p w14:paraId="32772C21">
            <w:pPr>
              <w:pStyle w:val="102"/>
              <w:ind w:firstLine="480"/>
              <w:rPr>
                <w:color w:val="auto"/>
              </w:rPr>
            </w:pPr>
            <w:r>
              <w:rPr>
                <w:rFonts w:hint="eastAsia"/>
                <w:color w:val="auto"/>
              </w:rPr>
              <w:t>本</w:t>
            </w:r>
            <w:r>
              <w:rPr>
                <w:color w:val="auto"/>
              </w:rPr>
              <w:t>项目运营期职工总人</w:t>
            </w:r>
            <w:r>
              <w:rPr>
                <w:rFonts w:hint="eastAsia"/>
                <w:color w:val="auto"/>
                <w:lang w:val="en-US" w:eastAsia="zh-CN"/>
              </w:rPr>
              <w:t>6</w:t>
            </w:r>
            <w:r>
              <w:rPr>
                <w:color w:val="auto"/>
              </w:rPr>
              <w:t>人</w:t>
            </w:r>
            <w:r>
              <w:rPr>
                <w:rFonts w:hint="eastAsia"/>
                <w:color w:val="auto"/>
                <w:lang w:eastAsia="zh-CN"/>
              </w:rPr>
              <w:t>，</w:t>
            </w:r>
            <w:r>
              <w:rPr>
                <w:color w:val="auto"/>
              </w:rPr>
              <w:t>参照《</w:t>
            </w:r>
            <w:r>
              <w:rPr>
                <w:rFonts w:hint="eastAsia"/>
                <w:color w:val="auto"/>
              </w:rPr>
              <w:t>用水定额》（</w:t>
            </w:r>
            <w:r>
              <w:rPr>
                <w:color w:val="auto"/>
              </w:rPr>
              <w:t>DB23/T727-2021</w:t>
            </w:r>
            <w:r>
              <w:rPr>
                <w:rFonts w:hint="eastAsia"/>
                <w:color w:val="auto"/>
              </w:rPr>
              <w:t>）中农村居民生活用水定额</w:t>
            </w:r>
            <w:r>
              <w:rPr>
                <w:rFonts w:hint="eastAsia"/>
                <w:color w:val="auto"/>
                <w:lang w:eastAsia="zh-CN"/>
              </w:rPr>
              <w:t>，</w:t>
            </w:r>
            <w:r>
              <w:rPr>
                <w:rFonts w:hint="eastAsia"/>
                <w:color w:val="auto"/>
              </w:rPr>
              <w:t>即</w:t>
            </w:r>
            <w:r>
              <w:rPr>
                <w:color w:val="auto"/>
              </w:rPr>
              <w:t>80L/人·d计</w:t>
            </w:r>
            <w:r>
              <w:rPr>
                <w:rFonts w:hint="eastAsia"/>
                <w:color w:val="auto"/>
                <w:lang w:eastAsia="zh-CN"/>
              </w:rPr>
              <w:t>，</w:t>
            </w:r>
            <w:r>
              <w:rPr>
                <w:rFonts w:hint="eastAsia"/>
                <w:color w:val="auto"/>
              </w:rPr>
              <w:t>职工</w:t>
            </w:r>
            <w:r>
              <w:rPr>
                <w:color w:val="auto"/>
              </w:rPr>
              <w:t>年工作时间300d</w:t>
            </w:r>
            <w:r>
              <w:rPr>
                <w:rFonts w:hint="eastAsia"/>
                <w:color w:val="auto"/>
                <w:lang w:eastAsia="zh-CN"/>
              </w:rPr>
              <w:t>，</w:t>
            </w:r>
            <w:r>
              <w:rPr>
                <w:color w:val="auto"/>
              </w:rPr>
              <w:t>则生活用水量为0.</w:t>
            </w:r>
            <w:r>
              <w:rPr>
                <w:rFonts w:hint="eastAsia"/>
                <w:color w:val="auto"/>
                <w:lang w:val="en-US" w:eastAsia="zh-CN"/>
              </w:rPr>
              <w:t>48</w:t>
            </w:r>
            <w:r>
              <w:rPr>
                <w:color w:val="auto"/>
              </w:rPr>
              <w:t>m</w:t>
            </w:r>
            <w:r>
              <w:rPr>
                <w:color w:val="auto"/>
                <w:vertAlign w:val="superscript"/>
              </w:rPr>
              <w:t>3</w:t>
            </w:r>
            <w:r>
              <w:rPr>
                <w:color w:val="auto"/>
              </w:rPr>
              <w:t>/d</w:t>
            </w:r>
            <w:r>
              <w:rPr>
                <w:rFonts w:hint="eastAsia"/>
                <w:color w:val="auto"/>
              </w:rPr>
              <w:t>（</w:t>
            </w:r>
            <w:r>
              <w:rPr>
                <w:color w:val="auto"/>
              </w:rPr>
              <w:t>1</w:t>
            </w:r>
            <w:r>
              <w:rPr>
                <w:rFonts w:hint="eastAsia"/>
                <w:color w:val="auto"/>
                <w:lang w:val="en-US" w:eastAsia="zh-CN"/>
              </w:rPr>
              <w:t>44t</w:t>
            </w:r>
            <w:r>
              <w:rPr>
                <w:color w:val="auto"/>
              </w:rPr>
              <w:t>/a）。</w:t>
            </w:r>
          </w:p>
          <w:p w14:paraId="6E013E11">
            <w:pPr>
              <w:pStyle w:val="102"/>
              <w:ind w:firstLine="480"/>
              <w:rPr>
                <w:rFonts w:hint="eastAsia"/>
                <w:color w:val="auto"/>
              </w:rPr>
            </w:pPr>
          </w:p>
          <w:p w14:paraId="63024780">
            <w:pPr>
              <w:pStyle w:val="102"/>
              <w:ind w:firstLine="480"/>
              <w:rPr>
                <w:color w:val="auto"/>
              </w:rPr>
            </w:pPr>
            <w:r>
              <w:rPr>
                <w:rFonts w:hint="eastAsia"/>
                <w:color w:val="auto"/>
              </w:rPr>
              <w:t>（2）</w:t>
            </w:r>
            <w:r>
              <w:rPr>
                <w:color w:val="auto"/>
              </w:rPr>
              <w:t>排水</w:t>
            </w:r>
          </w:p>
          <w:p w14:paraId="21BCB38D">
            <w:pPr>
              <w:pStyle w:val="102"/>
              <w:ind w:firstLine="480"/>
              <w:rPr>
                <w:color w:val="auto"/>
              </w:rPr>
            </w:pPr>
            <w:r>
              <w:rPr>
                <w:rFonts w:hint="eastAsia"/>
                <w:color w:val="auto"/>
              </w:rPr>
              <w:t>本项目废水主要为生活污水</w:t>
            </w:r>
            <w:r>
              <w:rPr>
                <w:rFonts w:hint="eastAsia"/>
                <w:color w:val="auto"/>
                <w:lang w:eastAsia="zh-CN"/>
              </w:rPr>
              <w:t>，</w:t>
            </w:r>
            <w:r>
              <w:rPr>
                <w:color w:val="auto"/>
              </w:rPr>
              <w:t>生活污水排放量按用水量的80%计算</w:t>
            </w:r>
            <w:r>
              <w:rPr>
                <w:rFonts w:hint="eastAsia"/>
                <w:color w:val="auto"/>
                <w:lang w:eastAsia="zh-CN"/>
              </w:rPr>
              <w:t>，</w:t>
            </w:r>
            <w:r>
              <w:rPr>
                <w:color w:val="auto"/>
              </w:rPr>
              <w:t>生活污水</w:t>
            </w:r>
            <w:r>
              <w:rPr>
                <w:rFonts w:hint="eastAsia"/>
                <w:color w:val="auto"/>
              </w:rPr>
              <w:t>产生</w:t>
            </w:r>
            <w:r>
              <w:rPr>
                <w:color w:val="auto"/>
              </w:rPr>
              <w:t>量为</w:t>
            </w:r>
            <w:r>
              <w:rPr>
                <w:rFonts w:hint="eastAsia"/>
                <w:color w:val="auto"/>
                <w:lang w:eastAsia="zh-CN"/>
              </w:rPr>
              <w:t>0.384</w:t>
            </w:r>
            <w:r>
              <w:rPr>
                <w:color w:val="auto"/>
              </w:rPr>
              <w:t>m</w:t>
            </w:r>
            <w:r>
              <w:rPr>
                <w:color w:val="auto"/>
                <w:vertAlign w:val="superscript"/>
              </w:rPr>
              <w:t>3</w:t>
            </w:r>
            <w:r>
              <w:rPr>
                <w:color w:val="auto"/>
              </w:rPr>
              <w:t>/d</w:t>
            </w:r>
            <w:r>
              <w:rPr>
                <w:rFonts w:hint="eastAsia"/>
                <w:color w:val="auto"/>
              </w:rPr>
              <w:t>（</w:t>
            </w:r>
            <w:r>
              <w:rPr>
                <w:rFonts w:hint="eastAsia"/>
                <w:color w:val="auto"/>
                <w:lang w:eastAsia="zh-CN"/>
              </w:rPr>
              <w:t>115.2</w:t>
            </w:r>
            <w:r>
              <w:rPr>
                <w:color w:val="auto"/>
              </w:rPr>
              <w:t>t/a）</w:t>
            </w:r>
            <w:r>
              <w:rPr>
                <w:rFonts w:hint="eastAsia"/>
                <w:color w:val="auto"/>
                <w:lang w:eastAsia="zh-CN"/>
              </w:rPr>
              <w:t>，</w:t>
            </w:r>
            <w:r>
              <w:rPr>
                <w:rFonts w:hint="eastAsia"/>
                <w:color w:val="auto"/>
              </w:rPr>
              <w:t>生活污水排入防渗旱厕</w:t>
            </w:r>
            <w:r>
              <w:rPr>
                <w:rFonts w:hint="eastAsia"/>
                <w:color w:val="auto"/>
                <w:lang w:eastAsia="zh-CN"/>
              </w:rPr>
              <w:t>，</w:t>
            </w:r>
            <w:r>
              <w:rPr>
                <w:rFonts w:hint="eastAsia"/>
                <w:color w:val="auto"/>
              </w:rPr>
              <w:t>定期清掏堆肥。</w:t>
            </w:r>
          </w:p>
          <w:p w14:paraId="33D15AFF">
            <w:pPr>
              <w:pStyle w:val="102"/>
              <w:ind w:firstLine="480"/>
              <w:rPr>
                <w:color w:val="auto"/>
                <w:highlight w:val="none"/>
              </w:rPr>
            </w:pPr>
            <w:r>
              <w:rPr>
                <w:color w:val="auto"/>
              </w:rPr>
              <w:t>本项目水平衡</w:t>
            </w:r>
            <w:r>
              <w:rPr>
                <w:color w:val="auto"/>
                <w:highlight w:val="none"/>
              </w:rPr>
              <w:t>见图2-</w:t>
            </w:r>
            <w:r>
              <w:rPr>
                <w:rFonts w:hint="eastAsia"/>
                <w:color w:val="auto"/>
                <w:highlight w:val="none"/>
                <w:lang w:val="en-US" w:eastAsia="zh-CN"/>
              </w:rPr>
              <w:t>2</w:t>
            </w:r>
            <w:r>
              <w:rPr>
                <w:color w:val="auto"/>
                <w:highlight w:val="none"/>
              </w:rPr>
              <w:t>。</w:t>
            </w:r>
          </w:p>
          <w:p w14:paraId="7580F8D4">
            <w:pPr>
              <w:pStyle w:val="105"/>
              <w:spacing w:line="240" w:lineRule="auto"/>
              <w:ind w:left="-15" w:leftChars="-57" w:hanging="105" w:hangingChars="50"/>
              <w:jc w:val="center"/>
              <w:rPr>
                <w:b/>
                <w:color w:val="auto"/>
                <w:sz w:val="21"/>
                <w:highlight w:val="none"/>
              </w:rPr>
            </w:pPr>
            <w:r>
              <w:rPr>
                <w:b/>
                <w:color w:val="auto"/>
                <w:sz w:val="21"/>
                <w:highlight w:val="none"/>
              </w:rPr>
              <w:object>
                <v:shape id="_x0000_i1026" o:spt="75" type="#_x0000_t75" style="height:60pt;width:403.85pt;" o:ole="t" filled="f" o:preferrelative="t" stroked="f" coordsize="21600,21600">
                  <v:path/>
                  <v:fill on="f" focussize="0,0"/>
                  <v:stroke on="f"/>
                  <v:imagedata r:id="rId14" o:title=""/>
                  <o:lock v:ext="edit" aspectratio="f"/>
                  <w10:wrap type="none"/>
                  <w10:anchorlock/>
                </v:shape>
                <o:OLEObject Type="Embed" ProgID="Visio.Drawing.11" ShapeID="_x0000_i1026" DrawAspect="Content" ObjectID="_1468075726" r:id="rId13">
                  <o:LockedField>false</o:LockedField>
                </o:OLEObject>
              </w:object>
            </w:r>
          </w:p>
          <w:p w14:paraId="1544A251">
            <w:pPr>
              <w:pStyle w:val="105"/>
              <w:spacing w:line="240" w:lineRule="auto"/>
              <w:ind w:left="-15" w:leftChars="-57" w:hanging="105" w:hangingChars="50"/>
              <w:jc w:val="center"/>
              <w:rPr>
                <w:b/>
                <w:color w:val="auto"/>
                <w:sz w:val="21"/>
                <w:highlight w:val="none"/>
              </w:rPr>
            </w:pPr>
          </w:p>
          <w:p w14:paraId="03EE5F19">
            <w:pPr>
              <w:pStyle w:val="105"/>
              <w:spacing w:line="240" w:lineRule="auto"/>
              <w:ind w:left="-15" w:leftChars="-57" w:hanging="105" w:hangingChars="50"/>
              <w:jc w:val="center"/>
              <w:rPr>
                <w:b/>
                <w:color w:val="auto"/>
                <w:sz w:val="21"/>
                <w:highlight w:val="none"/>
              </w:rPr>
            </w:pPr>
            <w:r>
              <w:rPr>
                <w:b/>
                <w:color w:val="auto"/>
                <w:sz w:val="21"/>
                <w:highlight w:val="none"/>
              </w:rPr>
              <w:t>图2-2  水平衡图</w:t>
            </w:r>
            <w:r>
              <w:rPr>
                <w:rFonts w:hint="eastAsia"/>
                <w:b/>
                <w:color w:val="auto"/>
                <w:sz w:val="21"/>
                <w:highlight w:val="none"/>
              </w:rPr>
              <w:t xml:space="preserve"> </w:t>
            </w:r>
            <w:r>
              <w:rPr>
                <w:b/>
                <w:color w:val="auto"/>
                <w:sz w:val="21"/>
                <w:highlight w:val="none"/>
              </w:rPr>
              <w:t xml:space="preserve"> </w:t>
            </w:r>
            <w:r>
              <w:rPr>
                <w:rFonts w:hint="eastAsia"/>
                <w:b/>
                <w:color w:val="auto"/>
                <w:sz w:val="21"/>
                <w:highlight w:val="none"/>
              </w:rPr>
              <w:t>单位：m</w:t>
            </w:r>
            <w:r>
              <w:rPr>
                <w:b/>
                <w:color w:val="auto"/>
                <w:sz w:val="21"/>
                <w:highlight w:val="none"/>
                <w:vertAlign w:val="superscript"/>
              </w:rPr>
              <w:t>3</w:t>
            </w:r>
            <w:r>
              <w:rPr>
                <w:b/>
                <w:color w:val="auto"/>
                <w:sz w:val="21"/>
                <w:highlight w:val="none"/>
              </w:rPr>
              <w:t>/</w:t>
            </w:r>
            <w:r>
              <w:rPr>
                <w:rFonts w:hint="eastAsia"/>
                <w:b/>
                <w:color w:val="auto"/>
                <w:sz w:val="21"/>
                <w:highlight w:val="none"/>
              </w:rPr>
              <w:t>d</w:t>
            </w:r>
          </w:p>
          <w:p w14:paraId="219525E6">
            <w:pPr>
              <w:pStyle w:val="102"/>
              <w:ind w:firstLine="480"/>
              <w:rPr>
                <w:rFonts w:hint="eastAsia"/>
                <w:color w:val="auto"/>
                <w:highlight w:val="none"/>
              </w:rPr>
            </w:pPr>
          </w:p>
          <w:p w14:paraId="4E2E1AAF">
            <w:pPr>
              <w:pStyle w:val="102"/>
              <w:ind w:firstLine="480"/>
              <w:rPr>
                <w:color w:val="auto"/>
                <w:highlight w:val="none"/>
              </w:rPr>
            </w:pPr>
            <w:r>
              <w:rPr>
                <w:rFonts w:hint="eastAsia"/>
                <w:color w:val="auto"/>
                <w:highlight w:val="none"/>
              </w:rPr>
              <w:t>（</w:t>
            </w:r>
            <w:r>
              <w:rPr>
                <w:color w:val="auto"/>
                <w:highlight w:val="none"/>
              </w:rPr>
              <w:t>3</w:t>
            </w:r>
            <w:r>
              <w:rPr>
                <w:rFonts w:hint="eastAsia"/>
                <w:color w:val="auto"/>
                <w:highlight w:val="none"/>
              </w:rPr>
              <w:t>）供热</w:t>
            </w:r>
          </w:p>
          <w:p w14:paraId="14524787">
            <w:pPr>
              <w:pStyle w:val="102"/>
              <w:ind w:firstLine="480"/>
              <w:rPr>
                <w:color w:val="auto"/>
                <w:highlight w:val="none"/>
              </w:rPr>
            </w:pPr>
            <w:r>
              <w:rPr>
                <w:rFonts w:hint="eastAsia"/>
                <w:color w:val="auto"/>
                <w:highlight w:val="none"/>
              </w:rPr>
              <w:t>本项目生产不用热</w:t>
            </w:r>
            <w:r>
              <w:rPr>
                <w:rFonts w:hint="eastAsia"/>
                <w:color w:val="auto"/>
                <w:highlight w:val="none"/>
                <w:lang w:eastAsia="zh-CN"/>
              </w:rPr>
              <w:t>，</w:t>
            </w:r>
            <w:r>
              <w:rPr>
                <w:rFonts w:hint="eastAsia"/>
                <w:color w:val="auto"/>
                <w:highlight w:val="none"/>
              </w:rPr>
              <w:t>冬季供热采用</w:t>
            </w:r>
            <w:r>
              <w:rPr>
                <w:rFonts w:hint="eastAsia"/>
                <w:color w:val="auto"/>
                <w:highlight w:val="none"/>
                <w:lang w:val="en-US" w:eastAsia="zh-CN"/>
              </w:rPr>
              <w:t>集中供热供给</w:t>
            </w:r>
            <w:r>
              <w:rPr>
                <w:color w:val="auto"/>
                <w:highlight w:val="none"/>
              </w:rPr>
              <w:t>。</w:t>
            </w:r>
          </w:p>
          <w:p w14:paraId="79383318">
            <w:pPr>
              <w:pStyle w:val="102"/>
              <w:ind w:firstLine="480"/>
              <w:rPr>
                <w:color w:val="auto"/>
              </w:rPr>
            </w:pPr>
            <w:r>
              <w:rPr>
                <w:rFonts w:hint="eastAsia"/>
                <w:color w:val="auto"/>
              </w:rPr>
              <w:t>（4）供电</w:t>
            </w:r>
          </w:p>
          <w:p w14:paraId="4C7FB936">
            <w:pPr>
              <w:pStyle w:val="102"/>
              <w:ind w:firstLine="480"/>
              <w:rPr>
                <w:color w:val="auto"/>
              </w:rPr>
            </w:pPr>
            <w:r>
              <w:rPr>
                <w:rFonts w:hint="eastAsia"/>
                <w:color w:val="auto"/>
              </w:rPr>
              <w:t>本项目供电由当地供电局供给。</w:t>
            </w:r>
          </w:p>
          <w:p w14:paraId="42D98813">
            <w:pPr>
              <w:pStyle w:val="102"/>
              <w:ind w:firstLine="480"/>
              <w:rPr>
                <w:color w:val="auto"/>
              </w:rPr>
            </w:pPr>
            <w:r>
              <w:rPr>
                <w:color w:val="auto"/>
              </w:rPr>
              <w:t>6、</w:t>
            </w:r>
            <w:r>
              <w:rPr>
                <w:rFonts w:hint="eastAsia"/>
                <w:color w:val="auto"/>
              </w:rPr>
              <w:t>劳动定员和工作天数</w:t>
            </w:r>
          </w:p>
          <w:p w14:paraId="5A6BA549">
            <w:pPr>
              <w:pStyle w:val="102"/>
              <w:ind w:firstLine="480"/>
              <w:rPr>
                <w:bCs/>
                <w:color w:val="auto"/>
              </w:rPr>
            </w:pPr>
            <w:r>
              <w:rPr>
                <w:rFonts w:hint="eastAsia"/>
                <w:bCs/>
                <w:color w:val="auto"/>
              </w:rPr>
              <w:t>劳动定员：项目职</w:t>
            </w:r>
            <w:r>
              <w:rPr>
                <w:rFonts w:hint="eastAsia"/>
                <w:bCs/>
                <w:color w:val="auto"/>
                <w:lang w:val="en-US" w:eastAsia="zh-CN"/>
              </w:rPr>
              <w:t>6</w:t>
            </w:r>
            <w:r>
              <w:rPr>
                <w:rFonts w:hint="eastAsia"/>
                <w:bCs/>
                <w:color w:val="auto"/>
              </w:rPr>
              <w:t>人。</w:t>
            </w:r>
          </w:p>
          <w:p w14:paraId="7C93A988">
            <w:pPr>
              <w:pStyle w:val="102"/>
              <w:ind w:firstLine="480"/>
              <w:rPr>
                <w:bCs/>
                <w:color w:val="auto"/>
                <w:highlight w:val="none"/>
              </w:rPr>
            </w:pPr>
            <w:r>
              <w:rPr>
                <w:rFonts w:hint="eastAsia"/>
                <w:bCs/>
                <w:color w:val="auto"/>
                <w:highlight w:val="none"/>
              </w:rPr>
              <w:t>工作天数：年工作</w:t>
            </w:r>
            <w:r>
              <w:rPr>
                <w:bCs/>
                <w:color w:val="auto"/>
                <w:highlight w:val="none"/>
              </w:rPr>
              <w:t>300</w:t>
            </w:r>
            <w:r>
              <w:rPr>
                <w:rFonts w:hint="eastAsia"/>
                <w:bCs/>
                <w:color w:val="auto"/>
                <w:highlight w:val="none"/>
              </w:rPr>
              <w:t>天</w:t>
            </w:r>
            <w:r>
              <w:rPr>
                <w:rFonts w:hint="eastAsia"/>
                <w:bCs/>
                <w:color w:val="auto"/>
                <w:highlight w:val="none"/>
                <w:lang w:eastAsia="zh-CN"/>
              </w:rPr>
              <w:t>，</w:t>
            </w:r>
            <w:r>
              <w:rPr>
                <w:bCs/>
                <w:color w:val="auto"/>
                <w:highlight w:val="none"/>
              </w:rPr>
              <w:t>1</w:t>
            </w:r>
            <w:r>
              <w:rPr>
                <w:rFonts w:hint="eastAsia"/>
                <w:bCs/>
                <w:color w:val="auto"/>
                <w:highlight w:val="none"/>
              </w:rPr>
              <w:t>班制</w:t>
            </w:r>
            <w:r>
              <w:rPr>
                <w:rFonts w:hint="eastAsia"/>
                <w:bCs/>
                <w:color w:val="auto"/>
                <w:highlight w:val="none"/>
                <w:lang w:eastAsia="zh-CN"/>
              </w:rPr>
              <w:t>，</w:t>
            </w:r>
            <w:r>
              <w:rPr>
                <w:rFonts w:hint="eastAsia"/>
                <w:bCs/>
                <w:color w:val="auto"/>
                <w:highlight w:val="none"/>
              </w:rPr>
              <w:t>每天工作</w:t>
            </w:r>
            <w:r>
              <w:rPr>
                <w:bCs/>
                <w:color w:val="auto"/>
                <w:highlight w:val="none"/>
              </w:rPr>
              <w:t>8</w:t>
            </w:r>
            <w:r>
              <w:rPr>
                <w:rFonts w:hint="eastAsia"/>
                <w:bCs/>
                <w:color w:val="auto"/>
                <w:highlight w:val="none"/>
              </w:rPr>
              <w:t>小时</w:t>
            </w:r>
            <w:r>
              <w:rPr>
                <w:rFonts w:hint="eastAsia"/>
                <w:bCs/>
                <w:color w:val="auto"/>
                <w:highlight w:val="none"/>
                <w:lang w:eastAsia="zh-CN"/>
              </w:rPr>
              <w:t>，</w:t>
            </w:r>
            <w:r>
              <w:rPr>
                <w:rFonts w:hint="eastAsia"/>
                <w:bCs/>
                <w:color w:val="auto"/>
                <w:highlight w:val="none"/>
              </w:rPr>
              <w:t>项目不设食堂和宿舍。</w:t>
            </w:r>
          </w:p>
          <w:p w14:paraId="344AC2CB">
            <w:pPr>
              <w:pStyle w:val="102"/>
              <w:ind w:firstLine="480"/>
              <w:rPr>
                <w:color w:val="auto"/>
                <w:highlight w:val="none"/>
              </w:rPr>
            </w:pPr>
            <w:r>
              <w:rPr>
                <w:color w:val="auto"/>
                <w:highlight w:val="none"/>
              </w:rPr>
              <w:t>7、平面布置</w:t>
            </w:r>
          </w:p>
          <w:p w14:paraId="74D94375">
            <w:pPr>
              <w:pStyle w:val="102"/>
              <w:ind w:firstLine="480"/>
              <w:rPr>
                <w:color w:val="auto"/>
              </w:rPr>
            </w:pPr>
            <w:r>
              <w:rPr>
                <w:rFonts w:hint="eastAsia"/>
                <w:color w:val="auto"/>
                <w:highlight w:val="none"/>
              </w:rPr>
              <w:t>本项目利用</w:t>
            </w:r>
            <w:r>
              <w:rPr>
                <w:rFonts w:hint="eastAsia"/>
                <w:color w:val="auto"/>
                <w:highlight w:val="none"/>
                <w:lang w:eastAsia="zh-CN"/>
              </w:rPr>
              <w:t>黑龙江省鹤岗市南山煤矿</w:t>
            </w:r>
            <w:r>
              <w:rPr>
                <w:rFonts w:hint="eastAsia"/>
                <w:color w:val="auto"/>
                <w:highlight w:val="none"/>
              </w:rPr>
              <w:t>中</w:t>
            </w:r>
            <w:r>
              <w:rPr>
                <w:rFonts w:hint="eastAsia"/>
                <w:color w:val="auto"/>
                <w:highlight w:val="none"/>
                <w:lang w:val="en-US" w:eastAsia="zh-CN"/>
              </w:rPr>
              <w:t>2栋</w:t>
            </w:r>
            <w:r>
              <w:rPr>
                <w:rFonts w:hint="eastAsia"/>
                <w:color w:val="auto"/>
                <w:highlight w:val="none"/>
              </w:rPr>
              <w:t>闲置建筑的部分区域进行生产</w:t>
            </w:r>
            <w:r>
              <w:rPr>
                <w:rFonts w:hint="eastAsia"/>
                <w:color w:val="auto"/>
                <w:highlight w:val="none"/>
                <w:lang w:eastAsia="zh-CN"/>
              </w:rPr>
              <w:t>，</w:t>
            </w:r>
            <w:r>
              <w:rPr>
                <w:rFonts w:hint="eastAsia"/>
                <w:color w:val="auto"/>
                <w:highlight w:val="none"/>
                <w:lang w:val="en-US" w:eastAsia="zh-CN"/>
              </w:rPr>
              <w:t>建筑</w:t>
            </w:r>
            <w:r>
              <w:rPr>
                <w:rFonts w:hint="eastAsia"/>
                <w:color w:val="auto"/>
                <w:highlight w:val="none"/>
              </w:rPr>
              <w:t>面积</w:t>
            </w:r>
            <w:r>
              <w:rPr>
                <w:rFonts w:hint="eastAsia"/>
                <w:color w:val="auto"/>
                <w:highlight w:val="none"/>
                <w:lang w:val="en-US" w:eastAsia="zh-CN"/>
              </w:rPr>
              <w:t>550</w:t>
            </w:r>
            <w:r>
              <w:rPr>
                <w:rFonts w:hint="eastAsia"/>
                <w:color w:val="auto"/>
                <w:highlight w:val="none"/>
              </w:rPr>
              <w:t>m</w:t>
            </w:r>
            <w:r>
              <w:rPr>
                <w:rFonts w:hint="eastAsia"/>
                <w:color w:val="auto"/>
                <w:highlight w:val="none"/>
                <w:vertAlign w:val="superscript"/>
              </w:rPr>
              <w:t>2</w:t>
            </w:r>
            <w:r>
              <w:rPr>
                <w:rFonts w:hint="eastAsia"/>
                <w:color w:val="auto"/>
                <w:highlight w:val="none"/>
                <w:lang w:eastAsia="zh-CN"/>
              </w:rPr>
              <w:t>，</w:t>
            </w:r>
            <w:r>
              <w:rPr>
                <w:rFonts w:hint="eastAsia"/>
                <w:color w:val="auto"/>
                <w:highlight w:val="none"/>
                <w:lang w:val="en-US" w:eastAsia="zh-CN"/>
              </w:rPr>
              <w:t>生产车间</w:t>
            </w:r>
            <w:r>
              <w:rPr>
                <w:rFonts w:hint="eastAsia"/>
                <w:color w:val="auto"/>
                <w:highlight w:val="none"/>
              </w:rPr>
              <w:t>内</w:t>
            </w:r>
            <w:r>
              <w:rPr>
                <w:rFonts w:hint="eastAsia"/>
                <w:color w:val="auto"/>
                <w:highlight w:val="none"/>
                <w:lang w:val="en-US" w:eastAsia="zh-CN"/>
              </w:rPr>
              <w:t>位于厂区北侧，</w:t>
            </w:r>
            <w:r>
              <w:rPr>
                <w:rFonts w:hint="eastAsia"/>
                <w:color w:val="auto"/>
                <w:highlight w:val="none"/>
              </w:rPr>
              <w:t>设置原料区、生产区、成品区</w:t>
            </w:r>
            <w:r>
              <w:rPr>
                <w:rFonts w:hint="eastAsia"/>
                <w:color w:val="auto"/>
                <w:highlight w:val="none"/>
                <w:lang w:eastAsia="zh-CN"/>
              </w:rPr>
              <w:t>，</w:t>
            </w:r>
            <w:r>
              <w:rPr>
                <w:rFonts w:hint="eastAsia"/>
                <w:color w:val="auto"/>
                <w:highlight w:val="none"/>
                <w:lang w:val="en-US" w:eastAsia="zh-CN"/>
              </w:rPr>
              <w:t>办公室及化验室位于厂区南侧，</w:t>
            </w:r>
            <w:r>
              <w:rPr>
                <w:color w:val="auto"/>
                <w:highlight w:val="none"/>
              </w:rPr>
              <w:t>满足生产需要。根据厂区自然条件</w:t>
            </w:r>
            <w:r>
              <w:rPr>
                <w:rFonts w:hint="eastAsia"/>
                <w:color w:val="auto"/>
                <w:highlight w:val="none"/>
                <w:lang w:eastAsia="zh-CN"/>
              </w:rPr>
              <w:t>，</w:t>
            </w:r>
            <w:r>
              <w:rPr>
                <w:color w:val="auto"/>
                <w:highlight w:val="none"/>
              </w:rPr>
              <w:t>生产区布局紧凑</w:t>
            </w:r>
            <w:r>
              <w:rPr>
                <w:rFonts w:hint="eastAsia"/>
                <w:color w:val="auto"/>
                <w:highlight w:val="none"/>
                <w:lang w:eastAsia="zh-CN"/>
              </w:rPr>
              <w:t>，</w:t>
            </w:r>
            <w:r>
              <w:rPr>
                <w:color w:val="auto"/>
                <w:highlight w:val="none"/>
              </w:rPr>
              <w:t>厂区整体环境和谐</w:t>
            </w:r>
            <w:r>
              <w:rPr>
                <w:rFonts w:hint="eastAsia"/>
                <w:color w:val="auto"/>
                <w:highlight w:val="none"/>
                <w:lang w:eastAsia="zh-CN"/>
              </w:rPr>
              <w:t>，</w:t>
            </w:r>
            <w:r>
              <w:rPr>
                <w:color w:val="auto"/>
                <w:highlight w:val="none"/>
              </w:rPr>
              <w:t>因此厂区布置合理</w:t>
            </w:r>
            <w:r>
              <w:rPr>
                <w:rFonts w:hint="eastAsia"/>
                <w:color w:val="auto"/>
                <w:highlight w:val="none"/>
              </w:rPr>
              <w:t>。厂区平面布置及四周环境关系见附图2。</w:t>
            </w:r>
          </w:p>
        </w:tc>
      </w:tr>
      <w:tr w14:paraId="13915ED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392" w:type="dxa"/>
            <w:vAlign w:val="center"/>
          </w:tcPr>
          <w:p w14:paraId="36A7EDEE">
            <w:pPr>
              <w:pStyle w:val="38"/>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color w:val="auto"/>
                <w:sz w:val="21"/>
                <w:szCs w:val="21"/>
              </w:rPr>
              <w:t>工艺流程和产排污环节</w:t>
            </w:r>
          </w:p>
        </w:tc>
        <w:tc>
          <w:tcPr>
            <w:tcW w:w="8668" w:type="dxa"/>
          </w:tcPr>
          <w:p w14:paraId="1770C18C">
            <w:pPr>
              <w:pStyle w:val="102"/>
              <w:ind w:firstLine="480"/>
              <w:rPr>
                <w:color w:val="auto"/>
              </w:rPr>
            </w:pPr>
            <w:r>
              <w:rPr>
                <w:rFonts w:hint="eastAsia"/>
                <w:color w:val="auto"/>
              </w:rPr>
              <w:t>1、施工期</w:t>
            </w:r>
          </w:p>
          <w:p w14:paraId="20517318">
            <w:pPr>
              <w:pStyle w:val="102"/>
              <w:ind w:firstLine="480"/>
              <w:rPr>
                <w:color w:val="auto"/>
              </w:rPr>
            </w:pPr>
            <w:r>
              <w:rPr>
                <w:rFonts w:hint="eastAsia"/>
                <w:color w:val="auto"/>
              </w:rPr>
              <w:t>本项目施工期仅为设备安装</w:t>
            </w:r>
            <w:r>
              <w:rPr>
                <w:rFonts w:hint="eastAsia"/>
                <w:color w:val="auto"/>
                <w:lang w:eastAsia="zh-CN"/>
              </w:rPr>
              <w:t>，</w:t>
            </w:r>
            <w:r>
              <w:rPr>
                <w:rFonts w:hint="eastAsia"/>
                <w:color w:val="auto"/>
              </w:rPr>
              <w:t>不涉及土建工程。</w:t>
            </w:r>
          </w:p>
          <w:p w14:paraId="30678F5B">
            <w:pPr>
              <w:pStyle w:val="102"/>
              <w:ind w:firstLine="480"/>
              <w:rPr>
                <w:color w:val="auto"/>
              </w:rPr>
            </w:pPr>
            <w:r>
              <w:rPr>
                <w:color w:val="auto"/>
              </w:rPr>
              <w:t>2</w:t>
            </w:r>
            <w:r>
              <w:rPr>
                <w:rFonts w:hint="eastAsia"/>
                <w:color w:val="auto"/>
              </w:rPr>
              <w:t>、运营期</w:t>
            </w:r>
          </w:p>
          <w:p w14:paraId="5154ED53">
            <w:pPr>
              <w:pStyle w:val="102"/>
              <w:ind w:firstLine="480"/>
              <w:rPr>
                <w:color w:val="auto"/>
              </w:rPr>
            </w:pPr>
            <w:r>
              <w:rPr>
                <w:color w:val="auto"/>
              </w:rPr>
              <w:t>（1）</w:t>
            </w:r>
            <w:r>
              <w:rPr>
                <w:rFonts w:hint="eastAsia"/>
                <w:color w:val="auto"/>
              </w:rPr>
              <w:t>工艺流程</w:t>
            </w:r>
            <w:bookmarkStart w:id="18" w:name="_GoBack"/>
            <w:bookmarkEnd w:id="18"/>
          </w:p>
          <w:p w14:paraId="02D6A91B">
            <w:pPr>
              <w:pStyle w:val="102"/>
              <w:ind w:firstLine="480"/>
              <w:rPr>
                <w:color w:val="auto"/>
              </w:rPr>
            </w:pPr>
            <w:r>
              <w:rPr>
                <w:rFonts w:hint="eastAsia"/>
                <w:color w:val="auto"/>
                <w:lang w:eastAsia="zh-CN"/>
              </w:rPr>
              <w:t>煤矿加固煤岩体用硅酸盐改性聚氨醋材料</w:t>
            </w:r>
            <w:r>
              <w:rPr>
                <w:rFonts w:hint="eastAsia"/>
                <w:color w:val="auto"/>
              </w:rPr>
              <w:t>的生产过程较简单</w:t>
            </w:r>
            <w:r>
              <w:rPr>
                <w:rFonts w:hint="eastAsia"/>
                <w:color w:val="auto"/>
                <w:lang w:eastAsia="zh-CN"/>
              </w:rPr>
              <w:t>，</w:t>
            </w:r>
            <w:r>
              <w:rPr>
                <w:rFonts w:hint="eastAsia"/>
                <w:color w:val="auto"/>
              </w:rPr>
              <w:t>主要为几种原料进行混合</w:t>
            </w:r>
            <w:r>
              <w:rPr>
                <w:rFonts w:hint="eastAsia"/>
                <w:color w:val="auto"/>
                <w:lang w:eastAsia="zh-CN"/>
              </w:rPr>
              <w:t>，</w:t>
            </w:r>
            <w:r>
              <w:rPr>
                <w:rFonts w:hint="eastAsia"/>
                <w:color w:val="auto"/>
              </w:rPr>
              <w:t>分别生产成A、B组分</w:t>
            </w:r>
            <w:r>
              <w:rPr>
                <w:rFonts w:hint="eastAsia"/>
                <w:color w:val="auto"/>
                <w:lang w:eastAsia="zh-CN"/>
              </w:rPr>
              <w:t>，</w:t>
            </w:r>
            <w:r>
              <w:rPr>
                <w:rFonts w:hint="eastAsia"/>
                <w:color w:val="auto"/>
              </w:rPr>
              <w:t>之后送至煤矿井下进行混合使用。</w:t>
            </w:r>
          </w:p>
          <w:p w14:paraId="79285A61">
            <w:pPr>
              <w:pStyle w:val="102"/>
              <w:ind w:firstLine="480"/>
              <w:rPr>
                <w:color w:val="auto"/>
              </w:rPr>
            </w:pPr>
            <w:r>
              <w:rPr>
                <w:rFonts w:hint="eastAsia"/>
                <w:color w:val="auto"/>
              </w:rPr>
              <w:t>①A组分产品</w:t>
            </w:r>
          </w:p>
          <w:p w14:paraId="55BD8C95">
            <w:pPr>
              <w:pStyle w:val="102"/>
              <w:ind w:firstLine="480"/>
              <w:rPr>
                <w:color w:val="auto"/>
              </w:rPr>
            </w:pPr>
            <w:r>
              <w:rPr>
                <w:rFonts w:hint="eastAsia"/>
                <w:color w:val="auto"/>
              </w:rPr>
              <w:t>A组分产品由液体硅酸钠、聚醚多元醇、甘油按照一定的比例由泵打入搅拌</w:t>
            </w:r>
            <w:r>
              <w:rPr>
                <w:rFonts w:hint="eastAsia"/>
                <w:color w:val="auto"/>
                <w:lang w:eastAsia="zh-CN"/>
              </w:rPr>
              <w:t>罐</w:t>
            </w:r>
            <w:r>
              <w:rPr>
                <w:rFonts w:hint="eastAsia"/>
                <w:color w:val="auto"/>
              </w:rPr>
              <w:t>进行高速搅拌</w:t>
            </w:r>
            <w:r>
              <w:rPr>
                <w:rFonts w:hint="eastAsia"/>
                <w:color w:val="auto"/>
                <w:lang w:eastAsia="zh-CN"/>
              </w:rPr>
              <w:t>，</w:t>
            </w:r>
            <w:r>
              <w:rPr>
                <w:rFonts w:hint="eastAsia"/>
                <w:color w:val="auto"/>
              </w:rPr>
              <w:t>在混合搅拌过程中没有化学反应发生</w:t>
            </w:r>
            <w:r>
              <w:rPr>
                <w:rFonts w:hint="eastAsia"/>
                <w:color w:val="auto"/>
                <w:lang w:eastAsia="zh-CN"/>
              </w:rPr>
              <w:t>，</w:t>
            </w:r>
            <w:r>
              <w:rPr>
                <w:rFonts w:hint="eastAsia"/>
                <w:color w:val="auto"/>
              </w:rPr>
              <w:t>不加热。原料计量采用流量计进行计量</w:t>
            </w:r>
            <w:r>
              <w:rPr>
                <w:rFonts w:hint="eastAsia"/>
                <w:color w:val="auto"/>
                <w:lang w:eastAsia="zh-CN"/>
              </w:rPr>
              <w:t>，</w:t>
            </w:r>
            <w:r>
              <w:rPr>
                <w:rFonts w:hint="eastAsia"/>
                <w:color w:val="auto"/>
              </w:rPr>
              <w:t>搅拌</w:t>
            </w:r>
            <w:r>
              <w:rPr>
                <w:rFonts w:hint="eastAsia"/>
                <w:color w:val="auto"/>
                <w:lang w:eastAsia="zh-CN"/>
              </w:rPr>
              <w:t>罐</w:t>
            </w:r>
            <w:r>
              <w:rPr>
                <w:rFonts w:hint="eastAsia"/>
                <w:color w:val="auto"/>
              </w:rPr>
              <w:t>密闭</w:t>
            </w:r>
            <w:r>
              <w:rPr>
                <w:rFonts w:hint="eastAsia"/>
                <w:color w:val="auto"/>
                <w:lang w:eastAsia="zh-CN"/>
              </w:rPr>
              <w:t>，</w:t>
            </w:r>
            <w:r>
              <w:rPr>
                <w:rFonts w:hint="eastAsia"/>
                <w:color w:val="auto"/>
              </w:rPr>
              <w:t>然后搅拌2-3小时</w:t>
            </w:r>
            <w:r>
              <w:rPr>
                <w:rFonts w:hint="eastAsia"/>
                <w:color w:val="auto"/>
                <w:lang w:eastAsia="zh-CN"/>
              </w:rPr>
              <w:t>，</w:t>
            </w:r>
            <w:r>
              <w:rPr>
                <w:rFonts w:hint="eastAsia"/>
                <w:color w:val="auto"/>
              </w:rPr>
              <w:t>之后通过管道输送至桶装线进行包装。</w:t>
            </w:r>
          </w:p>
          <w:p w14:paraId="490FEBD0">
            <w:pPr>
              <w:pStyle w:val="102"/>
              <w:ind w:firstLine="480"/>
              <w:rPr>
                <w:color w:val="auto"/>
              </w:rPr>
            </w:pPr>
            <w:r>
              <w:rPr>
                <w:rFonts w:hint="eastAsia"/>
                <w:color w:val="auto"/>
              </w:rPr>
              <w:t>②</w:t>
            </w:r>
            <w:r>
              <w:rPr>
                <w:color w:val="auto"/>
              </w:rPr>
              <w:t>B</w:t>
            </w:r>
            <w:r>
              <w:rPr>
                <w:rFonts w:hint="eastAsia"/>
                <w:color w:val="auto"/>
              </w:rPr>
              <w:t>组分产品</w:t>
            </w:r>
          </w:p>
          <w:p w14:paraId="265D1E28">
            <w:pPr>
              <w:pStyle w:val="102"/>
              <w:ind w:firstLine="480"/>
              <w:rPr>
                <w:color w:val="auto"/>
              </w:rPr>
            </w:pPr>
            <w:r>
              <w:rPr>
                <w:color w:val="auto"/>
              </w:rPr>
              <w:t>B</w:t>
            </w:r>
            <w:r>
              <w:rPr>
                <w:rFonts w:hint="eastAsia"/>
                <w:color w:val="auto"/>
              </w:rPr>
              <w:t>组分产品由聚合MDI、阻燃剂（</w:t>
            </w:r>
            <w:r>
              <w:rPr>
                <w:color w:val="auto"/>
              </w:rPr>
              <w:t>TCPP</w:t>
            </w:r>
            <w:r>
              <w:rPr>
                <w:rFonts w:hint="eastAsia"/>
                <w:color w:val="auto"/>
              </w:rPr>
              <w:t>）和增塑剂（二丁酯）按照一定的比例由齿轮泵打入搅拌</w:t>
            </w:r>
            <w:r>
              <w:rPr>
                <w:rFonts w:hint="eastAsia"/>
                <w:color w:val="auto"/>
                <w:lang w:eastAsia="zh-CN"/>
              </w:rPr>
              <w:t>罐</w:t>
            </w:r>
            <w:r>
              <w:rPr>
                <w:rFonts w:hint="eastAsia"/>
                <w:color w:val="auto"/>
              </w:rPr>
              <w:t>进行高速搅拌</w:t>
            </w:r>
            <w:r>
              <w:rPr>
                <w:rFonts w:hint="eastAsia"/>
                <w:color w:val="auto"/>
                <w:lang w:eastAsia="zh-CN"/>
              </w:rPr>
              <w:t>，</w:t>
            </w:r>
            <w:r>
              <w:rPr>
                <w:rFonts w:hint="eastAsia"/>
                <w:color w:val="auto"/>
              </w:rPr>
              <w:t>在混合搅拌过程中没有化学反应发生</w:t>
            </w:r>
            <w:r>
              <w:rPr>
                <w:rFonts w:hint="eastAsia"/>
                <w:color w:val="auto"/>
                <w:lang w:eastAsia="zh-CN"/>
              </w:rPr>
              <w:t>，</w:t>
            </w:r>
            <w:r>
              <w:rPr>
                <w:rFonts w:hint="eastAsia"/>
                <w:color w:val="auto"/>
              </w:rPr>
              <w:t>不加热。原料计量采用流量计进行计量</w:t>
            </w:r>
            <w:r>
              <w:rPr>
                <w:rFonts w:hint="eastAsia"/>
                <w:color w:val="auto"/>
                <w:lang w:eastAsia="zh-CN"/>
              </w:rPr>
              <w:t>，</w:t>
            </w:r>
            <w:r>
              <w:rPr>
                <w:rFonts w:hint="eastAsia"/>
                <w:color w:val="auto"/>
              </w:rPr>
              <w:t>搅拌</w:t>
            </w:r>
            <w:r>
              <w:rPr>
                <w:rFonts w:hint="eastAsia"/>
                <w:color w:val="auto"/>
                <w:lang w:eastAsia="zh-CN"/>
              </w:rPr>
              <w:t>罐</w:t>
            </w:r>
            <w:r>
              <w:rPr>
                <w:rFonts w:hint="eastAsia"/>
                <w:color w:val="auto"/>
              </w:rPr>
              <w:t>密闭</w:t>
            </w:r>
            <w:r>
              <w:rPr>
                <w:rFonts w:hint="eastAsia"/>
                <w:color w:val="auto"/>
                <w:lang w:eastAsia="zh-CN"/>
              </w:rPr>
              <w:t>，</w:t>
            </w:r>
            <w:r>
              <w:rPr>
                <w:rFonts w:hint="eastAsia"/>
                <w:color w:val="auto"/>
              </w:rPr>
              <w:t>然后搅拌2-3小时</w:t>
            </w:r>
            <w:r>
              <w:rPr>
                <w:rFonts w:hint="eastAsia"/>
                <w:color w:val="auto"/>
                <w:lang w:eastAsia="zh-CN"/>
              </w:rPr>
              <w:t>，</w:t>
            </w:r>
            <w:r>
              <w:rPr>
                <w:rFonts w:hint="eastAsia"/>
                <w:color w:val="auto"/>
              </w:rPr>
              <w:t>之后通过管道输送至桶装线进行灌装。</w:t>
            </w:r>
          </w:p>
          <w:p w14:paraId="16D63EAA">
            <w:pPr>
              <w:pStyle w:val="102"/>
              <w:spacing w:line="240" w:lineRule="auto"/>
              <w:ind w:firstLine="0" w:firstLineChars="0"/>
              <w:rPr>
                <w:color w:val="auto"/>
              </w:rPr>
            </w:pPr>
            <w:r>
              <w:rPr>
                <w:color w:val="auto"/>
              </w:rPr>
              <w:object>
                <v:shape id="_x0000_i1027" o:spt="75" type="#_x0000_t75" style="height:220.5pt;width:397.5pt;" o:ole="t" filled="f" o:preferrelative="t" stroked="f" coordsize="21600,21600">
                  <v:path/>
                  <v:fill on="f" focussize="0,0"/>
                  <v:stroke on="f" joinstyle="miter"/>
                  <v:imagedata r:id="rId16" o:title=""/>
                  <o:lock v:ext="edit" aspectratio="t"/>
                  <w10:wrap type="none"/>
                  <w10:anchorlock/>
                </v:shape>
                <o:OLEObject Type="Embed" ProgID="Visio.Drawing.15" ShapeID="_x0000_i1027" DrawAspect="Content" ObjectID="_1468075727" r:id="rId15">
                  <o:LockedField>false</o:LockedField>
                </o:OLEObject>
              </w:object>
            </w:r>
          </w:p>
          <w:p w14:paraId="3714EAC3">
            <w:pPr>
              <w:pStyle w:val="101"/>
              <w:rPr>
                <w:b/>
                <w:color w:val="auto"/>
                <w:kern w:val="2"/>
                <w:szCs w:val="24"/>
              </w:rPr>
            </w:pPr>
            <w:r>
              <w:rPr>
                <w:b/>
                <w:color w:val="auto"/>
                <w:kern w:val="2"/>
                <w:szCs w:val="24"/>
              </w:rPr>
              <w:t>图2-</w:t>
            </w:r>
            <w:r>
              <w:rPr>
                <w:rFonts w:hint="eastAsia"/>
                <w:b/>
                <w:color w:val="auto"/>
                <w:kern w:val="2"/>
                <w:szCs w:val="24"/>
                <w:lang w:val="en-US" w:eastAsia="zh-CN"/>
              </w:rPr>
              <w:t xml:space="preserve">3 </w:t>
            </w:r>
            <w:r>
              <w:rPr>
                <w:b/>
                <w:color w:val="auto"/>
                <w:kern w:val="2"/>
                <w:szCs w:val="24"/>
              </w:rPr>
              <w:t xml:space="preserve"> </w:t>
            </w:r>
            <w:r>
              <w:rPr>
                <w:rFonts w:hint="eastAsia"/>
                <w:b/>
                <w:color w:val="auto"/>
                <w:kern w:val="2"/>
                <w:szCs w:val="24"/>
              </w:rPr>
              <w:t>运营期</w:t>
            </w:r>
            <w:r>
              <w:rPr>
                <w:b/>
                <w:color w:val="auto"/>
                <w:kern w:val="2"/>
                <w:szCs w:val="24"/>
              </w:rPr>
              <w:t>工艺流程及产污环节示意图</w:t>
            </w:r>
          </w:p>
          <w:p w14:paraId="08F800C5">
            <w:pPr>
              <w:pStyle w:val="102"/>
              <w:ind w:firstLine="480"/>
              <w:rPr>
                <w:color w:val="auto"/>
              </w:rPr>
            </w:pPr>
            <w:r>
              <w:rPr>
                <w:color w:val="auto"/>
              </w:rPr>
              <w:t>（2）</w:t>
            </w:r>
            <w:r>
              <w:rPr>
                <w:rFonts w:hint="eastAsia"/>
                <w:color w:val="auto"/>
              </w:rPr>
              <w:t>产污环节</w:t>
            </w:r>
          </w:p>
          <w:p w14:paraId="33F5D996">
            <w:pPr>
              <w:pStyle w:val="102"/>
              <w:ind w:firstLine="480"/>
              <w:rPr>
                <w:color w:val="auto"/>
              </w:rPr>
            </w:pPr>
            <w:r>
              <w:rPr>
                <w:rFonts w:hint="eastAsia"/>
                <w:color w:val="auto"/>
              </w:rPr>
              <w:t>本项目整个系统为密闭操作</w:t>
            </w:r>
            <w:r>
              <w:rPr>
                <w:rFonts w:hint="eastAsia"/>
                <w:color w:val="auto"/>
                <w:lang w:eastAsia="zh-CN"/>
              </w:rPr>
              <w:t>，</w:t>
            </w:r>
            <w:r>
              <w:rPr>
                <w:rFonts w:hint="eastAsia"/>
                <w:color w:val="auto"/>
              </w:rPr>
              <w:t>搅拌</w:t>
            </w:r>
            <w:r>
              <w:rPr>
                <w:rFonts w:hint="eastAsia"/>
                <w:color w:val="auto"/>
                <w:lang w:eastAsia="zh-CN"/>
              </w:rPr>
              <w:t>罐</w:t>
            </w:r>
            <w:r>
              <w:rPr>
                <w:rFonts w:hint="eastAsia"/>
                <w:color w:val="auto"/>
              </w:rPr>
              <w:t>采用真空密闭搅拌</w:t>
            </w:r>
            <w:r>
              <w:rPr>
                <w:rFonts w:hint="eastAsia"/>
                <w:color w:val="auto"/>
                <w:lang w:eastAsia="zh-CN"/>
              </w:rPr>
              <w:t>罐，</w:t>
            </w:r>
            <w:r>
              <w:rPr>
                <w:rFonts w:hint="eastAsia"/>
                <w:color w:val="auto"/>
              </w:rPr>
              <w:t>故搅拌过程无废气排放</w:t>
            </w:r>
            <w:r>
              <w:rPr>
                <w:rFonts w:hint="eastAsia"/>
                <w:color w:val="auto"/>
                <w:lang w:eastAsia="zh-CN"/>
              </w:rPr>
              <w:t>，</w:t>
            </w:r>
            <w:r>
              <w:rPr>
                <w:rFonts w:hint="eastAsia"/>
                <w:color w:val="auto"/>
              </w:rPr>
              <w:t>废气主要来自储罐大小呼吸过程产生的无组织废气挥发的废气和灌装过程废气。具体情况见表</w:t>
            </w:r>
            <w:r>
              <w:rPr>
                <w:color w:val="auto"/>
              </w:rPr>
              <w:t>2-</w:t>
            </w:r>
            <w:r>
              <w:rPr>
                <w:rFonts w:hint="eastAsia"/>
                <w:color w:val="auto"/>
                <w:lang w:val="en-US" w:eastAsia="zh-CN"/>
              </w:rPr>
              <w:t>8</w:t>
            </w:r>
            <w:r>
              <w:rPr>
                <w:rFonts w:hint="eastAsia"/>
                <w:color w:val="auto"/>
              </w:rPr>
              <w:t>。</w:t>
            </w:r>
          </w:p>
          <w:p w14:paraId="05A91575">
            <w:pPr>
              <w:pStyle w:val="101"/>
              <w:rPr>
                <w:rFonts w:hint="eastAsia"/>
                <w:b/>
                <w:color w:val="auto"/>
                <w:kern w:val="2"/>
                <w:szCs w:val="24"/>
              </w:rPr>
            </w:pPr>
          </w:p>
          <w:p w14:paraId="1105841D">
            <w:pPr>
              <w:pStyle w:val="101"/>
              <w:rPr>
                <w:rFonts w:hint="eastAsia"/>
                <w:b/>
                <w:color w:val="auto"/>
                <w:kern w:val="2"/>
                <w:szCs w:val="24"/>
              </w:rPr>
            </w:pPr>
          </w:p>
          <w:p w14:paraId="6BD10459">
            <w:pPr>
              <w:pStyle w:val="101"/>
              <w:rPr>
                <w:rFonts w:hint="eastAsia"/>
                <w:b/>
                <w:color w:val="auto"/>
                <w:kern w:val="2"/>
                <w:szCs w:val="24"/>
              </w:rPr>
            </w:pPr>
          </w:p>
          <w:p w14:paraId="39166A6D">
            <w:pPr>
              <w:pStyle w:val="101"/>
              <w:rPr>
                <w:b/>
                <w:color w:val="auto"/>
                <w:kern w:val="2"/>
                <w:szCs w:val="24"/>
              </w:rPr>
            </w:pPr>
            <w:r>
              <w:rPr>
                <w:rFonts w:hint="eastAsia"/>
                <w:b/>
                <w:color w:val="auto"/>
                <w:kern w:val="2"/>
                <w:szCs w:val="24"/>
              </w:rPr>
              <w:t>表</w:t>
            </w:r>
            <w:r>
              <w:rPr>
                <w:b/>
                <w:color w:val="auto"/>
                <w:kern w:val="2"/>
                <w:szCs w:val="24"/>
              </w:rPr>
              <w:t>2-</w:t>
            </w:r>
            <w:r>
              <w:rPr>
                <w:rFonts w:hint="eastAsia"/>
                <w:b/>
                <w:color w:val="auto"/>
                <w:kern w:val="2"/>
                <w:szCs w:val="24"/>
                <w:lang w:val="en-US" w:eastAsia="zh-CN"/>
              </w:rPr>
              <w:t>8</w:t>
            </w:r>
            <w:r>
              <w:rPr>
                <w:b/>
                <w:color w:val="auto"/>
                <w:kern w:val="2"/>
                <w:szCs w:val="24"/>
              </w:rPr>
              <w:t xml:space="preserve">  </w:t>
            </w:r>
            <w:r>
              <w:rPr>
                <w:rFonts w:hint="eastAsia"/>
                <w:b/>
                <w:color w:val="auto"/>
                <w:kern w:val="2"/>
                <w:szCs w:val="24"/>
              </w:rPr>
              <w:t>项目产污环节一览表</w:t>
            </w:r>
          </w:p>
          <w:tbl>
            <w:tblPr>
              <w:tblStyle w:val="43"/>
              <w:tblW w:w="5000" w:type="pct"/>
              <w:jc w:val="center"/>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34"/>
              <w:gridCol w:w="1705"/>
              <w:gridCol w:w="1462"/>
              <w:gridCol w:w="1220"/>
              <w:gridCol w:w="3302"/>
            </w:tblGrid>
            <w:tr w14:paraId="5765F782">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Align w:val="center"/>
                </w:tcPr>
                <w:p w14:paraId="2988364B">
                  <w:pPr>
                    <w:pStyle w:val="101"/>
                    <w:rPr>
                      <w:color w:val="auto"/>
                    </w:rPr>
                  </w:pPr>
                  <w:r>
                    <w:rPr>
                      <w:rFonts w:hint="eastAsia"/>
                      <w:color w:val="auto"/>
                    </w:rPr>
                    <w:t>类别</w:t>
                  </w:r>
                </w:p>
              </w:tc>
              <w:tc>
                <w:tcPr>
                  <w:tcW w:w="1012" w:type="pct"/>
                  <w:vAlign w:val="center"/>
                </w:tcPr>
                <w:p w14:paraId="345CC152">
                  <w:pPr>
                    <w:pStyle w:val="101"/>
                    <w:rPr>
                      <w:color w:val="auto"/>
                    </w:rPr>
                  </w:pPr>
                  <w:r>
                    <w:rPr>
                      <w:rFonts w:hint="eastAsia"/>
                      <w:color w:val="auto"/>
                    </w:rPr>
                    <w:t>来源</w:t>
                  </w:r>
                </w:p>
              </w:tc>
              <w:tc>
                <w:tcPr>
                  <w:tcW w:w="868" w:type="pct"/>
                  <w:vAlign w:val="center"/>
                </w:tcPr>
                <w:p w14:paraId="10990B64">
                  <w:pPr>
                    <w:pStyle w:val="101"/>
                    <w:rPr>
                      <w:color w:val="auto"/>
                    </w:rPr>
                  </w:pPr>
                  <w:r>
                    <w:rPr>
                      <w:rFonts w:hint="eastAsia"/>
                      <w:color w:val="auto"/>
                    </w:rPr>
                    <w:t>主要污染物</w:t>
                  </w:r>
                </w:p>
              </w:tc>
              <w:tc>
                <w:tcPr>
                  <w:tcW w:w="724" w:type="pct"/>
                  <w:vAlign w:val="center"/>
                </w:tcPr>
                <w:p w14:paraId="18816150">
                  <w:pPr>
                    <w:pStyle w:val="101"/>
                    <w:rPr>
                      <w:color w:val="auto"/>
                    </w:rPr>
                  </w:pPr>
                  <w:r>
                    <w:rPr>
                      <w:rFonts w:hint="eastAsia"/>
                      <w:color w:val="auto"/>
                    </w:rPr>
                    <w:t>排放特征</w:t>
                  </w:r>
                </w:p>
              </w:tc>
              <w:tc>
                <w:tcPr>
                  <w:tcW w:w="1960" w:type="pct"/>
                  <w:vAlign w:val="center"/>
                </w:tcPr>
                <w:p w14:paraId="00747E02">
                  <w:pPr>
                    <w:pStyle w:val="101"/>
                    <w:rPr>
                      <w:color w:val="auto"/>
                    </w:rPr>
                  </w:pPr>
                  <w:r>
                    <w:rPr>
                      <w:rFonts w:hint="eastAsia"/>
                      <w:color w:val="auto"/>
                    </w:rPr>
                    <w:t>去向</w:t>
                  </w:r>
                </w:p>
              </w:tc>
            </w:tr>
            <w:tr w14:paraId="3BE79C66">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PrEx>
              <w:trPr>
                <w:trHeight w:val="397" w:hRule="atLeast"/>
                <w:jc w:val="center"/>
              </w:trPr>
              <w:tc>
                <w:tcPr>
                  <w:tcW w:w="436" w:type="pct"/>
                  <w:vMerge w:val="restart"/>
                  <w:vAlign w:val="center"/>
                </w:tcPr>
                <w:p w14:paraId="47C86381">
                  <w:pPr>
                    <w:pStyle w:val="101"/>
                    <w:rPr>
                      <w:color w:val="auto"/>
                    </w:rPr>
                  </w:pPr>
                  <w:r>
                    <w:rPr>
                      <w:rFonts w:hint="eastAsia"/>
                      <w:color w:val="auto"/>
                    </w:rPr>
                    <w:t>废气</w:t>
                  </w:r>
                </w:p>
              </w:tc>
              <w:tc>
                <w:tcPr>
                  <w:tcW w:w="1012" w:type="pct"/>
                  <w:vAlign w:val="center"/>
                </w:tcPr>
                <w:p w14:paraId="7F7BD19C">
                  <w:pPr>
                    <w:pStyle w:val="101"/>
                    <w:rPr>
                      <w:color w:val="auto"/>
                    </w:rPr>
                  </w:pPr>
                  <w:r>
                    <w:rPr>
                      <w:rFonts w:hint="eastAsia"/>
                      <w:color w:val="auto"/>
                    </w:rPr>
                    <w:t>储罐大小呼吸</w:t>
                  </w:r>
                </w:p>
              </w:tc>
              <w:tc>
                <w:tcPr>
                  <w:tcW w:w="868" w:type="pct"/>
                  <w:vAlign w:val="center"/>
                </w:tcPr>
                <w:p w14:paraId="691EBDE3">
                  <w:pPr>
                    <w:pStyle w:val="101"/>
                    <w:rPr>
                      <w:color w:val="auto"/>
                    </w:rPr>
                  </w:pPr>
                  <w:r>
                    <w:rPr>
                      <w:rFonts w:hint="eastAsia"/>
                      <w:color w:val="auto"/>
                    </w:rPr>
                    <w:t>V</w:t>
                  </w:r>
                  <w:r>
                    <w:rPr>
                      <w:color w:val="auto"/>
                    </w:rPr>
                    <w:t>OCs</w:t>
                  </w:r>
                </w:p>
              </w:tc>
              <w:tc>
                <w:tcPr>
                  <w:tcW w:w="724" w:type="pct"/>
                  <w:vAlign w:val="center"/>
                </w:tcPr>
                <w:p w14:paraId="625C074F">
                  <w:pPr>
                    <w:pStyle w:val="101"/>
                    <w:rPr>
                      <w:color w:val="auto"/>
                    </w:rPr>
                  </w:pPr>
                  <w:r>
                    <w:rPr>
                      <w:rFonts w:hint="eastAsia"/>
                      <w:color w:val="auto"/>
                    </w:rPr>
                    <w:t>间歇</w:t>
                  </w:r>
                </w:p>
              </w:tc>
              <w:tc>
                <w:tcPr>
                  <w:tcW w:w="1960" w:type="pct"/>
                  <w:vMerge w:val="restart"/>
                  <w:vAlign w:val="center"/>
                </w:tcPr>
                <w:p w14:paraId="1BCF1FD7">
                  <w:pPr>
                    <w:pStyle w:val="101"/>
                    <w:rPr>
                      <w:color w:val="auto"/>
                    </w:rPr>
                  </w:pPr>
                  <w:r>
                    <w:rPr>
                      <w:rFonts w:hint="eastAsia"/>
                      <w:color w:val="auto"/>
                    </w:rPr>
                    <w:t>活性炭吸附装置</w:t>
                  </w:r>
                </w:p>
                <w:p w14:paraId="68622A07">
                  <w:pPr>
                    <w:pStyle w:val="101"/>
                    <w:rPr>
                      <w:color w:val="auto"/>
                    </w:rPr>
                  </w:pPr>
                  <w:r>
                    <w:rPr>
                      <w:rFonts w:hint="eastAsia"/>
                      <w:color w:val="auto"/>
                    </w:rPr>
                    <w:t>+</w:t>
                  </w:r>
                  <w:r>
                    <w:rPr>
                      <w:color w:val="auto"/>
                    </w:rPr>
                    <w:t>15</w:t>
                  </w:r>
                  <w:r>
                    <w:rPr>
                      <w:rFonts w:hint="eastAsia"/>
                      <w:color w:val="auto"/>
                    </w:rPr>
                    <w:t>m高排气筒</w:t>
                  </w:r>
                </w:p>
              </w:tc>
            </w:tr>
            <w:tr w14:paraId="411BE78D">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Merge w:val="continue"/>
                  <w:vAlign w:val="center"/>
                </w:tcPr>
                <w:p w14:paraId="3600104F">
                  <w:pPr>
                    <w:pStyle w:val="101"/>
                    <w:rPr>
                      <w:color w:val="auto"/>
                    </w:rPr>
                  </w:pPr>
                </w:p>
              </w:tc>
              <w:tc>
                <w:tcPr>
                  <w:tcW w:w="1012" w:type="pct"/>
                  <w:vAlign w:val="center"/>
                </w:tcPr>
                <w:p w14:paraId="403AE302">
                  <w:pPr>
                    <w:pStyle w:val="101"/>
                    <w:rPr>
                      <w:color w:val="auto"/>
                    </w:rPr>
                  </w:pPr>
                  <w:r>
                    <w:rPr>
                      <w:rFonts w:hint="eastAsia"/>
                      <w:color w:val="auto"/>
                    </w:rPr>
                    <w:t>灌装</w:t>
                  </w:r>
                </w:p>
              </w:tc>
              <w:tc>
                <w:tcPr>
                  <w:tcW w:w="868" w:type="pct"/>
                  <w:vAlign w:val="center"/>
                </w:tcPr>
                <w:p w14:paraId="6F524B54">
                  <w:pPr>
                    <w:pStyle w:val="101"/>
                    <w:rPr>
                      <w:color w:val="auto"/>
                    </w:rPr>
                  </w:pPr>
                  <w:r>
                    <w:rPr>
                      <w:rFonts w:hint="eastAsia"/>
                      <w:color w:val="auto"/>
                    </w:rPr>
                    <w:t>V</w:t>
                  </w:r>
                  <w:r>
                    <w:rPr>
                      <w:color w:val="auto"/>
                    </w:rPr>
                    <w:t>OCs</w:t>
                  </w:r>
                </w:p>
              </w:tc>
              <w:tc>
                <w:tcPr>
                  <w:tcW w:w="724" w:type="pct"/>
                  <w:vAlign w:val="center"/>
                </w:tcPr>
                <w:p w14:paraId="3735846B">
                  <w:pPr>
                    <w:pStyle w:val="101"/>
                    <w:rPr>
                      <w:color w:val="auto"/>
                    </w:rPr>
                  </w:pPr>
                  <w:r>
                    <w:rPr>
                      <w:rFonts w:hint="eastAsia"/>
                      <w:color w:val="auto"/>
                    </w:rPr>
                    <w:t>间歇</w:t>
                  </w:r>
                </w:p>
              </w:tc>
              <w:tc>
                <w:tcPr>
                  <w:tcW w:w="1960" w:type="pct"/>
                  <w:vMerge w:val="continue"/>
                  <w:vAlign w:val="center"/>
                </w:tcPr>
                <w:p w14:paraId="6B610F4C">
                  <w:pPr>
                    <w:pStyle w:val="101"/>
                    <w:rPr>
                      <w:color w:val="auto"/>
                    </w:rPr>
                  </w:pPr>
                </w:p>
              </w:tc>
            </w:tr>
            <w:tr w14:paraId="6D265CD8">
              <w:tblPrEx>
                <w:tblBorders>
                  <w:top w:val="single" w:color="auto" w:sz="12" w:space="0"/>
                  <w:left w:val="none" w:color="auto" w:sz="0" w:space="0"/>
                  <w:bottom w:val="single" w:color="auto" w:sz="4"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436" w:type="pct"/>
                  <w:vAlign w:val="center"/>
                </w:tcPr>
                <w:p w14:paraId="5484E9D4">
                  <w:pPr>
                    <w:pStyle w:val="101"/>
                    <w:rPr>
                      <w:color w:val="auto"/>
                    </w:rPr>
                  </w:pPr>
                  <w:r>
                    <w:rPr>
                      <w:rFonts w:hint="eastAsia"/>
                      <w:color w:val="auto"/>
                    </w:rPr>
                    <w:t>噪声</w:t>
                  </w:r>
                </w:p>
              </w:tc>
              <w:tc>
                <w:tcPr>
                  <w:tcW w:w="4564" w:type="pct"/>
                  <w:gridSpan w:val="4"/>
                  <w:vAlign w:val="center"/>
                </w:tcPr>
                <w:p w14:paraId="5B38CE7A">
                  <w:pPr>
                    <w:pStyle w:val="101"/>
                    <w:rPr>
                      <w:color w:val="auto"/>
                    </w:rPr>
                  </w:pPr>
                  <w:r>
                    <w:rPr>
                      <w:rFonts w:hint="eastAsia"/>
                      <w:color w:val="auto"/>
                    </w:rPr>
                    <w:t>主要为风机、泵类等运行过程中产生的噪声</w:t>
                  </w:r>
                </w:p>
              </w:tc>
            </w:tr>
          </w:tbl>
          <w:p w14:paraId="086E4936">
            <w:pPr>
              <w:pStyle w:val="101"/>
              <w:rPr>
                <w:b/>
                <w:color w:val="auto"/>
                <w:kern w:val="2"/>
                <w:szCs w:val="24"/>
              </w:rPr>
            </w:pPr>
          </w:p>
        </w:tc>
      </w:tr>
      <w:tr w14:paraId="67E845D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7937" w:hRule="atLeast"/>
          <w:jc w:val="center"/>
        </w:trPr>
        <w:tc>
          <w:tcPr>
            <w:tcW w:w="392" w:type="dxa"/>
            <w:vAlign w:val="center"/>
          </w:tcPr>
          <w:p w14:paraId="6C7D524F">
            <w:pPr>
              <w:pStyle w:val="38"/>
              <w:adjustRightInd w:val="0"/>
              <w:snapToGrid w:val="0"/>
              <w:spacing w:before="0" w:beforeAutospacing="0" w:after="0" w:afterAutospacing="0"/>
              <w:jc w:val="center"/>
              <w:rPr>
                <w:rFonts w:ascii="Times New Roman" w:hAnsi="Times New Roman"/>
                <w:color w:val="auto"/>
                <w:sz w:val="21"/>
                <w:szCs w:val="21"/>
              </w:rPr>
            </w:pPr>
            <w:r>
              <w:rPr>
                <w:rFonts w:ascii="Times New Roman" w:hAnsi="Times New Roman"/>
                <w:bCs/>
                <w:color w:val="auto"/>
                <w:kern w:val="2"/>
                <w:sz w:val="21"/>
                <w:szCs w:val="21"/>
              </w:rPr>
              <w:t>与项目有关的原有环境污染问题</w:t>
            </w:r>
          </w:p>
        </w:tc>
        <w:tc>
          <w:tcPr>
            <w:tcW w:w="8668" w:type="dxa"/>
          </w:tcPr>
          <w:p w14:paraId="4FF99CD4">
            <w:pPr>
              <w:pStyle w:val="102"/>
              <w:ind w:firstLine="480"/>
              <w:rPr>
                <w:color w:val="auto"/>
              </w:rPr>
            </w:pPr>
            <w:r>
              <w:rPr>
                <w:color w:val="auto"/>
              </w:rPr>
              <w:t>本项目为新建项目</w:t>
            </w:r>
            <w:r>
              <w:rPr>
                <w:rFonts w:hint="eastAsia"/>
                <w:color w:val="auto"/>
                <w:lang w:eastAsia="zh-CN"/>
              </w:rPr>
              <w:t>，</w:t>
            </w:r>
            <w:r>
              <w:rPr>
                <w:rFonts w:hint="eastAsia"/>
                <w:color w:val="auto"/>
              </w:rPr>
              <w:t>利用</w:t>
            </w:r>
            <w:r>
              <w:rPr>
                <w:rFonts w:hint="eastAsia"/>
                <w:color w:val="auto"/>
                <w:lang w:eastAsia="zh-CN"/>
              </w:rPr>
              <w:t>黑龙江省鹤岗市南山煤矿</w:t>
            </w:r>
            <w:r>
              <w:rPr>
                <w:rFonts w:hint="eastAsia"/>
                <w:color w:val="auto"/>
                <w:lang w:val="en-US" w:eastAsia="zh-CN"/>
              </w:rPr>
              <w:t>闲置厂房</w:t>
            </w:r>
            <w:r>
              <w:rPr>
                <w:rFonts w:hint="eastAsia"/>
                <w:color w:val="auto"/>
              </w:rPr>
              <w:t>进行建设</w:t>
            </w:r>
            <w:r>
              <w:rPr>
                <w:rFonts w:hint="eastAsia"/>
                <w:color w:val="auto"/>
                <w:lang w:eastAsia="zh-CN"/>
              </w:rPr>
              <w:t>，</w:t>
            </w:r>
            <w:r>
              <w:rPr>
                <w:rFonts w:hint="eastAsia"/>
                <w:color w:val="auto"/>
              </w:rPr>
              <w:t>无与本项目有关的原有环境污染</w:t>
            </w:r>
            <w:r>
              <w:rPr>
                <w:color w:val="auto"/>
              </w:rPr>
              <w:t>问题。</w:t>
            </w:r>
          </w:p>
          <w:p w14:paraId="4D505AFE">
            <w:pPr>
              <w:pStyle w:val="102"/>
              <w:ind w:firstLine="480"/>
              <w:rPr>
                <w:color w:val="auto"/>
              </w:rPr>
            </w:pPr>
          </w:p>
          <w:p w14:paraId="19B0C033">
            <w:pPr>
              <w:pStyle w:val="102"/>
              <w:ind w:firstLine="480"/>
              <w:rPr>
                <w:color w:val="auto"/>
              </w:rPr>
            </w:pPr>
          </w:p>
          <w:p w14:paraId="664A8F5F">
            <w:pPr>
              <w:pStyle w:val="102"/>
              <w:ind w:firstLine="480"/>
              <w:rPr>
                <w:color w:val="auto"/>
              </w:rPr>
            </w:pPr>
          </w:p>
          <w:p w14:paraId="3E2D8080">
            <w:pPr>
              <w:pStyle w:val="102"/>
              <w:ind w:firstLine="480"/>
              <w:rPr>
                <w:color w:val="auto"/>
              </w:rPr>
            </w:pPr>
          </w:p>
          <w:p w14:paraId="64E4AB02">
            <w:pPr>
              <w:pStyle w:val="102"/>
              <w:ind w:firstLine="480"/>
              <w:rPr>
                <w:color w:val="auto"/>
              </w:rPr>
            </w:pPr>
          </w:p>
          <w:p w14:paraId="6FD879EE">
            <w:pPr>
              <w:pStyle w:val="102"/>
              <w:ind w:firstLine="480"/>
              <w:rPr>
                <w:color w:val="auto"/>
              </w:rPr>
            </w:pPr>
          </w:p>
          <w:p w14:paraId="77D6B2D1">
            <w:pPr>
              <w:pStyle w:val="102"/>
              <w:ind w:firstLine="480"/>
              <w:rPr>
                <w:color w:val="auto"/>
              </w:rPr>
            </w:pPr>
          </w:p>
          <w:p w14:paraId="39B89273">
            <w:pPr>
              <w:pStyle w:val="102"/>
              <w:ind w:firstLine="480"/>
              <w:rPr>
                <w:color w:val="auto"/>
              </w:rPr>
            </w:pPr>
          </w:p>
          <w:p w14:paraId="22795E85">
            <w:pPr>
              <w:pStyle w:val="102"/>
              <w:ind w:firstLine="480"/>
              <w:rPr>
                <w:color w:val="auto"/>
              </w:rPr>
            </w:pPr>
          </w:p>
          <w:p w14:paraId="517BA9D2">
            <w:pPr>
              <w:pStyle w:val="102"/>
              <w:ind w:firstLine="480"/>
              <w:rPr>
                <w:color w:val="auto"/>
              </w:rPr>
            </w:pPr>
          </w:p>
          <w:p w14:paraId="16C2DD02">
            <w:pPr>
              <w:pStyle w:val="102"/>
              <w:ind w:firstLine="480"/>
              <w:rPr>
                <w:color w:val="auto"/>
              </w:rPr>
            </w:pPr>
          </w:p>
          <w:p w14:paraId="57DD58EA">
            <w:pPr>
              <w:pStyle w:val="102"/>
              <w:ind w:firstLine="480"/>
              <w:rPr>
                <w:color w:val="auto"/>
              </w:rPr>
            </w:pPr>
          </w:p>
          <w:p w14:paraId="649D4C7D">
            <w:pPr>
              <w:pStyle w:val="102"/>
              <w:ind w:firstLine="480"/>
              <w:rPr>
                <w:color w:val="auto"/>
              </w:rPr>
            </w:pPr>
          </w:p>
          <w:p w14:paraId="4E26EB4E">
            <w:pPr>
              <w:pStyle w:val="102"/>
              <w:ind w:firstLine="480"/>
              <w:rPr>
                <w:color w:val="auto"/>
              </w:rPr>
            </w:pPr>
          </w:p>
          <w:p w14:paraId="51898087">
            <w:pPr>
              <w:pStyle w:val="102"/>
              <w:ind w:firstLine="480"/>
              <w:rPr>
                <w:color w:val="auto"/>
              </w:rPr>
            </w:pPr>
          </w:p>
          <w:p w14:paraId="726C2A9C">
            <w:pPr>
              <w:pStyle w:val="102"/>
              <w:ind w:firstLine="480"/>
              <w:rPr>
                <w:color w:val="auto"/>
              </w:rPr>
            </w:pPr>
          </w:p>
          <w:p w14:paraId="226A1528">
            <w:pPr>
              <w:pStyle w:val="102"/>
              <w:ind w:firstLine="480"/>
              <w:rPr>
                <w:color w:val="auto"/>
              </w:rPr>
            </w:pPr>
          </w:p>
        </w:tc>
      </w:tr>
    </w:tbl>
    <w:p w14:paraId="7400775B">
      <w:pPr>
        <w:pStyle w:val="38"/>
        <w:jc w:val="center"/>
        <w:rPr>
          <w:rFonts w:ascii="Times New Roman" w:hAnsi="Times New Roman"/>
          <w:snapToGrid w:val="0"/>
          <w:color w:val="auto"/>
          <w:sz w:val="36"/>
          <w:szCs w:val="36"/>
        </w:rPr>
        <w:sectPr>
          <w:footerReference r:id="rId5" w:type="default"/>
          <w:pgSz w:w="11906" w:h="16838"/>
          <w:pgMar w:top="1701" w:right="1531" w:bottom="1701" w:left="1531" w:header="851" w:footer="851" w:gutter="0"/>
          <w:pgBorders>
            <w:top w:val="none" w:sz="0" w:space="0"/>
            <w:left w:val="none" w:sz="0" w:space="0"/>
            <w:bottom w:val="none" w:sz="0" w:space="0"/>
            <w:right w:val="none" w:sz="0" w:space="0"/>
          </w:pgBorders>
          <w:pgNumType w:start="1"/>
          <w:cols w:space="720" w:num="1"/>
          <w:docGrid w:linePitch="312" w:charSpace="0"/>
        </w:sectPr>
      </w:pPr>
    </w:p>
    <w:p w14:paraId="3D27FC88">
      <w:pPr>
        <w:pStyle w:val="38"/>
        <w:jc w:val="center"/>
        <w:outlineLvl w:val="0"/>
        <w:rPr>
          <w:rFonts w:ascii="Times New Roman" w:hAnsi="Times New Roman"/>
          <w:snapToGrid w:val="0"/>
          <w:color w:val="auto"/>
          <w:sz w:val="30"/>
          <w:szCs w:val="30"/>
        </w:rPr>
      </w:pPr>
      <w:bookmarkStart w:id="5" w:name="_Toc83393932"/>
      <w:r>
        <w:rPr>
          <w:rFonts w:ascii="Times New Roman" w:hAnsi="Times New Roman"/>
          <w:snapToGrid w:val="0"/>
          <w:color w:val="auto"/>
          <w:sz w:val="30"/>
          <w:szCs w:val="30"/>
        </w:rPr>
        <w:t>三、区域环境质量现状、环境保护目标及评价标准</w:t>
      </w:r>
      <w:bookmarkEnd w:id="5"/>
    </w:p>
    <w:tbl>
      <w:tblPr>
        <w:tblStyle w:val="4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800"/>
        <w:gridCol w:w="8190"/>
      </w:tblGrid>
      <w:tr w14:paraId="71A7D26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7" w:hRule="atLeast"/>
          <w:jc w:val="center"/>
        </w:trPr>
        <w:tc>
          <w:tcPr>
            <w:tcW w:w="800" w:type="dxa"/>
            <w:vAlign w:val="center"/>
          </w:tcPr>
          <w:p w14:paraId="48EDC101">
            <w:pPr>
              <w:adjustRightInd w:val="0"/>
              <w:snapToGrid w:val="0"/>
              <w:jc w:val="center"/>
              <w:rPr>
                <w:color w:val="auto"/>
                <w:kern w:val="0"/>
                <w:szCs w:val="21"/>
              </w:rPr>
            </w:pPr>
            <w:r>
              <w:rPr>
                <w:color w:val="auto"/>
                <w:kern w:val="0"/>
                <w:szCs w:val="21"/>
              </w:rPr>
              <w:t>区域</w:t>
            </w:r>
          </w:p>
          <w:p w14:paraId="17FBB9AD">
            <w:pPr>
              <w:adjustRightInd w:val="0"/>
              <w:snapToGrid w:val="0"/>
              <w:jc w:val="center"/>
              <w:rPr>
                <w:color w:val="auto"/>
                <w:kern w:val="0"/>
                <w:szCs w:val="21"/>
              </w:rPr>
            </w:pPr>
            <w:r>
              <w:rPr>
                <w:color w:val="auto"/>
                <w:kern w:val="0"/>
                <w:szCs w:val="21"/>
              </w:rPr>
              <w:t>环境</w:t>
            </w:r>
          </w:p>
          <w:p w14:paraId="6D094120">
            <w:pPr>
              <w:adjustRightInd w:val="0"/>
              <w:snapToGrid w:val="0"/>
              <w:jc w:val="center"/>
              <w:rPr>
                <w:color w:val="auto"/>
                <w:kern w:val="0"/>
                <w:szCs w:val="21"/>
              </w:rPr>
            </w:pPr>
            <w:r>
              <w:rPr>
                <w:color w:val="auto"/>
                <w:kern w:val="0"/>
                <w:szCs w:val="21"/>
              </w:rPr>
              <w:t>质量</w:t>
            </w:r>
          </w:p>
          <w:p w14:paraId="2E1F24E9">
            <w:pPr>
              <w:adjustRightInd w:val="0"/>
              <w:snapToGrid w:val="0"/>
              <w:jc w:val="center"/>
              <w:rPr>
                <w:color w:val="auto"/>
                <w:kern w:val="0"/>
                <w:szCs w:val="21"/>
              </w:rPr>
            </w:pPr>
            <w:r>
              <w:rPr>
                <w:color w:val="auto"/>
                <w:kern w:val="0"/>
                <w:szCs w:val="21"/>
              </w:rPr>
              <w:t>现状</w:t>
            </w:r>
          </w:p>
        </w:tc>
        <w:tc>
          <w:tcPr>
            <w:tcW w:w="8190" w:type="dxa"/>
            <w:vAlign w:val="center"/>
          </w:tcPr>
          <w:p w14:paraId="73FE2152">
            <w:pPr>
              <w:pStyle w:val="102"/>
              <w:ind w:firstLine="480"/>
              <w:rPr>
                <w:color w:val="auto"/>
              </w:rPr>
            </w:pPr>
            <w:r>
              <w:rPr>
                <w:color w:val="auto"/>
              </w:rPr>
              <w:t>1、环境空气质量</w:t>
            </w:r>
          </w:p>
          <w:p w14:paraId="2A782BDF">
            <w:pPr>
              <w:pStyle w:val="102"/>
              <w:ind w:firstLine="480"/>
              <w:rPr>
                <w:color w:val="auto"/>
              </w:rPr>
            </w:pPr>
            <w:r>
              <w:rPr>
                <w:color w:val="auto"/>
              </w:rPr>
              <w:t>根据《202</w:t>
            </w:r>
            <w:r>
              <w:rPr>
                <w:rFonts w:hint="eastAsia"/>
                <w:color w:val="auto"/>
                <w:lang w:val="en-US" w:eastAsia="zh-CN"/>
              </w:rPr>
              <w:t>4</w:t>
            </w:r>
            <w:r>
              <w:rPr>
                <w:color w:val="auto"/>
              </w:rPr>
              <w:t>年黑龙江省生态环境状况公报》</w:t>
            </w:r>
            <w:r>
              <w:rPr>
                <w:rFonts w:hint="eastAsia"/>
                <w:color w:val="auto"/>
                <w:lang w:eastAsia="zh-CN"/>
              </w:rPr>
              <w:t>，</w:t>
            </w:r>
            <w:r>
              <w:rPr>
                <w:rFonts w:hint="eastAsia"/>
                <w:color w:val="auto"/>
              </w:rPr>
              <w:t>鹤岗市空气质量级别达二级标准</w:t>
            </w:r>
            <w:r>
              <w:rPr>
                <w:rFonts w:hint="eastAsia"/>
                <w:color w:val="auto"/>
                <w:lang w:eastAsia="zh-CN"/>
              </w:rPr>
              <w:t>，</w:t>
            </w:r>
            <w:r>
              <w:rPr>
                <w:rFonts w:hint="eastAsia"/>
                <w:color w:val="auto"/>
              </w:rPr>
              <w:t>达标天数为357天(97.5%)。PM</w:t>
            </w:r>
            <w:r>
              <w:rPr>
                <w:rFonts w:hint="eastAsia"/>
                <w:color w:val="auto"/>
                <w:vertAlign w:val="subscript"/>
              </w:rPr>
              <w:t>5</w:t>
            </w:r>
            <w:r>
              <w:rPr>
                <w:rFonts w:hint="eastAsia"/>
                <w:color w:val="auto"/>
              </w:rPr>
              <w:t>、PM</w:t>
            </w:r>
            <w:r>
              <w:rPr>
                <w:rFonts w:hint="eastAsia"/>
                <w:color w:val="auto"/>
                <w:vertAlign w:val="subscript"/>
              </w:rPr>
              <w:t>10</w:t>
            </w:r>
            <w:r>
              <w:rPr>
                <w:rFonts w:hint="eastAsia"/>
                <w:color w:val="auto"/>
              </w:rPr>
              <w:t>、SO</w:t>
            </w:r>
            <w:r>
              <w:rPr>
                <w:rFonts w:hint="eastAsia"/>
                <w:color w:val="auto"/>
                <w:vertAlign w:val="subscript"/>
              </w:rPr>
              <w:t>2</w:t>
            </w:r>
            <w:r>
              <w:rPr>
                <w:rFonts w:hint="eastAsia"/>
                <w:color w:val="auto"/>
              </w:rPr>
              <w:t>、NO</w:t>
            </w:r>
            <w:r>
              <w:rPr>
                <w:rFonts w:hint="eastAsia"/>
                <w:color w:val="auto"/>
                <w:vertAlign w:val="subscript"/>
                <w:lang w:val="en-US" w:eastAsia="zh-CN"/>
              </w:rPr>
              <w:t>2</w:t>
            </w:r>
            <w:r>
              <w:rPr>
                <w:rFonts w:hint="eastAsia"/>
                <w:color w:val="auto"/>
              </w:rPr>
              <w:t>、CO-95per和O</w:t>
            </w:r>
            <w:r>
              <w:rPr>
                <w:rFonts w:hint="eastAsia"/>
                <w:color w:val="auto"/>
                <w:vertAlign w:val="subscript"/>
                <w:lang w:val="en-US" w:eastAsia="zh-CN"/>
              </w:rPr>
              <w:t>3</w:t>
            </w:r>
            <w:r>
              <w:rPr>
                <w:rFonts w:hint="eastAsia"/>
                <w:color w:val="auto"/>
                <w:lang w:eastAsia="zh-CN"/>
              </w:rPr>
              <w:t>：</w:t>
            </w:r>
            <w:r>
              <w:rPr>
                <w:rFonts w:hint="eastAsia"/>
                <w:color w:val="auto"/>
                <w:lang w:val="en-US" w:eastAsia="zh-CN"/>
              </w:rPr>
              <w:t>-</w:t>
            </w:r>
            <w:r>
              <w:rPr>
                <w:rFonts w:hint="eastAsia"/>
                <w:color w:val="auto"/>
              </w:rPr>
              <w:t>8h-90per年均浓度分别为24ug/m</w:t>
            </w:r>
            <w:r>
              <w:rPr>
                <w:rFonts w:hint="eastAsia"/>
                <w:color w:val="auto"/>
                <w:vertAlign w:val="superscript"/>
                <w:lang w:val="en-US" w:eastAsia="zh-CN"/>
              </w:rPr>
              <w:t>3</w:t>
            </w:r>
            <w:r>
              <w:rPr>
                <w:rFonts w:hint="eastAsia"/>
                <w:color w:val="auto"/>
              </w:rPr>
              <w:t>、37ug/m</w:t>
            </w:r>
            <w:r>
              <w:rPr>
                <w:rFonts w:hint="eastAsia"/>
                <w:color w:val="auto"/>
                <w:vertAlign w:val="superscript"/>
                <w:lang w:val="en-US" w:eastAsia="zh-CN"/>
              </w:rPr>
              <w:t>3</w:t>
            </w:r>
            <w:r>
              <w:rPr>
                <w:rFonts w:hint="eastAsia"/>
                <w:color w:val="auto"/>
              </w:rPr>
              <w:t>、14ug/m</w:t>
            </w:r>
            <w:r>
              <w:rPr>
                <w:rFonts w:hint="eastAsia"/>
                <w:color w:val="auto"/>
                <w:vertAlign w:val="superscript"/>
                <w:lang w:val="en-US" w:eastAsia="zh-CN"/>
              </w:rPr>
              <w:t>3</w:t>
            </w:r>
            <w:r>
              <w:rPr>
                <w:rFonts w:hint="eastAsia"/>
                <w:color w:val="auto"/>
              </w:rPr>
              <w:t>、13ug/m</w:t>
            </w:r>
            <w:r>
              <w:rPr>
                <w:rFonts w:hint="eastAsia"/>
                <w:color w:val="auto"/>
                <w:vertAlign w:val="superscript"/>
                <w:lang w:val="en-US" w:eastAsia="zh-CN"/>
              </w:rPr>
              <w:t>3</w:t>
            </w:r>
            <w:r>
              <w:rPr>
                <w:rFonts w:hint="eastAsia"/>
                <w:color w:val="auto"/>
              </w:rPr>
              <w:t>、0.9mg/m</w:t>
            </w:r>
            <w:r>
              <w:rPr>
                <w:rFonts w:hint="eastAsia"/>
                <w:color w:val="auto"/>
                <w:vertAlign w:val="superscript"/>
                <w:lang w:val="en-US" w:eastAsia="zh-CN"/>
              </w:rPr>
              <w:t>3</w:t>
            </w:r>
            <w:r>
              <w:rPr>
                <w:rFonts w:hint="eastAsia"/>
                <w:color w:val="auto"/>
              </w:rPr>
              <w:t>和92ug/m</w:t>
            </w:r>
            <w:r>
              <w:rPr>
                <w:rFonts w:hint="eastAsia"/>
                <w:color w:val="auto"/>
                <w:vertAlign w:val="superscript"/>
                <w:lang w:val="en-US" w:eastAsia="zh-CN"/>
              </w:rPr>
              <w:t>3</w:t>
            </w:r>
            <w:r>
              <w:rPr>
                <w:rFonts w:hint="eastAsia"/>
                <w:color w:val="auto"/>
              </w:rPr>
              <w:t>。</w:t>
            </w:r>
            <w:r>
              <w:rPr>
                <w:color w:val="auto"/>
              </w:rPr>
              <w:t>6项污染物年均值浓度均达到二级标准。故本项目区域为环境空气质量达标区。</w:t>
            </w:r>
          </w:p>
          <w:p w14:paraId="4E9ACF59">
            <w:pPr>
              <w:pStyle w:val="102"/>
              <w:ind w:firstLine="480"/>
              <w:rPr>
                <w:color w:val="auto"/>
              </w:rPr>
            </w:pPr>
            <w:r>
              <w:rPr>
                <w:color w:val="auto"/>
              </w:rPr>
              <w:t>2、水环境质量</w:t>
            </w:r>
          </w:p>
          <w:p w14:paraId="230F5EA4">
            <w:pPr>
              <w:pStyle w:val="102"/>
              <w:ind w:firstLine="480"/>
              <w:rPr>
                <w:rFonts w:hint="eastAsia"/>
                <w:color w:val="auto"/>
                <w:highlight w:val="none"/>
                <w:lang w:val="en-US" w:eastAsia="zh-CN"/>
              </w:rPr>
            </w:pPr>
            <w:r>
              <w:rPr>
                <w:rFonts w:hint="default"/>
                <w:color w:val="auto"/>
                <w:highlight w:val="none"/>
              </w:rPr>
              <w:t>本项目所在区域地表水为</w:t>
            </w:r>
            <w:r>
              <w:rPr>
                <w:rFonts w:hint="eastAsia"/>
                <w:color w:val="auto"/>
                <w:highlight w:val="none"/>
                <w:lang w:val="en-US" w:eastAsia="zh-CN"/>
              </w:rPr>
              <w:t>鹤立河</w:t>
            </w:r>
            <w:r>
              <w:rPr>
                <w:rFonts w:hint="eastAsia"/>
                <w:color w:val="auto"/>
                <w:highlight w:val="none"/>
                <w:lang w:eastAsia="zh-CN"/>
              </w:rPr>
              <w:t>，</w:t>
            </w:r>
            <w:r>
              <w:rPr>
                <w:rFonts w:hint="eastAsia"/>
                <w:color w:val="auto"/>
                <w:highlight w:val="none"/>
                <w:lang w:val="en-US" w:eastAsia="zh-CN"/>
              </w:rPr>
              <w:t>本项目运营期废水通过市政污水管网进入鹤岗市西区污水处理厂处理，最终排入鹤立河。根据《黑龙江省地表水功能区标准》（DB23/T740-2003）可知，本项目所在区域位于鹤立河位于鹤立河鹤岗市排污控制区（“前进沟汇入口”至“201国道公路桥下”河段），无水体功能区划；该水域水质标准应能够满足下游河段鹤立河鹤岗市过渡区Ⅳ类标准。</w:t>
            </w:r>
          </w:p>
          <w:p w14:paraId="4515530B">
            <w:pPr>
              <w:pStyle w:val="102"/>
              <w:ind w:firstLine="480"/>
              <w:rPr>
                <w:rFonts w:hint="eastAsia"/>
                <w:color w:val="auto"/>
                <w:highlight w:val="none"/>
                <w:lang w:val="en-US" w:eastAsia="zh-CN"/>
              </w:rPr>
            </w:pPr>
            <w:r>
              <w:rPr>
                <w:color w:val="auto"/>
                <w:highlight w:val="none"/>
              </w:rPr>
              <w:t>根据《202</w:t>
            </w:r>
            <w:r>
              <w:rPr>
                <w:rFonts w:hint="eastAsia"/>
                <w:color w:val="auto"/>
                <w:highlight w:val="none"/>
                <w:lang w:val="en-US" w:eastAsia="zh-CN"/>
              </w:rPr>
              <w:t>4</w:t>
            </w:r>
            <w:r>
              <w:rPr>
                <w:color w:val="auto"/>
                <w:highlight w:val="none"/>
              </w:rPr>
              <w:t>年黑龙江省生态环境状况公报》</w:t>
            </w:r>
            <w:r>
              <w:rPr>
                <w:rFonts w:hint="eastAsia"/>
                <w:color w:val="auto"/>
                <w:highlight w:val="none"/>
                <w:lang w:eastAsia="zh-CN"/>
              </w:rPr>
              <w:t>，</w:t>
            </w:r>
            <w:r>
              <w:rPr>
                <w:rFonts w:hint="eastAsia"/>
                <w:snapToGrid w:val="0"/>
                <w:color w:val="auto"/>
                <w:highlight w:val="none"/>
              </w:rPr>
              <w:t>鹤岗市参与国家考核计算的断面共8个</w:t>
            </w:r>
            <w:r>
              <w:rPr>
                <w:rFonts w:hint="eastAsia"/>
                <w:snapToGrid w:val="0"/>
                <w:color w:val="auto"/>
                <w:highlight w:val="none"/>
                <w:lang w:eastAsia="zh-CN"/>
              </w:rPr>
              <w:t>，</w:t>
            </w:r>
            <w:r>
              <w:rPr>
                <w:rFonts w:hint="eastAsia"/>
                <w:snapToGrid w:val="0"/>
                <w:color w:val="auto"/>
                <w:highlight w:val="none"/>
              </w:rPr>
              <w:t>Ⅰ~Ⅲ类水质比例为87.5%</w:t>
            </w:r>
            <w:r>
              <w:rPr>
                <w:rFonts w:hint="eastAsia"/>
                <w:snapToGrid w:val="0"/>
                <w:color w:val="auto"/>
                <w:highlight w:val="none"/>
                <w:lang w:eastAsia="zh-CN"/>
              </w:rPr>
              <w:t>，</w:t>
            </w:r>
            <w:r>
              <w:rPr>
                <w:rFonts w:hint="eastAsia"/>
                <w:snapToGrid w:val="0"/>
                <w:color w:val="auto"/>
                <w:highlight w:val="none"/>
              </w:rPr>
              <w:t>无劣V类水质断面。与上年同期相比</w:t>
            </w:r>
            <w:r>
              <w:rPr>
                <w:rFonts w:hint="eastAsia"/>
                <w:snapToGrid w:val="0"/>
                <w:color w:val="auto"/>
                <w:highlight w:val="none"/>
                <w:lang w:eastAsia="zh-CN"/>
              </w:rPr>
              <w:t>，</w:t>
            </w:r>
            <w:r>
              <w:rPr>
                <w:rFonts w:hint="eastAsia"/>
                <w:snapToGrid w:val="0"/>
                <w:color w:val="auto"/>
                <w:highlight w:val="none"/>
              </w:rPr>
              <w:t>Ⅰ~Ⅲ类水质比例保持不变</w:t>
            </w:r>
            <w:r>
              <w:rPr>
                <w:rFonts w:hint="eastAsia"/>
                <w:snapToGrid w:val="0"/>
                <w:color w:val="auto"/>
                <w:highlight w:val="none"/>
                <w:lang w:eastAsia="zh-CN"/>
              </w:rPr>
              <w:t>，</w:t>
            </w:r>
            <w:r>
              <w:rPr>
                <w:rFonts w:hint="eastAsia"/>
                <w:snapToGrid w:val="0"/>
                <w:color w:val="auto"/>
                <w:highlight w:val="none"/>
              </w:rPr>
              <w:t>均无劣V类水质断面。五号水库水质状况为良好。</w:t>
            </w:r>
            <w:r>
              <w:rPr>
                <w:rFonts w:hint="eastAsia"/>
                <w:color w:val="auto"/>
                <w:highlight w:val="none"/>
                <w:lang w:val="en-US" w:eastAsia="zh-CN"/>
              </w:rPr>
              <w:t>鹤岗市饮用水水源地水量达标率为100%。</w:t>
            </w:r>
          </w:p>
          <w:p w14:paraId="1477FC69">
            <w:pPr>
              <w:pStyle w:val="102"/>
              <w:ind w:firstLine="480"/>
              <w:rPr>
                <w:rFonts w:hint="eastAsia"/>
                <w:color w:val="auto"/>
                <w:lang w:val="en-US" w:eastAsia="zh-CN"/>
              </w:rPr>
            </w:pPr>
          </w:p>
          <w:p w14:paraId="3E41BD70">
            <w:pPr>
              <w:pStyle w:val="102"/>
              <w:ind w:firstLine="480"/>
              <w:rPr>
                <w:rFonts w:hint="eastAsia"/>
                <w:color w:val="auto"/>
                <w:lang w:val="en-US" w:eastAsia="zh-CN"/>
              </w:rPr>
            </w:pPr>
          </w:p>
          <w:p w14:paraId="066BE2FD">
            <w:pPr>
              <w:pStyle w:val="102"/>
              <w:ind w:firstLine="480"/>
              <w:rPr>
                <w:rFonts w:hint="eastAsia"/>
                <w:color w:val="auto"/>
                <w:lang w:val="en-US" w:eastAsia="zh-CN"/>
              </w:rPr>
            </w:pPr>
          </w:p>
          <w:p w14:paraId="351804DB">
            <w:pPr>
              <w:pStyle w:val="102"/>
              <w:ind w:firstLine="480"/>
              <w:rPr>
                <w:rFonts w:hint="eastAsia"/>
                <w:color w:val="auto"/>
                <w:lang w:val="en-US" w:eastAsia="zh-CN"/>
              </w:rPr>
            </w:pPr>
          </w:p>
          <w:p w14:paraId="24A997C4">
            <w:pPr>
              <w:pStyle w:val="102"/>
              <w:ind w:firstLine="480"/>
              <w:rPr>
                <w:rFonts w:hint="eastAsia"/>
                <w:color w:val="auto"/>
                <w:lang w:val="en-US" w:eastAsia="zh-CN"/>
              </w:rPr>
            </w:pPr>
          </w:p>
          <w:p w14:paraId="6671AB7F">
            <w:pPr>
              <w:pStyle w:val="102"/>
              <w:ind w:firstLine="480"/>
              <w:rPr>
                <w:rFonts w:hint="eastAsia"/>
                <w:color w:val="auto"/>
                <w:lang w:val="en-US" w:eastAsia="zh-CN"/>
              </w:rPr>
            </w:pPr>
          </w:p>
          <w:p w14:paraId="2F511175">
            <w:pPr>
              <w:pStyle w:val="102"/>
              <w:ind w:firstLine="480"/>
              <w:rPr>
                <w:rFonts w:hint="eastAsia"/>
                <w:color w:val="auto"/>
                <w:lang w:val="en-US" w:eastAsia="zh-CN"/>
              </w:rPr>
            </w:pPr>
            <w:r>
              <w:rPr>
                <w:color w:val="auto"/>
              </w:rPr>
              <w:drawing>
                <wp:anchor distT="0" distB="0" distL="114300" distR="114300" simplePos="0" relativeHeight="251661312" behindDoc="1" locked="0" layoutInCell="1" allowOverlap="1">
                  <wp:simplePos x="0" y="0"/>
                  <wp:positionH relativeFrom="column">
                    <wp:posOffset>132715</wp:posOffset>
                  </wp:positionH>
                  <wp:positionV relativeFrom="paragraph">
                    <wp:posOffset>116205</wp:posOffset>
                  </wp:positionV>
                  <wp:extent cx="4644390" cy="4507230"/>
                  <wp:effectExtent l="9525" t="9525" r="13335" b="17145"/>
                  <wp:wrapNone/>
                  <wp:docPr id="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4"/>
                          <pic:cNvPicPr>
                            <a:picLocks noChangeAspect="1"/>
                          </pic:cNvPicPr>
                        </pic:nvPicPr>
                        <pic:blipFill>
                          <a:blip r:embed="rId17"/>
                          <a:stretch>
                            <a:fillRect/>
                          </a:stretch>
                        </pic:blipFill>
                        <pic:spPr>
                          <a:xfrm>
                            <a:off x="0" y="0"/>
                            <a:ext cx="4644390" cy="4507230"/>
                          </a:xfrm>
                          <a:prstGeom prst="rect">
                            <a:avLst/>
                          </a:prstGeom>
                          <a:noFill/>
                          <a:ln>
                            <a:solidFill>
                              <a:schemeClr val="tx1"/>
                            </a:solidFill>
                          </a:ln>
                        </pic:spPr>
                      </pic:pic>
                    </a:graphicData>
                  </a:graphic>
                </wp:anchor>
              </w:drawing>
            </w:r>
          </w:p>
          <w:p w14:paraId="33EBB112">
            <w:pPr>
              <w:pStyle w:val="102"/>
              <w:ind w:firstLine="480"/>
              <w:rPr>
                <w:rFonts w:hint="eastAsia"/>
                <w:color w:val="auto"/>
                <w:lang w:val="en-US" w:eastAsia="zh-CN"/>
              </w:rPr>
            </w:pPr>
          </w:p>
          <w:p w14:paraId="21A577F7">
            <w:pPr>
              <w:pStyle w:val="102"/>
              <w:ind w:firstLine="480"/>
              <w:rPr>
                <w:rFonts w:hint="eastAsia"/>
                <w:color w:val="auto"/>
                <w:lang w:val="en-US" w:eastAsia="zh-CN"/>
              </w:rPr>
            </w:pPr>
          </w:p>
          <w:p w14:paraId="7E1897A7">
            <w:pPr>
              <w:pStyle w:val="102"/>
              <w:ind w:firstLine="480"/>
              <w:rPr>
                <w:rFonts w:hint="eastAsia"/>
                <w:color w:val="auto"/>
                <w:lang w:val="en-US" w:eastAsia="zh-CN"/>
              </w:rPr>
            </w:pPr>
          </w:p>
          <w:p w14:paraId="643B784B">
            <w:pPr>
              <w:pStyle w:val="102"/>
              <w:ind w:firstLine="480"/>
              <w:rPr>
                <w:rFonts w:hint="eastAsia"/>
                <w:color w:val="auto"/>
                <w:lang w:val="en-GB" w:eastAsia="zh-CN"/>
              </w:rPr>
            </w:pPr>
          </w:p>
          <w:p w14:paraId="5FA74333">
            <w:pPr>
              <w:pStyle w:val="102"/>
              <w:ind w:firstLine="480"/>
              <w:rPr>
                <w:rFonts w:hint="eastAsia"/>
                <w:color w:val="auto"/>
                <w:lang w:val="en-GB" w:eastAsia="zh-CN"/>
              </w:rPr>
            </w:pPr>
          </w:p>
          <w:p w14:paraId="5D36B254">
            <w:pPr>
              <w:pStyle w:val="102"/>
              <w:ind w:firstLine="480"/>
              <w:rPr>
                <w:rFonts w:hint="eastAsia"/>
                <w:color w:val="auto"/>
                <w:lang w:val="en-GB" w:eastAsia="zh-CN"/>
              </w:rPr>
            </w:pPr>
            <w:r>
              <w:rPr>
                <w:color w:val="auto"/>
              </w:rPr>
              <mc:AlternateContent>
                <mc:Choice Requires="wps">
                  <w:drawing>
                    <wp:anchor distT="0" distB="0" distL="114300" distR="114300" simplePos="0" relativeHeight="251660288" behindDoc="0" locked="0" layoutInCell="1" allowOverlap="1">
                      <wp:simplePos x="0" y="0"/>
                      <wp:positionH relativeFrom="column">
                        <wp:posOffset>3194050</wp:posOffset>
                      </wp:positionH>
                      <wp:positionV relativeFrom="paragraph">
                        <wp:posOffset>327025</wp:posOffset>
                      </wp:positionV>
                      <wp:extent cx="951865" cy="263525"/>
                      <wp:effectExtent l="146050" t="4445" r="6985" b="360680"/>
                      <wp:wrapNone/>
                      <wp:docPr id="6" name="矩形标注 6"/>
                      <wp:cNvGraphicFramePr/>
                      <a:graphic xmlns:a="http://schemas.openxmlformats.org/drawingml/2006/main">
                        <a:graphicData uri="http://schemas.microsoft.com/office/word/2010/wordprocessingShape">
                          <wps:wsp>
                            <wps:cNvSpPr/>
                            <wps:spPr>
                              <a:xfrm>
                                <a:off x="0" y="0"/>
                                <a:ext cx="951865" cy="263525"/>
                              </a:xfrm>
                              <a:prstGeom prst="wedgeRectCallout">
                                <a:avLst>
                                  <a:gd name="adj1" fmla="val -62806"/>
                                  <a:gd name="adj2" fmla="val 173134"/>
                                </a:avLst>
                              </a:prstGeom>
                              <a:noFill/>
                              <a:ln w="9525" cap="flat" cmpd="sng">
                                <a:solidFill>
                                  <a:srgbClr val="000000"/>
                                </a:solidFill>
                                <a:prstDash val="solid"/>
                                <a:miter/>
                                <a:headEnd type="none" w="med" len="med"/>
                                <a:tailEnd type="none" w="med" len="med"/>
                              </a:ln>
                            </wps:spPr>
                            <wps:txbx>
                              <w:txbxContent>
                                <w:p w14:paraId="0CB36B3A">
                                  <w:pPr>
                                    <w:ind w:left="0" w:leftChars="0" w:firstLine="0" w:firstLineChars="0"/>
                                    <w:jc w:val="center"/>
                                    <w:rPr>
                                      <w:rFonts w:hint="default" w:eastAsia="宋体"/>
                                      <w:b/>
                                      <w:bCs/>
                                      <w:lang w:val="en-US" w:eastAsia="zh-CN"/>
                                    </w:rPr>
                                  </w:pPr>
                                  <w:r>
                                    <w:rPr>
                                      <w:rFonts w:hint="eastAsia"/>
                                      <w:b/>
                                      <w:bCs/>
                                      <w:lang w:val="en-US" w:eastAsia="zh-CN"/>
                                    </w:rPr>
                                    <w:t>本项目位置</w:t>
                                  </w:r>
                                </w:p>
                              </w:txbxContent>
                            </wps:txbx>
                            <wps:bodyPr upright="1"/>
                          </wps:wsp>
                        </a:graphicData>
                      </a:graphic>
                    </wp:anchor>
                  </w:drawing>
                </mc:Choice>
                <mc:Fallback>
                  <w:pict>
                    <v:shape id="_x0000_s1026" o:spid="_x0000_s1026" o:spt="61" type="#_x0000_t61" style="position:absolute;left:0pt;margin-left:251.5pt;margin-top:25.75pt;height:20.75pt;width:74.95pt;z-index:251660288;mso-width-relative:page;mso-height-relative:page;" filled="f" stroked="t" coordsize="21600,21600" o:gfxdata="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" adj="-2766,48197">
                      <v:fill on="f" focussize="0,0"/>
                      <v:stroke color="#000000" joinstyle="miter"/>
                      <v:imagedata o:title=""/>
                      <o:lock v:ext="edit" aspectratio="f"/>
                      <v:textbox>
                        <w:txbxContent>
                          <w:p w14:paraId="0CB36B3A">
                            <w:pPr>
                              <w:ind w:left="0" w:leftChars="0" w:firstLine="0" w:firstLineChars="0"/>
                              <w:jc w:val="center"/>
                              <w:rPr>
                                <w:rFonts w:hint="default" w:eastAsia="宋体"/>
                                <w:b/>
                                <w:bCs/>
                                <w:lang w:val="en-US" w:eastAsia="zh-CN"/>
                              </w:rPr>
                            </w:pPr>
                            <w:r>
                              <w:rPr>
                                <w:rFonts w:hint="eastAsia"/>
                                <w:b/>
                                <w:bCs/>
                                <w:lang w:val="en-US" w:eastAsia="zh-CN"/>
                              </w:rPr>
                              <w:t>本项目位置</w:t>
                            </w:r>
                          </w:p>
                        </w:txbxContent>
                      </v:textbox>
                    </v:shape>
                  </w:pict>
                </mc:Fallback>
              </mc:AlternateContent>
            </w:r>
          </w:p>
          <w:p w14:paraId="51D24465">
            <w:pPr>
              <w:pStyle w:val="102"/>
              <w:ind w:firstLine="480"/>
              <w:rPr>
                <w:rFonts w:hint="eastAsia"/>
                <w:color w:val="auto"/>
                <w:lang w:val="en-GB" w:eastAsia="zh-CN"/>
              </w:rPr>
            </w:pPr>
          </w:p>
          <w:p w14:paraId="0DAD6FD6">
            <w:pPr>
              <w:pStyle w:val="102"/>
              <w:ind w:firstLine="480"/>
              <w:rPr>
                <w:rFonts w:hint="eastAsia"/>
                <w:color w:val="auto"/>
                <w:lang w:val="en-GB" w:eastAsia="zh-CN"/>
              </w:rPr>
            </w:pPr>
            <w:r>
              <w:rPr>
                <w:color w:val="auto"/>
              </w:rPr>
              <mc:AlternateContent>
                <mc:Choice Requires="wps">
                  <w:drawing>
                    <wp:anchor distT="0" distB="0" distL="114300" distR="114300" simplePos="0" relativeHeight="251659264" behindDoc="0" locked="0" layoutInCell="1" allowOverlap="1">
                      <wp:simplePos x="0" y="0"/>
                      <wp:positionH relativeFrom="column">
                        <wp:posOffset>2933700</wp:posOffset>
                      </wp:positionH>
                      <wp:positionV relativeFrom="paragraph">
                        <wp:posOffset>227330</wp:posOffset>
                      </wp:positionV>
                      <wp:extent cx="148590" cy="149225"/>
                      <wp:effectExtent l="13970" t="16510" r="27940" b="24765"/>
                      <wp:wrapNone/>
                      <wp:docPr id="7" name="五角星 7"/>
                      <wp:cNvGraphicFramePr/>
                      <a:graphic xmlns:a="http://schemas.openxmlformats.org/drawingml/2006/main">
                        <a:graphicData uri="http://schemas.microsoft.com/office/word/2010/wordprocessingShape">
                          <wps:wsp>
                            <wps:cNvSpPr/>
                            <wps:spPr>
                              <a:xfrm>
                                <a:off x="0" y="0"/>
                                <a:ext cx="148590" cy="149225"/>
                              </a:xfrm>
                              <a:prstGeom prst="star5">
                                <a:avLst/>
                              </a:prstGeom>
                              <a:solidFill>
                                <a:srgbClr val="FF0000"/>
                              </a:solidFill>
                              <a:ln w="9525" cap="flat" cmpd="sng">
                                <a:solidFill>
                                  <a:srgbClr val="FF0000"/>
                                </a:solidFill>
                                <a:prstDash val="solid"/>
                                <a:miter/>
                                <a:headEnd type="none" w="med" len="med"/>
                                <a:tailEnd type="none" w="med" len="med"/>
                              </a:ln>
                            </wps:spPr>
                            <wps:bodyPr upright="1"/>
                          </wps:wsp>
                        </a:graphicData>
                      </a:graphic>
                    </wp:anchor>
                  </w:drawing>
                </mc:Choice>
                <mc:Fallback>
                  <w:pict>
                    <v:shape id="_x0000_s1026" o:spid="_x0000_s1026" style="position:absolute;left:0pt;margin-left:231pt;margin-top:17.9pt;height:11.75pt;width:11.7pt;z-index:251659264;mso-width-relative:page;mso-height-relative:page;" fillcolor="#FF0000" filled="t" stroked="t" coordsize="148590,149225" o:gfxdata="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" path="m0,56998l56756,56999,74295,0,91833,56999,148589,56998,102672,92225,120211,149224,74295,113996,28378,149224,45917,92225xe">
                      <v:path o:connectlocs="74295,0;0,56998;28378,149224;120211,149224;148589,56998" o:connectangles="247,164,82,82,0"/>
                      <v:fill on="t" focussize="0,0"/>
                      <v:stroke color="#FF0000" joinstyle="miter"/>
                      <v:imagedata o:title=""/>
                      <o:lock v:ext="edit" aspectratio="f"/>
                    </v:shape>
                  </w:pict>
                </mc:Fallback>
              </mc:AlternateContent>
            </w:r>
          </w:p>
          <w:p w14:paraId="1151D964">
            <w:pPr>
              <w:pStyle w:val="102"/>
              <w:ind w:firstLine="480"/>
              <w:rPr>
                <w:rFonts w:hint="eastAsia"/>
                <w:color w:val="auto"/>
                <w:lang w:val="en-GB" w:eastAsia="zh-CN"/>
              </w:rPr>
            </w:pPr>
          </w:p>
          <w:p w14:paraId="6BDE4C28">
            <w:pPr>
              <w:pStyle w:val="102"/>
              <w:ind w:firstLine="480"/>
              <w:rPr>
                <w:rFonts w:hint="eastAsia"/>
                <w:color w:val="auto"/>
                <w:lang w:val="en-GB" w:eastAsia="zh-CN"/>
              </w:rPr>
            </w:pPr>
          </w:p>
          <w:p w14:paraId="4F1D3D02">
            <w:pPr>
              <w:pStyle w:val="102"/>
              <w:ind w:firstLine="480"/>
              <w:rPr>
                <w:rFonts w:hint="eastAsia"/>
                <w:color w:val="auto"/>
                <w:lang w:val="en-GB" w:eastAsia="zh-CN"/>
              </w:rPr>
            </w:pPr>
          </w:p>
          <w:p w14:paraId="6925A644">
            <w:pPr>
              <w:pStyle w:val="102"/>
              <w:ind w:firstLine="480"/>
              <w:rPr>
                <w:rFonts w:hint="eastAsia"/>
                <w:color w:val="auto"/>
                <w:lang w:val="en-GB" w:eastAsia="zh-CN"/>
              </w:rPr>
            </w:pPr>
          </w:p>
          <w:p w14:paraId="124597BF">
            <w:pPr>
              <w:pStyle w:val="102"/>
              <w:ind w:firstLine="480"/>
              <w:rPr>
                <w:rFonts w:hint="eastAsia"/>
                <w:color w:val="auto"/>
                <w:lang w:val="en-GB" w:eastAsia="zh-CN"/>
              </w:rPr>
            </w:pPr>
          </w:p>
          <w:p w14:paraId="59F55C55">
            <w:pPr>
              <w:pStyle w:val="102"/>
              <w:ind w:left="0" w:leftChars="0" w:firstLine="0" w:firstLineChars="0"/>
              <w:jc w:val="center"/>
              <w:rPr>
                <w:rFonts w:hint="default"/>
                <w:b/>
                <w:bCs/>
                <w:color w:val="auto"/>
                <w:lang w:val="en-US" w:eastAsia="zh-CN"/>
              </w:rPr>
            </w:pPr>
            <w:r>
              <w:rPr>
                <w:rFonts w:hint="eastAsia"/>
                <w:b/>
                <w:bCs/>
                <w:color w:val="auto"/>
                <w:lang w:val="en-GB" w:eastAsia="zh-CN"/>
              </w:rPr>
              <w:t>图</w:t>
            </w:r>
            <w:r>
              <w:rPr>
                <w:rFonts w:hint="eastAsia"/>
                <w:b/>
                <w:bCs/>
                <w:color w:val="auto"/>
                <w:lang w:val="en-US" w:eastAsia="zh-CN"/>
              </w:rPr>
              <w:t>3-1  黑龙江省地表水水质状况示意图</w:t>
            </w:r>
          </w:p>
          <w:p w14:paraId="18396A0F">
            <w:pPr>
              <w:pStyle w:val="102"/>
              <w:ind w:firstLine="480"/>
              <w:rPr>
                <w:color w:val="auto"/>
              </w:rPr>
            </w:pPr>
            <w:r>
              <w:rPr>
                <w:color w:val="auto"/>
              </w:rPr>
              <w:t>3、声环境质量现状</w:t>
            </w:r>
          </w:p>
          <w:p w14:paraId="1CC318EC">
            <w:pPr>
              <w:pStyle w:val="102"/>
              <w:ind w:firstLine="480"/>
              <w:rPr>
                <w:color w:val="auto"/>
              </w:rPr>
            </w:pPr>
            <w:r>
              <w:rPr>
                <w:color w:val="auto"/>
              </w:rPr>
              <w:t>本项目</w:t>
            </w:r>
            <w:r>
              <w:rPr>
                <w:rFonts w:hint="eastAsia"/>
                <w:color w:val="auto"/>
              </w:rPr>
              <w:t>5</w:t>
            </w:r>
            <w:r>
              <w:rPr>
                <w:color w:val="auto"/>
              </w:rPr>
              <w:t>0m范围</w:t>
            </w:r>
            <w:r>
              <w:rPr>
                <w:rFonts w:hint="eastAsia"/>
                <w:color w:val="auto"/>
              </w:rPr>
              <w:t>无居民等声环境保护目标</w:t>
            </w:r>
            <w:r>
              <w:rPr>
                <w:rFonts w:hint="eastAsia"/>
                <w:color w:val="auto"/>
                <w:lang w:eastAsia="zh-CN"/>
              </w:rPr>
              <w:t>，</w:t>
            </w:r>
            <w:r>
              <w:rPr>
                <w:rFonts w:hint="eastAsia"/>
                <w:color w:val="auto"/>
              </w:rPr>
              <w:t>根据《建设项目环境影响报告表编制技术指南（污染影响类）（试行）》</w:t>
            </w:r>
            <w:r>
              <w:rPr>
                <w:rFonts w:hint="eastAsia"/>
                <w:color w:val="auto"/>
                <w:lang w:eastAsia="zh-CN"/>
              </w:rPr>
              <w:t>，</w:t>
            </w:r>
            <w:r>
              <w:rPr>
                <w:color w:val="auto"/>
              </w:rPr>
              <w:t>本次评价</w:t>
            </w:r>
            <w:r>
              <w:rPr>
                <w:rFonts w:hint="eastAsia"/>
                <w:color w:val="auto"/>
              </w:rPr>
              <w:t>未</w:t>
            </w:r>
            <w:r>
              <w:rPr>
                <w:color w:val="auto"/>
              </w:rPr>
              <w:t>进行声环境质量现状监测。</w:t>
            </w:r>
          </w:p>
          <w:p w14:paraId="0EDD153E">
            <w:pPr>
              <w:pStyle w:val="102"/>
              <w:ind w:firstLine="480"/>
              <w:rPr>
                <w:rFonts w:hint="eastAsia"/>
                <w:color w:val="auto"/>
              </w:rPr>
            </w:pPr>
            <w:r>
              <w:rPr>
                <w:rFonts w:hint="eastAsia"/>
                <w:color w:val="auto"/>
              </w:rPr>
              <w:t>根据《202</w:t>
            </w:r>
            <w:r>
              <w:rPr>
                <w:rFonts w:hint="eastAsia"/>
                <w:color w:val="auto"/>
                <w:lang w:val="en-US" w:eastAsia="zh-CN"/>
              </w:rPr>
              <w:t>4</w:t>
            </w:r>
            <w:r>
              <w:rPr>
                <w:rFonts w:hint="eastAsia"/>
                <w:color w:val="auto"/>
              </w:rPr>
              <w:t>年黑龙江省生态环境状况公报》</w:t>
            </w:r>
            <w:r>
              <w:rPr>
                <w:rFonts w:hint="eastAsia"/>
                <w:color w:val="auto"/>
                <w:lang w:eastAsia="zh-CN"/>
              </w:rPr>
              <w:t>，</w:t>
            </w:r>
            <w:r>
              <w:rPr>
                <w:rFonts w:hint="eastAsia"/>
                <w:color w:val="auto"/>
              </w:rPr>
              <w:t>鹤岗市区域昼间声环境质量为二级</w:t>
            </w:r>
            <w:r>
              <w:rPr>
                <w:rFonts w:hint="eastAsia"/>
                <w:color w:val="auto"/>
                <w:lang w:eastAsia="zh-CN"/>
              </w:rPr>
              <w:t>，</w:t>
            </w:r>
            <w:r>
              <w:rPr>
                <w:rFonts w:hint="eastAsia"/>
                <w:color w:val="auto"/>
              </w:rPr>
              <w:t>等效声级为53.1dB(A)</w:t>
            </w:r>
            <w:r>
              <w:rPr>
                <w:rFonts w:hint="eastAsia"/>
                <w:color w:val="auto"/>
                <w:lang w:eastAsia="zh-CN"/>
              </w:rPr>
              <w:t>；</w:t>
            </w:r>
            <w:r>
              <w:rPr>
                <w:rFonts w:hint="eastAsia"/>
                <w:color w:val="auto"/>
              </w:rPr>
              <w:t>道路交通昼间声环境质量为一级</w:t>
            </w:r>
            <w:r>
              <w:rPr>
                <w:rFonts w:hint="eastAsia"/>
                <w:color w:val="auto"/>
                <w:lang w:eastAsia="zh-CN"/>
              </w:rPr>
              <w:t>，</w:t>
            </w:r>
            <w:r>
              <w:rPr>
                <w:rFonts w:hint="eastAsia"/>
                <w:color w:val="auto"/>
              </w:rPr>
              <w:t>等效声级为65.3dB(A);功能区昼间达标率100%</w:t>
            </w:r>
            <w:r>
              <w:rPr>
                <w:rFonts w:hint="eastAsia"/>
                <w:color w:val="auto"/>
                <w:lang w:eastAsia="zh-CN"/>
              </w:rPr>
              <w:t>，</w:t>
            </w:r>
            <w:r>
              <w:rPr>
                <w:rFonts w:hint="eastAsia"/>
                <w:color w:val="auto"/>
              </w:rPr>
              <w:t>功能区夜间达标率100%。</w:t>
            </w:r>
          </w:p>
          <w:p w14:paraId="00CF7D20">
            <w:pPr>
              <w:pStyle w:val="102"/>
              <w:ind w:firstLine="480"/>
              <w:rPr>
                <w:color w:val="auto"/>
              </w:rPr>
            </w:pPr>
            <w:r>
              <w:rPr>
                <w:rFonts w:hint="eastAsia"/>
                <w:color w:val="auto"/>
              </w:rPr>
              <w:t>4、地下水、土壤环境</w:t>
            </w:r>
          </w:p>
          <w:p w14:paraId="465D02C2">
            <w:pPr>
              <w:pStyle w:val="102"/>
              <w:ind w:firstLine="480"/>
              <w:rPr>
                <w:color w:val="auto"/>
              </w:rPr>
            </w:pPr>
            <w:r>
              <w:rPr>
                <w:rFonts w:hint="eastAsia"/>
                <w:color w:val="auto"/>
              </w:rPr>
              <w:t>项目储罐均采用不锈钢专用储罐</w:t>
            </w:r>
            <w:r>
              <w:rPr>
                <w:rFonts w:hint="eastAsia"/>
                <w:color w:val="auto"/>
                <w:lang w:eastAsia="zh-CN"/>
              </w:rPr>
              <w:t>，</w:t>
            </w:r>
            <w:r>
              <w:rPr>
                <w:rStyle w:val="100"/>
                <w:rFonts w:hint="eastAsia"/>
                <w:color w:val="auto"/>
                <w:sz w:val="24"/>
              </w:rPr>
              <w:t>储罐均位于地上</w:t>
            </w:r>
            <w:r>
              <w:rPr>
                <w:rStyle w:val="100"/>
                <w:rFonts w:hint="eastAsia"/>
                <w:color w:val="auto"/>
                <w:sz w:val="24"/>
                <w:lang w:eastAsia="zh-CN"/>
              </w:rPr>
              <w:t>，</w:t>
            </w:r>
            <w:r>
              <w:rPr>
                <w:rFonts w:hint="eastAsia"/>
                <w:color w:val="auto"/>
              </w:rPr>
              <w:t>车间地面</w:t>
            </w:r>
            <w:r>
              <w:rPr>
                <w:color w:val="auto"/>
              </w:rPr>
              <w:t>敷设2mm厚的高密度聚乙烯防水层</w:t>
            </w:r>
            <w:r>
              <w:rPr>
                <w:rFonts w:hint="eastAsia"/>
                <w:color w:val="auto"/>
                <w:lang w:eastAsia="zh-CN"/>
              </w:rPr>
              <w:t>，</w:t>
            </w:r>
            <w:r>
              <w:rPr>
                <w:color w:val="auto"/>
              </w:rPr>
              <w:t>上部敷设10cm厚混凝土防渗层</w:t>
            </w:r>
            <w:r>
              <w:rPr>
                <w:rFonts w:hint="eastAsia"/>
                <w:color w:val="auto"/>
                <w:lang w:eastAsia="zh-CN"/>
              </w:rPr>
              <w:t>，</w:t>
            </w:r>
            <w:r>
              <w:rPr>
                <w:color w:val="auto"/>
              </w:rPr>
              <w:t>混凝土的抗渗等级不低于P8</w:t>
            </w:r>
            <w:r>
              <w:rPr>
                <w:rFonts w:hint="eastAsia"/>
                <w:color w:val="auto"/>
                <w:lang w:eastAsia="zh-CN"/>
              </w:rPr>
              <w:t>，</w:t>
            </w:r>
            <w:r>
              <w:rPr>
                <w:rFonts w:hint="eastAsia"/>
                <w:color w:val="auto"/>
              </w:rPr>
              <w:t>满足</w:t>
            </w:r>
            <w:r>
              <w:rPr>
                <w:color w:val="auto"/>
              </w:rPr>
              <w:t>《石油化工工程防渗技术规范》（GB/T50934-2013）重点防治区的防渗要求</w:t>
            </w:r>
            <w:r>
              <w:rPr>
                <w:rFonts w:hint="eastAsia"/>
                <w:color w:val="auto"/>
                <w:lang w:eastAsia="zh-CN"/>
              </w:rPr>
              <w:t>，</w:t>
            </w:r>
            <w:r>
              <w:rPr>
                <w:rFonts w:hint="eastAsia"/>
                <w:color w:val="auto"/>
              </w:rPr>
              <w:t>可有效保护厂区地下水和土壤不受污染。</w:t>
            </w:r>
          </w:p>
          <w:p w14:paraId="602010DD">
            <w:pPr>
              <w:pStyle w:val="102"/>
              <w:ind w:firstLine="480"/>
              <w:rPr>
                <w:color w:val="auto"/>
              </w:rPr>
            </w:pPr>
            <w:r>
              <w:rPr>
                <w:rFonts w:hint="eastAsia"/>
                <w:color w:val="auto"/>
              </w:rPr>
              <w:t>根据《建设项目环境影响报告表编制技术指南（污染影响类）（试行）》原则上不开展地下水环境质量现状调查。且本项目周围5</w:t>
            </w:r>
            <w:r>
              <w:rPr>
                <w:color w:val="auto"/>
              </w:rPr>
              <w:t>00</w:t>
            </w:r>
            <w:r>
              <w:rPr>
                <w:rFonts w:hint="eastAsia"/>
                <w:color w:val="auto"/>
              </w:rPr>
              <w:t>m范围内的村屯均已搬迁</w:t>
            </w:r>
            <w:r>
              <w:rPr>
                <w:rFonts w:hint="eastAsia"/>
                <w:color w:val="auto"/>
                <w:lang w:eastAsia="zh-CN"/>
              </w:rPr>
              <w:t>，</w:t>
            </w:r>
            <w:r>
              <w:rPr>
                <w:rFonts w:hint="eastAsia"/>
                <w:color w:val="auto"/>
              </w:rPr>
              <w:t>5</w:t>
            </w:r>
            <w:r>
              <w:rPr>
                <w:color w:val="auto"/>
              </w:rPr>
              <w:t>00</w:t>
            </w:r>
            <w:r>
              <w:rPr>
                <w:rFonts w:hint="eastAsia"/>
                <w:color w:val="auto"/>
              </w:rPr>
              <w:t>m范围内无地下水保护目标</w:t>
            </w:r>
            <w:r>
              <w:rPr>
                <w:rFonts w:hint="eastAsia"/>
                <w:color w:val="auto"/>
                <w:lang w:eastAsia="zh-CN"/>
              </w:rPr>
              <w:t>，</w:t>
            </w:r>
            <w:r>
              <w:rPr>
                <w:rFonts w:hint="eastAsia"/>
                <w:color w:val="auto"/>
              </w:rPr>
              <w:t>故本次评价未进行地下水环境质量现状监测。</w:t>
            </w:r>
          </w:p>
          <w:p w14:paraId="3041628B">
            <w:pPr>
              <w:pStyle w:val="102"/>
              <w:ind w:firstLine="480"/>
              <w:rPr>
                <w:color w:val="auto"/>
              </w:rPr>
            </w:pPr>
            <w:r>
              <w:rPr>
                <w:rFonts w:hint="eastAsia"/>
                <w:color w:val="auto"/>
              </w:rPr>
              <w:t>根据《建设项目环境影响报告表编制技术指南（污染影响类）（试行）》原则上不开展土壤环境质量现状调查。本项目为单纯的混合分装工艺</w:t>
            </w:r>
            <w:r>
              <w:rPr>
                <w:rFonts w:hint="eastAsia"/>
                <w:color w:val="auto"/>
                <w:lang w:eastAsia="zh-CN"/>
              </w:rPr>
              <w:t>，</w:t>
            </w:r>
            <w:r>
              <w:rPr>
                <w:rFonts w:hint="eastAsia"/>
                <w:color w:val="auto"/>
              </w:rPr>
              <w:t>根据《环境影响评价技术导则 土壤环境（试行）》（HJ964—2018）</w:t>
            </w:r>
            <w:r>
              <w:rPr>
                <w:rFonts w:hint="eastAsia"/>
                <w:color w:val="auto"/>
                <w:lang w:eastAsia="zh-CN"/>
              </w:rPr>
              <w:t>，</w:t>
            </w:r>
            <w:r>
              <w:rPr>
                <w:rFonts w:hint="eastAsia"/>
                <w:color w:val="auto"/>
              </w:rPr>
              <w:t>土壤项目类别为Ⅳ类</w:t>
            </w:r>
            <w:r>
              <w:rPr>
                <w:rFonts w:hint="eastAsia"/>
                <w:color w:val="auto"/>
                <w:lang w:eastAsia="zh-CN"/>
              </w:rPr>
              <w:t>，</w:t>
            </w:r>
            <w:r>
              <w:rPr>
                <w:rFonts w:hint="eastAsia"/>
                <w:color w:val="auto"/>
              </w:rPr>
              <w:t>不需要开展土壤环境影响评价</w:t>
            </w:r>
            <w:r>
              <w:rPr>
                <w:rFonts w:hint="eastAsia"/>
                <w:color w:val="auto"/>
                <w:lang w:eastAsia="zh-CN"/>
              </w:rPr>
              <w:t>，</w:t>
            </w:r>
            <w:r>
              <w:rPr>
                <w:rFonts w:hint="eastAsia"/>
                <w:color w:val="auto"/>
              </w:rPr>
              <w:t>故本次评价未进行土壤环境质量现状监测。</w:t>
            </w:r>
          </w:p>
        </w:tc>
      </w:tr>
      <w:tr w14:paraId="245EFBD4">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701" w:hRule="atLeast"/>
          <w:jc w:val="center"/>
        </w:trPr>
        <w:tc>
          <w:tcPr>
            <w:tcW w:w="800" w:type="dxa"/>
            <w:vAlign w:val="center"/>
          </w:tcPr>
          <w:p w14:paraId="30718172">
            <w:pPr>
              <w:adjustRightInd w:val="0"/>
              <w:snapToGrid w:val="0"/>
              <w:jc w:val="center"/>
              <w:rPr>
                <w:color w:val="auto"/>
                <w:kern w:val="0"/>
                <w:szCs w:val="21"/>
              </w:rPr>
            </w:pPr>
            <w:r>
              <w:rPr>
                <w:color w:val="auto"/>
                <w:kern w:val="0"/>
                <w:szCs w:val="21"/>
              </w:rPr>
              <w:t>环境</w:t>
            </w:r>
          </w:p>
          <w:p w14:paraId="39A253C6">
            <w:pPr>
              <w:adjustRightInd w:val="0"/>
              <w:snapToGrid w:val="0"/>
              <w:jc w:val="center"/>
              <w:rPr>
                <w:color w:val="auto"/>
                <w:kern w:val="0"/>
                <w:szCs w:val="21"/>
              </w:rPr>
            </w:pPr>
            <w:r>
              <w:rPr>
                <w:color w:val="auto"/>
                <w:kern w:val="0"/>
                <w:szCs w:val="21"/>
              </w:rPr>
              <w:t>保护</w:t>
            </w:r>
          </w:p>
          <w:p w14:paraId="0F371EC3">
            <w:pPr>
              <w:adjustRightInd w:val="0"/>
              <w:snapToGrid w:val="0"/>
              <w:jc w:val="center"/>
              <w:rPr>
                <w:color w:val="auto"/>
                <w:kern w:val="0"/>
                <w:szCs w:val="21"/>
              </w:rPr>
            </w:pPr>
            <w:r>
              <w:rPr>
                <w:color w:val="auto"/>
                <w:kern w:val="0"/>
                <w:szCs w:val="21"/>
              </w:rPr>
              <w:t>目标</w:t>
            </w:r>
          </w:p>
        </w:tc>
        <w:tc>
          <w:tcPr>
            <w:tcW w:w="8190" w:type="dxa"/>
            <w:vAlign w:val="center"/>
          </w:tcPr>
          <w:p w14:paraId="480BBF2F">
            <w:pPr>
              <w:spacing w:line="360" w:lineRule="auto"/>
              <w:ind w:firstLine="480" w:firstLineChars="200"/>
              <w:rPr>
                <w:rFonts w:hint="eastAsia"/>
                <w:color w:val="auto"/>
                <w:sz w:val="24"/>
                <w:szCs w:val="24"/>
              </w:rPr>
            </w:pPr>
            <w:r>
              <w:rPr>
                <w:rFonts w:hint="eastAsia"/>
                <w:color w:val="auto"/>
                <w:sz w:val="24"/>
              </w:rPr>
              <w:t>经现场踏勘调查，该项目评价区域内无国家、省、市级自然保护区、风景</w:t>
            </w:r>
            <w:r>
              <w:rPr>
                <w:rFonts w:hint="eastAsia"/>
                <w:color w:val="auto"/>
                <w:sz w:val="24"/>
                <w:szCs w:val="24"/>
              </w:rPr>
              <w:t>名胜区，集中式饮用水源地等特殊环境敏感保护目标。</w:t>
            </w:r>
          </w:p>
          <w:p w14:paraId="6BA28DD0">
            <w:pPr>
              <w:spacing w:line="360" w:lineRule="auto"/>
              <w:ind w:firstLine="480" w:firstLineChars="200"/>
              <w:rPr>
                <w:color w:val="auto"/>
                <w:sz w:val="24"/>
                <w:szCs w:val="24"/>
              </w:rPr>
            </w:pPr>
            <w:r>
              <w:rPr>
                <w:color w:val="auto"/>
                <w:sz w:val="24"/>
                <w:szCs w:val="24"/>
              </w:rPr>
              <w:t>1、大气环境保护目标</w:t>
            </w:r>
          </w:p>
          <w:p w14:paraId="190258A5">
            <w:pPr>
              <w:spacing w:line="360" w:lineRule="auto"/>
              <w:ind w:firstLine="480" w:firstLineChars="200"/>
              <w:rPr>
                <w:color w:val="auto"/>
                <w:sz w:val="24"/>
              </w:rPr>
            </w:pPr>
            <w:r>
              <w:rPr>
                <w:rFonts w:hint="eastAsia"/>
                <w:color w:val="auto"/>
                <w:sz w:val="24"/>
                <w:szCs w:val="24"/>
              </w:rPr>
              <w:t>根据《建设项目环境影</w:t>
            </w:r>
            <w:r>
              <w:rPr>
                <w:rFonts w:hint="eastAsia"/>
                <w:color w:val="auto"/>
                <w:sz w:val="24"/>
              </w:rPr>
              <w:t>响评价报告表编制技术指南》（污染影响类）及现状调查结果，本项目选址厂界外500m范围内无自然保护区、风景名胜区、居住区、文化区，本项目环境空气保护目标为厂界外500m范围内的居住区、学校等，主要保护目标分布情况见表3-6所示。</w:t>
            </w:r>
          </w:p>
          <w:p w14:paraId="1EB20655">
            <w:pPr>
              <w:spacing w:line="360" w:lineRule="auto"/>
              <w:jc w:val="center"/>
              <w:rPr>
                <w:rFonts w:hint="eastAsia" w:ascii="Times New Roman" w:hAnsi="Times New Roman" w:eastAsia="宋体" w:cs="Times New Roman"/>
                <w:b/>
                <w:color w:val="auto"/>
                <w:kern w:val="0"/>
                <w:sz w:val="21"/>
                <w:szCs w:val="20"/>
                <w:lang w:val="en-US" w:eastAsia="zh-CN" w:bidi="ar-SA"/>
              </w:rPr>
            </w:pPr>
          </w:p>
          <w:p w14:paraId="5ECBF8B3">
            <w:pPr>
              <w:spacing w:line="360" w:lineRule="auto"/>
              <w:jc w:val="center"/>
              <w:rPr>
                <w:rFonts w:hint="eastAsia" w:ascii="Times New Roman" w:hAnsi="Times New Roman" w:eastAsia="宋体" w:cs="Times New Roman"/>
                <w:b/>
                <w:color w:val="auto"/>
                <w:kern w:val="0"/>
                <w:sz w:val="21"/>
                <w:szCs w:val="20"/>
                <w:lang w:val="en-US" w:eastAsia="zh-CN" w:bidi="ar-SA"/>
              </w:rPr>
            </w:pPr>
          </w:p>
          <w:p w14:paraId="7B83B9ED">
            <w:pPr>
              <w:spacing w:line="360" w:lineRule="auto"/>
              <w:jc w:val="center"/>
              <w:rPr>
                <w:rFonts w:hint="eastAsia" w:ascii="Times New Roman" w:hAnsi="Times New Roman" w:eastAsia="宋体" w:cs="Times New Roman"/>
                <w:b/>
                <w:color w:val="auto"/>
                <w:kern w:val="0"/>
                <w:sz w:val="21"/>
                <w:szCs w:val="20"/>
                <w:lang w:val="en-US" w:eastAsia="zh-CN" w:bidi="ar-SA"/>
              </w:rPr>
            </w:pPr>
          </w:p>
          <w:p w14:paraId="10D62940">
            <w:pPr>
              <w:spacing w:line="360" w:lineRule="auto"/>
              <w:jc w:val="center"/>
              <w:rPr>
                <w:rFonts w:hint="eastAsia" w:ascii="Times New Roman" w:hAnsi="Times New Roman" w:eastAsia="宋体" w:cs="Times New Roman"/>
                <w:b/>
                <w:color w:val="auto"/>
                <w:kern w:val="0"/>
                <w:sz w:val="21"/>
                <w:szCs w:val="20"/>
                <w:lang w:val="en-US" w:eastAsia="zh-CN" w:bidi="ar-SA"/>
              </w:rPr>
            </w:pPr>
          </w:p>
          <w:p w14:paraId="46215387">
            <w:pPr>
              <w:spacing w:line="360" w:lineRule="auto"/>
              <w:jc w:val="center"/>
              <w:rPr>
                <w:rFonts w:hint="eastAsia" w:ascii="Times New Roman" w:hAnsi="Times New Roman" w:eastAsia="宋体" w:cs="Times New Roman"/>
                <w:b/>
                <w:color w:val="auto"/>
                <w:kern w:val="0"/>
                <w:sz w:val="21"/>
                <w:szCs w:val="20"/>
                <w:lang w:val="en-US" w:eastAsia="zh-CN" w:bidi="ar-SA"/>
              </w:rPr>
            </w:pPr>
          </w:p>
          <w:p w14:paraId="5E0ABA8B">
            <w:pPr>
              <w:spacing w:line="360" w:lineRule="auto"/>
              <w:jc w:val="center"/>
              <w:rPr>
                <w:rFonts w:hint="eastAsia" w:ascii="Times New Roman" w:hAnsi="Times New Roman" w:eastAsia="宋体" w:cs="Times New Roman"/>
                <w:b/>
                <w:color w:val="auto"/>
                <w:kern w:val="0"/>
                <w:sz w:val="21"/>
                <w:szCs w:val="20"/>
                <w:lang w:val="en-US" w:eastAsia="zh-CN" w:bidi="ar-SA"/>
              </w:rPr>
            </w:pPr>
          </w:p>
          <w:p w14:paraId="6A748E0D">
            <w:pPr>
              <w:spacing w:line="360" w:lineRule="auto"/>
              <w:jc w:val="center"/>
              <w:rPr>
                <w:rFonts w:hint="eastAsia" w:ascii="Times New Roman" w:hAnsi="Times New Roman" w:eastAsia="宋体" w:cs="Times New Roman"/>
                <w:b/>
                <w:color w:val="auto"/>
                <w:kern w:val="0"/>
                <w:sz w:val="21"/>
                <w:szCs w:val="20"/>
                <w:lang w:val="en-US" w:eastAsia="zh-CN" w:bidi="ar-SA"/>
              </w:rPr>
            </w:pPr>
          </w:p>
          <w:p w14:paraId="6163C25C">
            <w:pPr>
              <w:spacing w:line="360" w:lineRule="auto"/>
              <w:jc w:val="center"/>
              <w:rPr>
                <w:rFonts w:hint="eastAsia" w:ascii="Times New Roman" w:hAnsi="Times New Roman" w:eastAsia="宋体" w:cs="Times New Roman"/>
                <w:b/>
                <w:color w:val="auto"/>
                <w:kern w:val="0"/>
                <w:sz w:val="21"/>
                <w:szCs w:val="20"/>
                <w:lang w:val="en-US" w:eastAsia="zh-CN" w:bidi="ar-SA"/>
              </w:rPr>
            </w:pPr>
          </w:p>
          <w:p w14:paraId="3BBC9999">
            <w:pPr>
              <w:spacing w:line="360" w:lineRule="auto"/>
              <w:jc w:val="center"/>
              <w:rPr>
                <w:rFonts w:hint="eastAsia" w:ascii="Times New Roman" w:hAnsi="Times New Roman" w:eastAsia="宋体" w:cs="Times New Roman"/>
                <w:b/>
                <w:color w:val="auto"/>
                <w:kern w:val="0"/>
                <w:sz w:val="21"/>
                <w:szCs w:val="20"/>
                <w:lang w:val="en-US" w:eastAsia="zh-CN" w:bidi="ar-SA"/>
              </w:rPr>
            </w:pPr>
          </w:p>
          <w:p w14:paraId="66FD9388">
            <w:pPr>
              <w:spacing w:line="360" w:lineRule="auto"/>
              <w:jc w:val="center"/>
              <w:rPr>
                <w:rFonts w:ascii="Times New Roman" w:hAnsi="Times New Roman" w:eastAsia="宋体" w:cs="Times New Roman"/>
                <w:b/>
                <w:color w:val="auto"/>
                <w:kern w:val="0"/>
                <w:sz w:val="21"/>
                <w:szCs w:val="20"/>
                <w:lang w:val="en-US" w:eastAsia="zh-CN" w:bidi="ar-SA"/>
              </w:rPr>
            </w:pPr>
            <w:r>
              <w:rPr>
                <w:rFonts w:hint="eastAsia" w:ascii="Times New Roman" w:hAnsi="Times New Roman" w:eastAsia="宋体" w:cs="Times New Roman"/>
                <w:b/>
                <w:color w:val="auto"/>
                <w:kern w:val="0"/>
                <w:sz w:val="21"/>
                <w:szCs w:val="20"/>
                <w:lang w:val="en-US" w:eastAsia="zh-CN" w:bidi="ar-SA"/>
              </w:rPr>
              <w:t>表3-6  本项目大气环境保护目标一览表</w:t>
            </w:r>
          </w:p>
          <w:tbl>
            <w:tblPr>
              <w:tblStyle w:val="43"/>
              <w:tblW w:w="4998"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625"/>
              <w:gridCol w:w="1250"/>
              <w:gridCol w:w="1226"/>
              <w:gridCol w:w="943"/>
              <w:gridCol w:w="700"/>
              <w:gridCol w:w="662"/>
              <w:gridCol w:w="710"/>
              <w:gridCol w:w="855"/>
            </w:tblGrid>
            <w:tr w14:paraId="183B89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425" w:hRule="atLeast"/>
              </w:trPr>
              <w:tc>
                <w:tcPr>
                  <w:tcW w:w="1019" w:type="pct"/>
                  <w:vMerge w:val="restart"/>
                  <w:noWrap w:val="0"/>
                  <w:vAlign w:val="center"/>
                </w:tcPr>
                <w:p w14:paraId="7D4AD863">
                  <w:pPr>
                    <w:spacing w:line="360" w:lineRule="auto"/>
                    <w:jc w:val="center"/>
                    <w:rPr>
                      <w:color w:val="auto"/>
                      <w:szCs w:val="21"/>
                    </w:rPr>
                  </w:pPr>
                  <w:r>
                    <w:rPr>
                      <w:color w:val="auto"/>
                      <w:szCs w:val="21"/>
                    </w:rPr>
                    <w:t>名称</w:t>
                  </w:r>
                </w:p>
              </w:tc>
              <w:tc>
                <w:tcPr>
                  <w:tcW w:w="1553" w:type="pct"/>
                  <w:gridSpan w:val="2"/>
                  <w:noWrap w:val="0"/>
                  <w:vAlign w:val="center"/>
                </w:tcPr>
                <w:p w14:paraId="1D7A20F5">
                  <w:pPr>
                    <w:jc w:val="center"/>
                    <w:rPr>
                      <w:color w:val="auto"/>
                      <w:szCs w:val="21"/>
                    </w:rPr>
                  </w:pPr>
                  <w:r>
                    <w:rPr>
                      <w:rFonts w:hint="eastAsia"/>
                      <w:color w:val="auto"/>
                      <w:szCs w:val="21"/>
                    </w:rPr>
                    <w:t>坐标</w:t>
                  </w:r>
                  <w:r>
                    <w:rPr>
                      <w:color w:val="auto"/>
                      <w:szCs w:val="21"/>
                    </w:rPr>
                    <w:t>/</w:t>
                  </w:r>
                  <w:r>
                    <w:rPr>
                      <w:rFonts w:hint="eastAsia"/>
                      <w:color w:val="auto"/>
                      <w:szCs w:val="21"/>
                    </w:rPr>
                    <w:t>°</w:t>
                  </w:r>
                </w:p>
              </w:tc>
              <w:tc>
                <w:tcPr>
                  <w:tcW w:w="591" w:type="pct"/>
                  <w:vMerge w:val="restart"/>
                  <w:noWrap w:val="0"/>
                  <w:vAlign w:val="center"/>
                </w:tcPr>
                <w:p w14:paraId="71CBC81C">
                  <w:pPr>
                    <w:jc w:val="center"/>
                    <w:rPr>
                      <w:rFonts w:hint="eastAsia"/>
                      <w:color w:val="auto"/>
                      <w:szCs w:val="21"/>
                    </w:rPr>
                  </w:pPr>
                  <w:r>
                    <w:rPr>
                      <w:rFonts w:hint="eastAsia"/>
                      <w:color w:val="auto"/>
                      <w:szCs w:val="21"/>
                    </w:rPr>
                    <w:t>保护</w:t>
                  </w:r>
                </w:p>
                <w:p w14:paraId="4F6A50E6">
                  <w:pPr>
                    <w:jc w:val="center"/>
                    <w:rPr>
                      <w:color w:val="auto"/>
                      <w:szCs w:val="21"/>
                    </w:rPr>
                  </w:pPr>
                  <w:r>
                    <w:rPr>
                      <w:rFonts w:hint="eastAsia"/>
                      <w:color w:val="auto"/>
                      <w:szCs w:val="21"/>
                    </w:rPr>
                    <w:t>对象</w:t>
                  </w:r>
                </w:p>
              </w:tc>
              <w:tc>
                <w:tcPr>
                  <w:tcW w:w="439" w:type="pct"/>
                  <w:vMerge w:val="restart"/>
                  <w:noWrap w:val="0"/>
                  <w:vAlign w:val="center"/>
                </w:tcPr>
                <w:p w14:paraId="3DAC3C55">
                  <w:pPr>
                    <w:jc w:val="center"/>
                    <w:rPr>
                      <w:color w:val="auto"/>
                      <w:szCs w:val="21"/>
                    </w:rPr>
                  </w:pPr>
                  <w:r>
                    <w:rPr>
                      <w:color w:val="auto"/>
                      <w:szCs w:val="21"/>
                    </w:rPr>
                    <w:t>保护内容</w:t>
                  </w:r>
                </w:p>
              </w:tc>
              <w:tc>
                <w:tcPr>
                  <w:tcW w:w="415" w:type="pct"/>
                  <w:vMerge w:val="restart"/>
                  <w:noWrap w:val="0"/>
                  <w:vAlign w:val="center"/>
                </w:tcPr>
                <w:p w14:paraId="01C9682D">
                  <w:pPr>
                    <w:jc w:val="center"/>
                    <w:rPr>
                      <w:color w:val="auto"/>
                      <w:szCs w:val="21"/>
                    </w:rPr>
                  </w:pPr>
                  <w:r>
                    <w:rPr>
                      <w:color w:val="auto"/>
                      <w:szCs w:val="21"/>
                    </w:rPr>
                    <w:t>环境功能区</w:t>
                  </w:r>
                </w:p>
              </w:tc>
              <w:tc>
                <w:tcPr>
                  <w:tcW w:w="445" w:type="pct"/>
                  <w:vMerge w:val="restart"/>
                  <w:noWrap w:val="0"/>
                  <w:vAlign w:val="center"/>
                </w:tcPr>
                <w:p w14:paraId="5A9D2DF7">
                  <w:pPr>
                    <w:jc w:val="center"/>
                    <w:rPr>
                      <w:color w:val="auto"/>
                      <w:szCs w:val="21"/>
                    </w:rPr>
                  </w:pPr>
                  <w:r>
                    <w:rPr>
                      <w:color w:val="auto"/>
                      <w:szCs w:val="21"/>
                    </w:rPr>
                    <w:t>相对厂址方位</w:t>
                  </w:r>
                </w:p>
              </w:tc>
              <w:tc>
                <w:tcPr>
                  <w:tcW w:w="536" w:type="pct"/>
                  <w:vMerge w:val="restart"/>
                  <w:noWrap w:val="0"/>
                  <w:vAlign w:val="center"/>
                </w:tcPr>
                <w:p w14:paraId="7B4F6FB7">
                  <w:pPr>
                    <w:jc w:val="center"/>
                    <w:rPr>
                      <w:color w:val="auto"/>
                      <w:szCs w:val="21"/>
                    </w:rPr>
                  </w:pPr>
                  <w:r>
                    <w:rPr>
                      <w:color w:val="auto"/>
                      <w:szCs w:val="21"/>
                    </w:rPr>
                    <w:t>相对厂界距离/m</w:t>
                  </w:r>
                </w:p>
              </w:tc>
            </w:tr>
            <w:tr w14:paraId="0C1A296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c>
                <w:tcPr>
                  <w:tcW w:w="1019" w:type="pct"/>
                  <w:vMerge w:val="continue"/>
                  <w:noWrap w:val="0"/>
                  <w:vAlign w:val="center"/>
                </w:tcPr>
                <w:p w14:paraId="36D2DAF8">
                  <w:pPr>
                    <w:spacing w:line="360" w:lineRule="auto"/>
                    <w:jc w:val="center"/>
                    <w:rPr>
                      <w:color w:val="auto"/>
                      <w:szCs w:val="21"/>
                    </w:rPr>
                  </w:pPr>
                </w:p>
              </w:tc>
              <w:tc>
                <w:tcPr>
                  <w:tcW w:w="784" w:type="pct"/>
                  <w:noWrap w:val="0"/>
                  <w:vAlign w:val="center"/>
                </w:tcPr>
                <w:p w14:paraId="25A81760">
                  <w:pPr>
                    <w:jc w:val="center"/>
                    <w:rPr>
                      <w:color w:val="auto"/>
                      <w:szCs w:val="21"/>
                    </w:rPr>
                  </w:pPr>
                  <w:r>
                    <w:rPr>
                      <w:rFonts w:hint="eastAsia"/>
                      <w:color w:val="auto"/>
                      <w:szCs w:val="21"/>
                    </w:rPr>
                    <w:t>经度</w:t>
                  </w:r>
                </w:p>
              </w:tc>
              <w:tc>
                <w:tcPr>
                  <w:tcW w:w="769" w:type="pct"/>
                  <w:noWrap w:val="0"/>
                  <w:vAlign w:val="center"/>
                </w:tcPr>
                <w:p w14:paraId="1C685313">
                  <w:pPr>
                    <w:jc w:val="center"/>
                    <w:rPr>
                      <w:color w:val="auto"/>
                      <w:szCs w:val="21"/>
                    </w:rPr>
                  </w:pPr>
                  <w:r>
                    <w:rPr>
                      <w:rFonts w:hint="eastAsia"/>
                      <w:color w:val="auto"/>
                      <w:szCs w:val="21"/>
                    </w:rPr>
                    <w:t>纬度</w:t>
                  </w:r>
                </w:p>
              </w:tc>
              <w:tc>
                <w:tcPr>
                  <w:tcW w:w="591" w:type="pct"/>
                  <w:vMerge w:val="continue"/>
                  <w:noWrap w:val="0"/>
                  <w:vAlign w:val="center"/>
                </w:tcPr>
                <w:p w14:paraId="478A6FD8">
                  <w:pPr>
                    <w:jc w:val="center"/>
                    <w:rPr>
                      <w:color w:val="auto"/>
                      <w:szCs w:val="21"/>
                    </w:rPr>
                  </w:pPr>
                </w:p>
              </w:tc>
              <w:tc>
                <w:tcPr>
                  <w:tcW w:w="439" w:type="pct"/>
                  <w:vMerge w:val="continue"/>
                  <w:noWrap w:val="0"/>
                  <w:vAlign w:val="center"/>
                </w:tcPr>
                <w:p w14:paraId="0F627433">
                  <w:pPr>
                    <w:jc w:val="center"/>
                    <w:rPr>
                      <w:color w:val="auto"/>
                      <w:szCs w:val="21"/>
                    </w:rPr>
                  </w:pPr>
                </w:p>
              </w:tc>
              <w:tc>
                <w:tcPr>
                  <w:tcW w:w="415" w:type="pct"/>
                  <w:vMerge w:val="continue"/>
                  <w:noWrap w:val="0"/>
                  <w:vAlign w:val="center"/>
                </w:tcPr>
                <w:p w14:paraId="3FC343B4">
                  <w:pPr>
                    <w:jc w:val="center"/>
                    <w:rPr>
                      <w:color w:val="auto"/>
                      <w:szCs w:val="21"/>
                    </w:rPr>
                  </w:pPr>
                </w:p>
              </w:tc>
              <w:tc>
                <w:tcPr>
                  <w:tcW w:w="445" w:type="pct"/>
                  <w:vMerge w:val="continue"/>
                  <w:noWrap w:val="0"/>
                  <w:vAlign w:val="center"/>
                </w:tcPr>
                <w:p w14:paraId="416C8FCD">
                  <w:pPr>
                    <w:jc w:val="center"/>
                    <w:rPr>
                      <w:color w:val="auto"/>
                      <w:szCs w:val="21"/>
                    </w:rPr>
                  </w:pPr>
                </w:p>
              </w:tc>
              <w:tc>
                <w:tcPr>
                  <w:tcW w:w="536" w:type="pct"/>
                  <w:vMerge w:val="continue"/>
                  <w:noWrap w:val="0"/>
                  <w:vAlign w:val="center"/>
                </w:tcPr>
                <w:p w14:paraId="4C199C39">
                  <w:pPr>
                    <w:jc w:val="center"/>
                    <w:rPr>
                      <w:color w:val="auto"/>
                      <w:szCs w:val="21"/>
                    </w:rPr>
                  </w:pPr>
                </w:p>
              </w:tc>
            </w:tr>
            <w:tr w14:paraId="1A82C7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1019" w:type="pct"/>
                  <w:noWrap w:val="0"/>
                  <w:vAlign w:val="center"/>
                </w:tcPr>
                <w:p w14:paraId="7E94EDAA">
                  <w:pPr>
                    <w:spacing w:line="360" w:lineRule="auto"/>
                    <w:jc w:val="center"/>
                    <w:rPr>
                      <w:color w:val="auto"/>
                      <w:szCs w:val="21"/>
                    </w:rPr>
                  </w:pPr>
                  <w:r>
                    <w:rPr>
                      <w:rFonts w:hint="eastAsia"/>
                      <w:color w:val="auto"/>
                      <w:szCs w:val="21"/>
                    </w:rPr>
                    <w:t>平安小区</w:t>
                  </w:r>
                </w:p>
              </w:tc>
              <w:tc>
                <w:tcPr>
                  <w:tcW w:w="784" w:type="pct"/>
                  <w:noWrap w:val="0"/>
                  <w:vAlign w:val="center"/>
                </w:tcPr>
                <w:p w14:paraId="77968682">
                  <w:pPr>
                    <w:spacing w:line="360" w:lineRule="auto"/>
                    <w:jc w:val="center"/>
                    <w:rPr>
                      <w:color w:val="auto"/>
                      <w:szCs w:val="21"/>
                    </w:rPr>
                  </w:pPr>
                  <w:r>
                    <w:rPr>
                      <w:rFonts w:hint="eastAsia"/>
                      <w:color w:val="auto"/>
                      <w:szCs w:val="21"/>
                    </w:rPr>
                    <w:t>130.278801</w:t>
                  </w:r>
                </w:p>
              </w:tc>
              <w:tc>
                <w:tcPr>
                  <w:tcW w:w="769" w:type="pct"/>
                  <w:noWrap w:val="0"/>
                  <w:vAlign w:val="center"/>
                </w:tcPr>
                <w:p w14:paraId="38BE96CD">
                  <w:pPr>
                    <w:spacing w:line="360" w:lineRule="auto"/>
                    <w:jc w:val="center"/>
                    <w:rPr>
                      <w:color w:val="auto"/>
                      <w:szCs w:val="21"/>
                    </w:rPr>
                  </w:pPr>
                  <w:r>
                    <w:rPr>
                      <w:rFonts w:hint="eastAsia"/>
                      <w:color w:val="auto"/>
                      <w:szCs w:val="21"/>
                    </w:rPr>
                    <w:t>47.298873</w:t>
                  </w:r>
                </w:p>
              </w:tc>
              <w:tc>
                <w:tcPr>
                  <w:tcW w:w="591" w:type="pct"/>
                  <w:noWrap w:val="0"/>
                  <w:vAlign w:val="center"/>
                </w:tcPr>
                <w:p w14:paraId="475DB6A5">
                  <w:pPr>
                    <w:spacing w:line="360" w:lineRule="auto"/>
                    <w:jc w:val="center"/>
                    <w:rPr>
                      <w:color w:val="auto"/>
                      <w:szCs w:val="21"/>
                    </w:rPr>
                  </w:pPr>
                  <w:r>
                    <w:rPr>
                      <w:rFonts w:hint="eastAsia"/>
                      <w:color w:val="auto"/>
                      <w:szCs w:val="21"/>
                    </w:rPr>
                    <w:t>居住区</w:t>
                  </w:r>
                </w:p>
              </w:tc>
              <w:tc>
                <w:tcPr>
                  <w:tcW w:w="439" w:type="pct"/>
                  <w:noWrap w:val="0"/>
                  <w:vAlign w:val="center"/>
                </w:tcPr>
                <w:p w14:paraId="050D0AAF">
                  <w:pPr>
                    <w:spacing w:line="360" w:lineRule="auto"/>
                    <w:jc w:val="center"/>
                    <w:rPr>
                      <w:color w:val="auto"/>
                      <w:szCs w:val="21"/>
                    </w:rPr>
                  </w:pPr>
                  <w:r>
                    <w:rPr>
                      <w:rFonts w:hint="eastAsia"/>
                      <w:color w:val="auto"/>
                      <w:szCs w:val="21"/>
                    </w:rPr>
                    <w:t>居民</w:t>
                  </w:r>
                </w:p>
              </w:tc>
              <w:tc>
                <w:tcPr>
                  <w:tcW w:w="415" w:type="pct"/>
                  <w:noWrap w:val="0"/>
                  <w:vAlign w:val="center"/>
                </w:tcPr>
                <w:p w14:paraId="0688AFAC">
                  <w:pPr>
                    <w:spacing w:line="360" w:lineRule="auto"/>
                    <w:jc w:val="center"/>
                    <w:rPr>
                      <w:color w:val="auto"/>
                      <w:szCs w:val="21"/>
                    </w:rPr>
                  </w:pPr>
                  <w:r>
                    <w:rPr>
                      <w:color w:val="auto"/>
                      <w:szCs w:val="21"/>
                    </w:rPr>
                    <w:t>二类</w:t>
                  </w:r>
                </w:p>
              </w:tc>
              <w:tc>
                <w:tcPr>
                  <w:tcW w:w="445" w:type="pct"/>
                  <w:noWrap w:val="0"/>
                  <w:vAlign w:val="center"/>
                </w:tcPr>
                <w:p w14:paraId="6377F205">
                  <w:pPr>
                    <w:spacing w:line="360" w:lineRule="auto"/>
                    <w:jc w:val="center"/>
                    <w:rPr>
                      <w:rFonts w:hint="eastAsia" w:eastAsia="宋体"/>
                      <w:color w:val="auto"/>
                      <w:szCs w:val="21"/>
                      <w:lang w:val="en-US" w:eastAsia="zh-CN"/>
                    </w:rPr>
                  </w:pPr>
                  <w:r>
                    <w:rPr>
                      <w:rFonts w:hint="eastAsia"/>
                      <w:color w:val="auto"/>
                      <w:szCs w:val="21"/>
                      <w:lang w:val="en-US" w:eastAsia="zh-CN"/>
                    </w:rPr>
                    <w:t>W</w:t>
                  </w:r>
                </w:p>
              </w:tc>
              <w:tc>
                <w:tcPr>
                  <w:tcW w:w="536" w:type="pct"/>
                  <w:noWrap w:val="0"/>
                  <w:vAlign w:val="center"/>
                </w:tcPr>
                <w:p w14:paraId="75ACAE6E">
                  <w:pPr>
                    <w:spacing w:line="360" w:lineRule="auto"/>
                    <w:jc w:val="center"/>
                    <w:rPr>
                      <w:rFonts w:hint="default" w:eastAsia="宋体"/>
                      <w:color w:val="auto"/>
                      <w:szCs w:val="21"/>
                      <w:lang w:val="en-US" w:eastAsia="zh-CN"/>
                    </w:rPr>
                  </w:pPr>
                  <w:r>
                    <w:rPr>
                      <w:rFonts w:hint="eastAsia"/>
                      <w:color w:val="auto"/>
                      <w:szCs w:val="21"/>
                      <w:lang w:val="en-US" w:eastAsia="zh-CN"/>
                    </w:rPr>
                    <w:t>255</w:t>
                  </w:r>
                </w:p>
              </w:tc>
            </w:tr>
            <w:tr w14:paraId="29F4AC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1019" w:type="pct"/>
                  <w:noWrap w:val="0"/>
                  <w:vAlign w:val="center"/>
                </w:tcPr>
                <w:p w14:paraId="075E5722">
                  <w:pPr>
                    <w:spacing w:line="360" w:lineRule="auto"/>
                    <w:jc w:val="center"/>
                    <w:rPr>
                      <w:color w:val="auto"/>
                      <w:szCs w:val="21"/>
                    </w:rPr>
                  </w:pPr>
                  <w:r>
                    <w:rPr>
                      <w:rFonts w:hint="eastAsia"/>
                      <w:color w:val="auto"/>
                      <w:szCs w:val="21"/>
                    </w:rPr>
                    <w:t>鹤岗市公安局南山分局</w:t>
                  </w:r>
                </w:p>
              </w:tc>
              <w:tc>
                <w:tcPr>
                  <w:tcW w:w="784" w:type="pct"/>
                  <w:noWrap w:val="0"/>
                  <w:vAlign w:val="center"/>
                </w:tcPr>
                <w:p w14:paraId="6F6CF251">
                  <w:pPr>
                    <w:spacing w:line="360" w:lineRule="auto"/>
                    <w:jc w:val="center"/>
                    <w:rPr>
                      <w:rFonts w:hint="eastAsia"/>
                      <w:color w:val="auto"/>
                      <w:szCs w:val="21"/>
                    </w:rPr>
                  </w:pPr>
                  <w:r>
                    <w:rPr>
                      <w:rFonts w:hint="eastAsia"/>
                      <w:color w:val="auto"/>
                      <w:szCs w:val="21"/>
                    </w:rPr>
                    <w:t>130.279895</w:t>
                  </w:r>
                </w:p>
              </w:tc>
              <w:tc>
                <w:tcPr>
                  <w:tcW w:w="769" w:type="pct"/>
                  <w:noWrap w:val="0"/>
                  <w:vAlign w:val="center"/>
                </w:tcPr>
                <w:p w14:paraId="232D60FE">
                  <w:pPr>
                    <w:spacing w:line="360" w:lineRule="auto"/>
                    <w:jc w:val="center"/>
                    <w:rPr>
                      <w:rFonts w:hint="eastAsia"/>
                      <w:color w:val="auto"/>
                      <w:szCs w:val="21"/>
                    </w:rPr>
                  </w:pPr>
                  <w:r>
                    <w:rPr>
                      <w:rFonts w:hint="eastAsia"/>
                      <w:color w:val="auto"/>
                      <w:szCs w:val="21"/>
                    </w:rPr>
                    <w:t>47.300675</w:t>
                  </w:r>
                </w:p>
              </w:tc>
              <w:tc>
                <w:tcPr>
                  <w:tcW w:w="591" w:type="pct"/>
                  <w:noWrap w:val="0"/>
                  <w:vAlign w:val="center"/>
                </w:tcPr>
                <w:p w14:paraId="4E2665CB">
                  <w:pPr>
                    <w:spacing w:line="360" w:lineRule="auto"/>
                    <w:jc w:val="center"/>
                    <w:rPr>
                      <w:rFonts w:hint="eastAsia"/>
                      <w:color w:val="auto"/>
                      <w:szCs w:val="21"/>
                      <w:lang w:val="en-US" w:eastAsia="zh-CN"/>
                    </w:rPr>
                  </w:pPr>
                  <w:r>
                    <w:rPr>
                      <w:rFonts w:hint="eastAsia"/>
                      <w:color w:val="auto"/>
                      <w:szCs w:val="21"/>
                      <w:lang w:val="en-US" w:eastAsia="zh-CN"/>
                    </w:rPr>
                    <w:t>政府</w:t>
                  </w:r>
                </w:p>
                <w:p w14:paraId="176AA34E">
                  <w:pPr>
                    <w:spacing w:line="360" w:lineRule="auto"/>
                    <w:jc w:val="center"/>
                    <w:rPr>
                      <w:rFonts w:hint="eastAsia" w:eastAsia="宋体"/>
                      <w:color w:val="auto"/>
                      <w:szCs w:val="21"/>
                      <w:lang w:eastAsia="zh-CN"/>
                    </w:rPr>
                  </w:pPr>
                  <w:r>
                    <w:rPr>
                      <w:rFonts w:hint="eastAsia"/>
                      <w:color w:val="auto"/>
                      <w:szCs w:val="21"/>
                      <w:lang w:val="en-US" w:eastAsia="zh-CN"/>
                    </w:rPr>
                    <w:t>机构</w:t>
                  </w:r>
                </w:p>
              </w:tc>
              <w:tc>
                <w:tcPr>
                  <w:tcW w:w="439" w:type="pct"/>
                  <w:noWrap w:val="0"/>
                  <w:vAlign w:val="center"/>
                </w:tcPr>
                <w:p w14:paraId="5F7D7FA2">
                  <w:pPr>
                    <w:spacing w:line="360" w:lineRule="auto"/>
                    <w:jc w:val="center"/>
                    <w:rPr>
                      <w:rFonts w:hint="default" w:eastAsia="宋体"/>
                      <w:color w:val="auto"/>
                      <w:szCs w:val="21"/>
                      <w:lang w:val="en-US" w:eastAsia="zh-CN"/>
                    </w:rPr>
                  </w:pPr>
                  <w:r>
                    <w:rPr>
                      <w:rFonts w:hint="eastAsia"/>
                      <w:color w:val="auto"/>
                      <w:szCs w:val="21"/>
                      <w:lang w:val="en-US" w:eastAsia="zh-CN"/>
                    </w:rPr>
                    <w:t>政府人员</w:t>
                  </w:r>
                </w:p>
              </w:tc>
              <w:tc>
                <w:tcPr>
                  <w:tcW w:w="415" w:type="pct"/>
                  <w:noWrap w:val="0"/>
                  <w:vAlign w:val="center"/>
                </w:tcPr>
                <w:p w14:paraId="2228F668">
                  <w:pPr>
                    <w:spacing w:line="360" w:lineRule="auto"/>
                    <w:jc w:val="center"/>
                    <w:rPr>
                      <w:color w:val="auto"/>
                      <w:szCs w:val="21"/>
                    </w:rPr>
                  </w:pPr>
                  <w:r>
                    <w:rPr>
                      <w:color w:val="auto"/>
                      <w:szCs w:val="21"/>
                    </w:rPr>
                    <w:t>二类</w:t>
                  </w:r>
                </w:p>
              </w:tc>
              <w:tc>
                <w:tcPr>
                  <w:tcW w:w="445" w:type="pct"/>
                  <w:noWrap w:val="0"/>
                  <w:vAlign w:val="center"/>
                </w:tcPr>
                <w:p w14:paraId="1CBFBBAE">
                  <w:pPr>
                    <w:spacing w:line="360" w:lineRule="auto"/>
                    <w:jc w:val="center"/>
                    <w:rPr>
                      <w:rFonts w:hint="eastAsia" w:eastAsia="宋体"/>
                      <w:color w:val="auto"/>
                      <w:szCs w:val="21"/>
                      <w:lang w:val="en-US" w:eastAsia="zh-CN"/>
                    </w:rPr>
                  </w:pPr>
                  <w:r>
                    <w:rPr>
                      <w:rFonts w:hint="eastAsia"/>
                      <w:color w:val="auto"/>
                      <w:szCs w:val="21"/>
                      <w:lang w:val="en-US" w:eastAsia="zh-CN"/>
                    </w:rPr>
                    <w:t>W</w:t>
                  </w:r>
                </w:p>
              </w:tc>
              <w:tc>
                <w:tcPr>
                  <w:tcW w:w="536" w:type="pct"/>
                  <w:noWrap w:val="0"/>
                  <w:vAlign w:val="center"/>
                </w:tcPr>
                <w:p w14:paraId="76562064">
                  <w:pPr>
                    <w:spacing w:line="360" w:lineRule="auto"/>
                    <w:jc w:val="center"/>
                    <w:rPr>
                      <w:rFonts w:hint="default" w:eastAsia="宋体"/>
                      <w:color w:val="auto"/>
                      <w:szCs w:val="21"/>
                      <w:lang w:val="en-US" w:eastAsia="zh-CN"/>
                    </w:rPr>
                  </w:pPr>
                  <w:r>
                    <w:rPr>
                      <w:rFonts w:hint="eastAsia"/>
                      <w:color w:val="auto"/>
                      <w:szCs w:val="21"/>
                      <w:lang w:val="en-US" w:eastAsia="zh-CN"/>
                    </w:rPr>
                    <w:t>250</w:t>
                  </w:r>
                </w:p>
              </w:tc>
            </w:tr>
            <w:tr w14:paraId="79D6E5F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1019" w:type="pct"/>
                  <w:noWrap w:val="0"/>
                  <w:vAlign w:val="center"/>
                </w:tcPr>
                <w:p w14:paraId="4D2E05A3">
                  <w:pPr>
                    <w:spacing w:line="360" w:lineRule="auto"/>
                    <w:jc w:val="center"/>
                    <w:rPr>
                      <w:color w:val="auto"/>
                      <w:szCs w:val="21"/>
                    </w:rPr>
                  </w:pPr>
                  <w:r>
                    <w:rPr>
                      <w:rFonts w:hint="eastAsia"/>
                      <w:color w:val="auto"/>
                      <w:szCs w:val="21"/>
                    </w:rPr>
                    <w:t>铁东老年公寓</w:t>
                  </w:r>
                </w:p>
              </w:tc>
              <w:tc>
                <w:tcPr>
                  <w:tcW w:w="784" w:type="pct"/>
                  <w:noWrap w:val="0"/>
                  <w:vAlign w:val="center"/>
                </w:tcPr>
                <w:p w14:paraId="6C6FC0C1">
                  <w:pPr>
                    <w:spacing w:line="360" w:lineRule="auto"/>
                    <w:jc w:val="center"/>
                    <w:rPr>
                      <w:rFonts w:hint="eastAsia"/>
                      <w:color w:val="auto"/>
                      <w:szCs w:val="21"/>
                    </w:rPr>
                  </w:pPr>
                  <w:r>
                    <w:rPr>
                      <w:rFonts w:hint="eastAsia"/>
                      <w:color w:val="auto"/>
                      <w:szCs w:val="21"/>
                    </w:rPr>
                    <w:t>130.279702</w:t>
                  </w:r>
                </w:p>
              </w:tc>
              <w:tc>
                <w:tcPr>
                  <w:tcW w:w="769" w:type="pct"/>
                  <w:noWrap w:val="0"/>
                  <w:vAlign w:val="center"/>
                </w:tcPr>
                <w:p w14:paraId="0A7A8A2C">
                  <w:pPr>
                    <w:spacing w:line="360" w:lineRule="auto"/>
                    <w:jc w:val="center"/>
                    <w:rPr>
                      <w:rFonts w:hint="eastAsia"/>
                      <w:color w:val="auto"/>
                      <w:szCs w:val="21"/>
                    </w:rPr>
                  </w:pPr>
                  <w:r>
                    <w:rPr>
                      <w:rFonts w:hint="eastAsia"/>
                      <w:color w:val="auto"/>
                      <w:szCs w:val="21"/>
                    </w:rPr>
                    <w:t>47.297864</w:t>
                  </w:r>
                </w:p>
              </w:tc>
              <w:tc>
                <w:tcPr>
                  <w:tcW w:w="591" w:type="pct"/>
                  <w:noWrap w:val="0"/>
                  <w:vAlign w:val="center"/>
                </w:tcPr>
                <w:p w14:paraId="412F4443">
                  <w:pPr>
                    <w:spacing w:line="360" w:lineRule="auto"/>
                    <w:jc w:val="center"/>
                    <w:rPr>
                      <w:rFonts w:hint="eastAsia"/>
                      <w:color w:val="auto"/>
                      <w:szCs w:val="21"/>
                    </w:rPr>
                  </w:pPr>
                  <w:r>
                    <w:rPr>
                      <w:rFonts w:hint="eastAsia"/>
                      <w:color w:val="auto"/>
                      <w:szCs w:val="21"/>
                    </w:rPr>
                    <w:t>学校</w:t>
                  </w:r>
                </w:p>
              </w:tc>
              <w:tc>
                <w:tcPr>
                  <w:tcW w:w="439" w:type="pct"/>
                  <w:noWrap w:val="0"/>
                  <w:vAlign w:val="center"/>
                </w:tcPr>
                <w:p w14:paraId="12F93F2E">
                  <w:pPr>
                    <w:spacing w:line="360" w:lineRule="auto"/>
                    <w:jc w:val="center"/>
                    <w:rPr>
                      <w:rFonts w:hint="eastAsia"/>
                      <w:color w:val="auto"/>
                      <w:szCs w:val="21"/>
                    </w:rPr>
                  </w:pPr>
                  <w:r>
                    <w:rPr>
                      <w:rFonts w:hint="eastAsia"/>
                      <w:color w:val="auto"/>
                      <w:szCs w:val="21"/>
                    </w:rPr>
                    <w:t>师生</w:t>
                  </w:r>
                </w:p>
              </w:tc>
              <w:tc>
                <w:tcPr>
                  <w:tcW w:w="415" w:type="pct"/>
                  <w:noWrap w:val="0"/>
                  <w:vAlign w:val="center"/>
                </w:tcPr>
                <w:p w14:paraId="0676AAE4">
                  <w:pPr>
                    <w:spacing w:line="360" w:lineRule="auto"/>
                    <w:jc w:val="center"/>
                    <w:rPr>
                      <w:color w:val="auto"/>
                      <w:szCs w:val="21"/>
                    </w:rPr>
                  </w:pPr>
                  <w:r>
                    <w:rPr>
                      <w:color w:val="auto"/>
                      <w:szCs w:val="21"/>
                    </w:rPr>
                    <w:t>二类</w:t>
                  </w:r>
                </w:p>
              </w:tc>
              <w:tc>
                <w:tcPr>
                  <w:tcW w:w="445" w:type="pct"/>
                  <w:noWrap w:val="0"/>
                  <w:vAlign w:val="center"/>
                </w:tcPr>
                <w:p w14:paraId="6CCDD161">
                  <w:pPr>
                    <w:spacing w:line="360" w:lineRule="auto"/>
                    <w:jc w:val="center"/>
                    <w:rPr>
                      <w:rFonts w:hint="default" w:eastAsia="宋体"/>
                      <w:color w:val="auto"/>
                      <w:szCs w:val="21"/>
                      <w:lang w:val="en-US" w:eastAsia="zh-CN"/>
                    </w:rPr>
                  </w:pPr>
                  <w:r>
                    <w:rPr>
                      <w:rFonts w:hint="eastAsia"/>
                      <w:color w:val="auto"/>
                      <w:szCs w:val="21"/>
                      <w:lang w:val="en-US" w:eastAsia="zh-CN"/>
                    </w:rPr>
                    <w:t>WS</w:t>
                  </w:r>
                </w:p>
              </w:tc>
              <w:tc>
                <w:tcPr>
                  <w:tcW w:w="536" w:type="pct"/>
                  <w:noWrap w:val="0"/>
                  <w:vAlign w:val="center"/>
                </w:tcPr>
                <w:p w14:paraId="05D18BD3">
                  <w:pPr>
                    <w:spacing w:line="360" w:lineRule="auto"/>
                    <w:jc w:val="center"/>
                    <w:rPr>
                      <w:rFonts w:hint="default" w:eastAsia="宋体"/>
                      <w:color w:val="auto"/>
                      <w:szCs w:val="21"/>
                      <w:lang w:val="en-US" w:eastAsia="zh-CN"/>
                    </w:rPr>
                  </w:pPr>
                  <w:r>
                    <w:rPr>
                      <w:rFonts w:hint="eastAsia"/>
                      <w:color w:val="auto"/>
                      <w:szCs w:val="21"/>
                      <w:lang w:val="en-US" w:eastAsia="zh-CN"/>
                    </w:rPr>
                    <w:t>335</w:t>
                  </w:r>
                </w:p>
              </w:tc>
            </w:tr>
            <w:tr w14:paraId="10F8C9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1019" w:type="pct"/>
                  <w:noWrap w:val="0"/>
                  <w:vAlign w:val="center"/>
                </w:tcPr>
                <w:p w14:paraId="42724F7E">
                  <w:pPr>
                    <w:spacing w:line="360" w:lineRule="auto"/>
                    <w:jc w:val="center"/>
                    <w:rPr>
                      <w:rFonts w:hint="default" w:eastAsia="宋体"/>
                      <w:color w:val="auto"/>
                      <w:szCs w:val="21"/>
                      <w:lang w:val="en-US" w:eastAsia="zh-CN"/>
                    </w:rPr>
                  </w:pPr>
                  <w:r>
                    <w:rPr>
                      <w:rFonts w:hint="eastAsia"/>
                      <w:color w:val="auto"/>
                      <w:szCs w:val="21"/>
                      <w:lang w:val="en-US" w:eastAsia="zh-CN"/>
                    </w:rPr>
                    <w:t>南山区人民法院</w:t>
                  </w:r>
                </w:p>
              </w:tc>
              <w:tc>
                <w:tcPr>
                  <w:tcW w:w="784" w:type="pct"/>
                  <w:noWrap w:val="0"/>
                  <w:vAlign w:val="center"/>
                </w:tcPr>
                <w:p w14:paraId="7DE8A09F">
                  <w:pPr>
                    <w:spacing w:line="360" w:lineRule="auto"/>
                    <w:jc w:val="center"/>
                    <w:rPr>
                      <w:rFonts w:hint="eastAsia"/>
                      <w:color w:val="auto"/>
                      <w:szCs w:val="21"/>
                    </w:rPr>
                  </w:pPr>
                  <w:r>
                    <w:rPr>
                      <w:rFonts w:hint="eastAsia"/>
                      <w:color w:val="auto"/>
                      <w:szCs w:val="21"/>
                    </w:rPr>
                    <w:t>130.278565</w:t>
                  </w:r>
                </w:p>
              </w:tc>
              <w:tc>
                <w:tcPr>
                  <w:tcW w:w="769" w:type="pct"/>
                  <w:noWrap w:val="0"/>
                  <w:vAlign w:val="center"/>
                </w:tcPr>
                <w:p w14:paraId="3F75662A">
                  <w:pPr>
                    <w:spacing w:line="360" w:lineRule="auto"/>
                    <w:jc w:val="center"/>
                    <w:rPr>
                      <w:rFonts w:hint="eastAsia"/>
                      <w:color w:val="auto"/>
                      <w:szCs w:val="21"/>
                    </w:rPr>
                  </w:pPr>
                  <w:r>
                    <w:rPr>
                      <w:rFonts w:hint="eastAsia"/>
                      <w:color w:val="auto"/>
                      <w:szCs w:val="21"/>
                    </w:rPr>
                    <w:t>47.301512</w:t>
                  </w:r>
                </w:p>
              </w:tc>
              <w:tc>
                <w:tcPr>
                  <w:tcW w:w="591" w:type="pct"/>
                  <w:shd w:val="clear" w:color="auto" w:fill="auto"/>
                  <w:noWrap w:val="0"/>
                  <w:vAlign w:val="center"/>
                </w:tcPr>
                <w:p w14:paraId="72EF274B">
                  <w:pPr>
                    <w:spacing w:line="360" w:lineRule="auto"/>
                    <w:jc w:val="center"/>
                    <w:rPr>
                      <w:rFonts w:hint="eastAsia"/>
                      <w:color w:val="auto"/>
                      <w:szCs w:val="21"/>
                      <w:lang w:val="en-US" w:eastAsia="zh-CN"/>
                    </w:rPr>
                  </w:pPr>
                  <w:r>
                    <w:rPr>
                      <w:rFonts w:hint="eastAsia"/>
                      <w:color w:val="auto"/>
                      <w:szCs w:val="21"/>
                      <w:lang w:val="en-US" w:eastAsia="zh-CN"/>
                    </w:rPr>
                    <w:t>政府</w:t>
                  </w:r>
                </w:p>
                <w:p w14:paraId="4CAB9806">
                  <w:pPr>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机构</w:t>
                  </w:r>
                </w:p>
              </w:tc>
              <w:tc>
                <w:tcPr>
                  <w:tcW w:w="439" w:type="pct"/>
                  <w:shd w:val="clear" w:color="auto" w:fill="auto"/>
                  <w:noWrap w:val="0"/>
                  <w:vAlign w:val="center"/>
                </w:tcPr>
                <w:p w14:paraId="0D71D429">
                  <w:pPr>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lang w:val="en-US" w:eastAsia="zh-CN"/>
                    </w:rPr>
                    <w:t>政府人员</w:t>
                  </w:r>
                </w:p>
              </w:tc>
              <w:tc>
                <w:tcPr>
                  <w:tcW w:w="415" w:type="pct"/>
                  <w:noWrap w:val="0"/>
                  <w:vAlign w:val="center"/>
                </w:tcPr>
                <w:p w14:paraId="05C7BAE6">
                  <w:pPr>
                    <w:spacing w:line="360" w:lineRule="auto"/>
                    <w:jc w:val="center"/>
                    <w:rPr>
                      <w:color w:val="auto"/>
                      <w:szCs w:val="21"/>
                    </w:rPr>
                  </w:pPr>
                  <w:r>
                    <w:rPr>
                      <w:color w:val="auto"/>
                      <w:szCs w:val="21"/>
                    </w:rPr>
                    <w:t>二类</w:t>
                  </w:r>
                </w:p>
              </w:tc>
              <w:tc>
                <w:tcPr>
                  <w:tcW w:w="445" w:type="pct"/>
                  <w:noWrap w:val="0"/>
                  <w:vAlign w:val="center"/>
                </w:tcPr>
                <w:p w14:paraId="3133453A">
                  <w:pPr>
                    <w:spacing w:line="360" w:lineRule="auto"/>
                    <w:jc w:val="center"/>
                    <w:rPr>
                      <w:rFonts w:hint="default"/>
                      <w:color w:val="auto"/>
                      <w:szCs w:val="21"/>
                      <w:lang w:val="en-US" w:eastAsia="zh-CN"/>
                    </w:rPr>
                  </w:pPr>
                  <w:r>
                    <w:rPr>
                      <w:rFonts w:hint="eastAsia"/>
                      <w:color w:val="auto"/>
                      <w:szCs w:val="21"/>
                      <w:lang w:val="en-US" w:eastAsia="zh-CN"/>
                    </w:rPr>
                    <w:t>WN</w:t>
                  </w:r>
                </w:p>
              </w:tc>
              <w:tc>
                <w:tcPr>
                  <w:tcW w:w="536" w:type="pct"/>
                  <w:noWrap w:val="0"/>
                  <w:vAlign w:val="center"/>
                </w:tcPr>
                <w:p w14:paraId="4D9E6297">
                  <w:pPr>
                    <w:spacing w:line="360" w:lineRule="auto"/>
                    <w:jc w:val="center"/>
                    <w:rPr>
                      <w:rFonts w:hint="default" w:eastAsia="宋体"/>
                      <w:color w:val="auto"/>
                      <w:szCs w:val="21"/>
                      <w:lang w:val="en-US" w:eastAsia="zh-CN"/>
                    </w:rPr>
                  </w:pPr>
                  <w:r>
                    <w:rPr>
                      <w:rFonts w:hint="eastAsia"/>
                      <w:color w:val="auto"/>
                      <w:szCs w:val="21"/>
                      <w:lang w:val="en-US" w:eastAsia="zh-CN"/>
                    </w:rPr>
                    <w:t>355</w:t>
                  </w:r>
                </w:p>
              </w:tc>
            </w:tr>
            <w:tr w14:paraId="285EEFE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69" w:hRule="atLeast"/>
              </w:trPr>
              <w:tc>
                <w:tcPr>
                  <w:tcW w:w="1019" w:type="pct"/>
                  <w:noWrap w:val="0"/>
                  <w:vAlign w:val="center"/>
                </w:tcPr>
                <w:p w14:paraId="0FB2565A">
                  <w:pPr>
                    <w:spacing w:line="360" w:lineRule="auto"/>
                    <w:jc w:val="center"/>
                    <w:rPr>
                      <w:rFonts w:hint="default" w:eastAsia="宋体"/>
                      <w:color w:val="auto"/>
                      <w:szCs w:val="21"/>
                      <w:lang w:val="en-US" w:eastAsia="zh-CN"/>
                    </w:rPr>
                  </w:pPr>
                  <w:r>
                    <w:rPr>
                      <w:rFonts w:hint="eastAsia"/>
                      <w:color w:val="auto"/>
                      <w:szCs w:val="21"/>
                      <w:lang w:val="en-US" w:eastAsia="zh-CN"/>
                    </w:rPr>
                    <w:t>福泰家园</w:t>
                  </w:r>
                </w:p>
              </w:tc>
              <w:tc>
                <w:tcPr>
                  <w:tcW w:w="784" w:type="pct"/>
                  <w:noWrap w:val="0"/>
                  <w:vAlign w:val="center"/>
                </w:tcPr>
                <w:p w14:paraId="04A56F6F">
                  <w:pPr>
                    <w:spacing w:line="360" w:lineRule="auto"/>
                    <w:jc w:val="center"/>
                    <w:rPr>
                      <w:rFonts w:hint="eastAsia"/>
                      <w:color w:val="auto"/>
                      <w:szCs w:val="21"/>
                    </w:rPr>
                  </w:pPr>
                  <w:r>
                    <w:rPr>
                      <w:rFonts w:hint="eastAsia"/>
                      <w:color w:val="auto"/>
                      <w:szCs w:val="21"/>
                    </w:rPr>
                    <w:t>130.280110</w:t>
                  </w:r>
                </w:p>
              </w:tc>
              <w:tc>
                <w:tcPr>
                  <w:tcW w:w="769" w:type="pct"/>
                  <w:noWrap w:val="0"/>
                  <w:vAlign w:val="center"/>
                </w:tcPr>
                <w:p w14:paraId="5403C9B6">
                  <w:pPr>
                    <w:spacing w:line="360" w:lineRule="auto"/>
                    <w:jc w:val="center"/>
                    <w:rPr>
                      <w:rFonts w:hint="eastAsia"/>
                      <w:color w:val="auto"/>
                      <w:szCs w:val="21"/>
                    </w:rPr>
                  </w:pPr>
                  <w:r>
                    <w:rPr>
                      <w:rFonts w:hint="eastAsia"/>
                      <w:color w:val="auto"/>
                      <w:szCs w:val="21"/>
                    </w:rPr>
                    <w:t>47.304345</w:t>
                  </w:r>
                </w:p>
              </w:tc>
              <w:tc>
                <w:tcPr>
                  <w:tcW w:w="591" w:type="pct"/>
                  <w:shd w:val="clear" w:color="auto" w:fill="auto"/>
                  <w:noWrap w:val="0"/>
                  <w:vAlign w:val="center"/>
                </w:tcPr>
                <w:p w14:paraId="6268D7A3">
                  <w:pPr>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居住区</w:t>
                  </w:r>
                </w:p>
              </w:tc>
              <w:tc>
                <w:tcPr>
                  <w:tcW w:w="439" w:type="pct"/>
                  <w:shd w:val="clear" w:color="auto" w:fill="auto"/>
                  <w:noWrap w:val="0"/>
                  <w:vAlign w:val="center"/>
                </w:tcPr>
                <w:p w14:paraId="70599C45">
                  <w:pPr>
                    <w:spacing w:line="360" w:lineRule="auto"/>
                    <w:jc w:val="center"/>
                    <w:rPr>
                      <w:rFonts w:hint="eastAsia" w:ascii="Times New Roman" w:hAnsi="Times New Roman" w:eastAsia="宋体" w:cs="Times New Roman"/>
                      <w:color w:val="auto"/>
                      <w:kern w:val="2"/>
                      <w:sz w:val="21"/>
                      <w:szCs w:val="21"/>
                      <w:lang w:val="en-US" w:eastAsia="zh-CN" w:bidi="ar-SA"/>
                    </w:rPr>
                  </w:pPr>
                  <w:r>
                    <w:rPr>
                      <w:rFonts w:hint="eastAsia"/>
                      <w:color w:val="auto"/>
                      <w:szCs w:val="21"/>
                    </w:rPr>
                    <w:t>居民</w:t>
                  </w:r>
                </w:p>
              </w:tc>
              <w:tc>
                <w:tcPr>
                  <w:tcW w:w="415" w:type="pct"/>
                  <w:shd w:val="clear" w:color="auto" w:fill="auto"/>
                  <w:noWrap w:val="0"/>
                  <w:vAlign w:val="center"/>
                </w:tcPr>
                <w:p w14:paraId="07ED347A">
                  <w:pPr>
                    <w:spacing w:line="360" w:lineRule="auto"/>
                    <w:jc w:val="center"/>
                    <w:rPr>
                      <w:rFonts w:ascii="Times New Roman" w:hAnsi="Times New Roman" w:eastAsia="宋体" w:cs="Times New Roman"/>
                      <w:color w:val="auto"/>
                      <w:kern w:val="2"/>
                      <w:sz w:val="21"/>
                      <w:szCs w:val="21"/>
                      <w:lang w:val="en-US" w:eastAsia="zh-CN" w:bidi="ar-SA"/>
                    </w:rPr>
                  </w:pPr>
                  <w:r>
                    <w:rPr>
                      <w:color w:val="auto"/>
                      <w:szCs w:val="21"/>
                    </w:rPr>
                    <w:t>二类</w:t>
                  </w:r>
                </w:p>
              </w:tc>
              <w:tc>
                <w:tcPr>
                  <w:tcW w:w="445" w:type="pct"/>
                  <w:noWrap w:val="0"/>
                  <w:vAlign w:val="center"/>
                </w:tcPr>
                <w:p w14:paraId="6DB95210">
                  <w:pPr>
                    <w:spacing w:line="360" w:lineRule="auto"/>
                    <w:jc w:val="center"/>
                    <w:rPr>
                      <w:rFonts w:hint="default"/>
                      <w:color w:val="auto"/>
                      <w:szCs w:val="21"/>
                      <w:lang w:val="en-US" w:eastAsia="zh-CN"/>
                    </w:rPr>
                  </w:pPr>
                  <w:r>
                    <w:rPr>
                      <w:rFonts w:hint="eastAsia"/>
                      <w:color w:val="auto"/>
                      <w:szCs w:val="21"/>
                      <w:lang w:val="en-US" w:eastAsia="zh-CN"/>
                    </w:rPr>
                    <w:t>WN</w:t>
                  </w:r>
                </w:p>
              </w:tc>
              <w:tc>
                <w:tcPr>
                  <w:tcW w:w="536" w:type="pct"/>
                  <w:noWrap w:val="0"/>
                  <w:vAlign w:val="center"/>
                </w:tcPr>
                <w:p w14:paraId="0583D1C3">
                  <w:pPr>
                    <w:spacing w:line="360" w:lineRule="auto"/>
                    <w:jc w:val="center"/>
                    <w:rPr>
                      <w:rFonts w:hint="default" w:eastAsia="宋体"/>
                      <w:color w:val="auto"/>
                      <w:szCs w:val="21"/>
                      <w:lang w:val="en-US" w:eastAsia="zh-CN"/>
                    </w:rPr>
                  </w:pPr>
                  <w:r>
                    <w:rPr>
                      <w:rFonts w:hint="eastAsia"/>
                      <w:color w:val="auto"/>
                      <w:szCs w:val="21"/>
                      <w:lang w:val="en-US" w:eastAsia="zh-CN"/>
                    </w:rPr>
                    <w:t>410</w:t>
                  </w:r>
                </w:p>
              </w:tc>
            </w:tr>
          </w:tbl>
          <w:p w14:paraId="2F442023">
            <w:pPr>
              <w:pStyle w:val="102"/>
              <w:spacing w:line="500" w:lineRule="exact"/>
              <w:ind w:firstLine="480"/>
              <w:rPr>
                <w:color w:val="auto"/>
              </w:rPr>
            </w:pPr>
            <w:r>
              <w:rPr>
                <w:color w:val="auto"/>
              </w:rPr>
              <w:t>2、声环境保护目标</w:t>
            </w:r>
          </w:p>
          <w:p w14:paraId="24236540">
            <w:pPr>
              <w:pStyle w:val="102"/>
              <w:spacing w:line="500" w:lineRule="exact"/>
              <w:ind w:firstLine="480"/>
              <w:rPr>
                <w:color w:val="auto"/>
              </w:rPr>
            </w:pPr>
            <w:r>
              <w:rPr>
                <w:color w:val="auto"/>
              </w:rPr>
              <w:t>本项目厂界外50m范围内</w:t>
            </w:r>
            <w:r>
              <w:rPr>
                <w:rFonts w:hint="eastAsia"/>
                <w:color w:val="auto"/>
              </w:rPr>
              <w:t>无声环境保护目标。</w:t>
            </w:r>
          </w:p>
          <w:p w14:paraId="52EED75B">
            <w:pPr>
              <w:pStyle w:val="102"/>
              <w:ind w:firstLine="480"/>
              <w:rPr>
                <w:color w:val="auto"/>
              </w:rPr>
            </w:pPr>
            <w:r>
              <w:rPr>
                <w:color w:val="auto"/>
              </w:rPr>
              <w:t>3、地下水环境保护目标</w:t>
            </w:r>
          </w:p>
          <w:p w14:paraId="43F84359">
            <w:pPr>
              <w:pStyle w:val="102"/>
              <w:ind w:firstLine="480"/>
              <w:rPr>
                <w:color w:val="auto"/>
              </w:rPr>
            </w:pPr>
            <w:r>
              <w:rPr>
                <w:color w:val="auto"/>
              </w:rPr>
              <w:t>本项目</w:t>
            </w:r>
            <w:r>
              <w:rPr>
                <w:rFonts w:hint="eastAsia"/>
                <w:color w:val="auto"/>
              </w:rPr>
              <w:t>5</w:t>
            </w:r>
            <w:r>
              <w:rPr>
                <w:color w:val="auto"/>
              </w:rPr>
              <w:t>00</w:t>
            </w:r>
            <w:r>
              <w:rPr>
                <w:rFonts w:hint="eastAsia"/>
                <w:color w:val="auto"/>
              </w:rPr>
              <w:t>m范围内</w:t>
            </w:r>
            <w:r>
              <w:rPr>
                <w:color w:val="auto"/>
              </w:rPr>
              <w:t>无地下水集中式饮用水水源和热水、矿泉水、温泉等特殊地下水资源</w:t>
            </w:r>
            <w:r>
              <w:rPr>
                <w:rFonts w:hint="eastAsia"/>
                <w:color w:val="auto"/>
                <w:lang w:eastAsia="zh-CN"/>
              </w:rPr>
              <w:t>，</w:t>
            </w:r>
            <w:r>
              <w:rPr>
                <w:color w:val="auto"/>
              </w:rPr>
              <w:t>无地下水环境保护</w:t>
            </w:r>
            <w:r>
              <w:rPr>
                <w:rFonts w:hint="eastAsia"/>
                <w:color w:val="auto"/>
              </w:rPr>
              <w:t>目标</w:t>
            </w:r>
            <w:r>
              <w:rPr>
                <w:color w:val="auto"/>
              </w:rPr>
              <w:t>。</w:t>
            </w:r>
          </w:p>
          <w:p w14:paraId="0AF698AE">
            <w:pPr>
              <w:pStyle w:val="102"/>
              <w:ind w:firstLine="480"/>
              <w:rPr>
                <w:color w:val="auto"/>
              </w:rPr>
            </w:pPr>
            <w:r>
              <w:rPr>
                <w:color w:val="auto"/>
              </w:rPr>
              <w:t>4、生态环境保护目标</w:t>
            </w:r>
          </w:p>
          <w:p w14:paraId="0A1DAE15">
            <w:pPr>
              <w:pStyle w:val="102"/>
              <w:ind w:firstLine="480"/>
              <w:rPr>
                <w:color w:val="auto"/>
              </w:rPr>
            </w:pPr>
            <w:r>
              <w:rPr>
                <w:color w:val="auto"/>
              </w:rPr>
              <w:t>本项目占地范围内无生态环境保护目标。</w:t>
            </w:r>
          </w:p>
        </w:tc>
      </w:tr>
      <w:tr w14:paraId="00A29DD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2268" w:hRule="atLeast"/>
          <w:jc w:val="center"/>
        </w:trPr>
        <w:tc>
          <w:tcPr>
            <w:tcW w:w="800" w:type="dxa"/>
            <w:tcMar>
              <w:left w:w="28" w:type="dxa"/>
              <w:right w:w="28" w:type="dxa"/>
            </w:tcMar>
            <w:vAlign w:val="center"/>
          </w:tcPr>
          <w:p w14:paraId="3A2A2635">
            <w:pPr>
              <w:adjustRightInd w:val="0"/>
              <w:snapToGrid w:val="0"/>
              <w:jc w:val="center"/>
              <w:rPr>
                <w:color w:val="auto"/>
                <w:kern w:val="0"/>
                <w:szCs w:val="21"/>
              </w:rPr>
            </w:pPr>
            <w:r>
              <w:rPr>
                <w:color w:val="auto"/>
                <w:kern w:val="0"/>
                <w:szCs w:val="21"/>
              </w:rPr>
              <w:t>污染</w:t>
            </w:r>
          </w:p>
          <w:p w14:paraId="70B57EB5">
            <w:pPr>
              <w:adjustRightInd w:val="0"/>
              <w:snapToGrid w:val="0"/>
              <w:jc w:val="center"/>
              <w:rPr>
                <w:color w:val="auto"/>
                <w:kern w:val="0"/>
                <w:szCs w:val="21"/>
              </w:rPr>
            </w:pPr>
            <w:r>
              <w:rPr>
                <w:color w:val="auto"/>
                <w:kern w:val="0"/>
                <w:szCs w:val="21"/>
              </w:rPr>
              <w:t>物排</w:t>
            </w:r>
          </w:p>
          <w:p w14:paraId="0A7F5C89">
            <w:pPr>
              <w:adjustRightInd w:val="0"/>
              <w:snapToGrid w:val="0"/>
              <w:jc w:val="center"/>
              <w:rPr>
                <w:color w:val="auto"/>
                <w:kern w:val="0"/>
                <w:szCs w:val="21"/>
              </w:rPr>
            </w:pPr>
            <w:r>
              <w:rPr>
                <w:color w:val="auto"/>
                <w:kern w:val="0"/>
                <w:szCs w:val="21"/>
              </w:rPr>
              <w:t>放控</w:t>
            </w:r>
          </w:p>
          <w:p w14:paraId="17782A7A">
            <w:pPr>
              <w:adjustRightInd w:val="0"/>
              <w:snapToGrid w:val="0"/>
              <w:jc w:val="center"/>
              <w:rPr>
                <w:color w:val="auto"/>
                <w:kern w:val="0"/>
                <w:szCs w:val="21"/>
              </w:rPr>
            </w:pPr>
            <w:r>
              <w:rPr>
                <w:color w:val="auto"/>
                <w:kern w:val="0"/>
                <w:szCs w:val="21"/>
              </w:rPr>
              <w:t>制标</w:t>
            </w:r>
          </w:p>
          <w:p w14:paraId="058100C5">
            <w:pPr>
              <w:adjustRightInd w:val="0"/>
              <w:snapToGrid w:val="0"/>
              <w:jc w:val="center"/>
              <w:rPr>
                <w:color w:val="auto"/>
                <w:kern w:val="0"/>
                <w:szCs w:val="21"/>
              </w:rPr>
            </w:pPr>
            <w:r>
              <w:rPr>
                <w:color w:val="auto"/>
                <w:kern w:val="0"/>
                <w:szCs w:val="21"/>
              </w:rPr>
              <w:t>准</w:t>
            </w:r>
          </w:p>
        </w:tc>
        <w:tc>
          <w:tcPr>
            <w:tcW w:w="8190" w:type="dxa"/>
            <w:vAlign w:val="center"/>
          </w:tcPr>
          <w:p w14:paraId="7447FA92">
            <w:pPr>
              <w:pStyle w:val="102"/>
              <w:ind w:firstLine="480"/>
              <w:rPr>
                <w:color w:val="auto"/>
              </w:rPr>
            </w:pPr>
            <w:r>
              <w:rPr>
                <w:color w:val="auto"/>
              </w:rPr>
              <w:t>1、噪声</w:t>
            </w:r>
          </w:p>
          <w:p w14:paraId="4AB96038">
            <w:pPr>
              <w:pStyle w:val="102"/>
              <w:ind w:firstLine="480"/>
              <w:rPr>
                <w:color w:val="auto"/>
              </w:rPr>
            </w:pPr>
            <w:r>
              <w:rPr>
                <w:rFonts w:hint="eastAsia"/>
                <w:color w:val="auto"/>
              </w:rPr>
              <w:t>本项目所在区域为</w:t>
            </w:r>
            <w:r>
              <w:rPr>
                <w:color w:val="auto"/>
              </w:rPr>
              <w:t>2</w:t>
            </w:r>
            <w:r>
              <w:rPr>
                <w:rFonts w:hint="eastAsia"/>
                <w:color w:val="auto"/>
              </w:rPr>
              <w:t>类声环境功能区</w:t>
            </w:r>
            <w:r>
              <w:rPr>
                <w:rFonts w:hint="eastAsia"/>
                <w:color w:val="auto"/>
                <w:lang w:eastAsia="zh-CN"/>
              </w:rPr>
              <w:t>，</w:t>
            </w:r>
            <w:r>
              <w:rPr>
                <w:color w:val="auto"/>
              </w:rPr>
              <w:t>运营期厂界噪声执行《工业企业厂界环境噪声排放标准》（GB12348-2008）表1中2类标准。</w:t>
            </w:r>
          </w:p>
          <w:p w14:paraId="32333BAF">
            <w:pPr>
              <w:pStyle w:val="114"/>
              <w:rPr>
                <w:color w:val="auto"/>
              </w:rPr>
            </w:pPr>
            <w:r>
              <w:rPr>
                <w:color w:val="auto"/>
              </w:rPr>
              <w:t>表3-1  工业企业厂界环境噪声排放标准    单位：dB（A）</w:t>
            </w:r>
          </w:p>
          <w:tbl>
            <w:tblPr>
              <w:tblStyle w:val="4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656"/>
              <w:gridCol w:w="2659"/>
              <w:gridCol w:w="2659"/>
            </w:tblGrid>
            <w:tr w14:paraId="2822E6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5" w:type="pct"/>
                  <w:vAlign w:val="center"/>
                </w:tcPr>
                <w:p w14:paraId="72631B6A">
                  <w:pPr>
                    <w:jc w:val="center"/>
                    <w:rPr>
                      <w:color w:val="auto"/>
                      <w:szCs w:val="21"/>
                    </w:rPr>
                  </w:pPr>
                  <w:r>
                    <w:rPr>
                      <w:color w:val="auto"/>
                      <w:szCs w:val="21"/>
                    </w:rPr>
                    <w:t>类别</w:t>
                  </w:r>
                </w:p>
              </w:tc>
              <w:tc>
                <w:tcPr>
                  <w:tcW w:w="1667" w:type="pct"/>
                  <w:vAlign w:val="center"/>
                </w:tcPr>
                <w:p w14:paraId="0EAA4A35">
                  <w:pPr>
                    <w:jc w:val="center"/>
                    <w:rPr>
                      <w:color w:val="auto"/>
                      <w:szCs w:val="21"/>
                    </w:rPr>
                  </w:pPr>
                  <w:r>
                    <w:rPr>
                      <w:color w:val="auto"/>
                      <w:szCs w:val="21"/>
                    </w:rPr>
                    <w:t>昼间</w:t>
                  </w:r>
                </w:p>
              </w:tc>
              <w:tc>
                <w:tcPr>
                  <w:tcW w:w="1667" w:type="pct"/>
                  <w:vAlign w:val="center"/>
                </w:tcPr>
                <w:p w14:paraId="56D7B448">
                  <w:pPr>
                    <w:jc w:val="center"/>
                    <w:rPr>
                      <w:color w:val="auto"/>
                      <w:szCs w:val="21"/>
                    </w:rPr>
                  </w:pPr>
                  <w:r>
                    <w:rPr>
                      <w:color w:val="auto"/>
                      <w:szCs w:val="21"/>
                    </w:rPr>
                    <w:t>夜间</w:t>
                  </w:r>
                </w:p>
              </w:tc>
            </w:tr>
            <w:tr w14:paraId="02417C9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trPr>
              <w:tc>
                <w:tcPr>
                  <w:tcW w:w="1665" w:type="pct"/>
                  <w:vAlign w:val="center"/>
                </w:tcPr>
                <w:p w14:paraId="41882DA7">
                  <w:pPr>
                    <w:jc w:val="center"/>
                    <w:rPr>
                      <w:color w:val="auto"/>
                      <w:szCs w:val="21"/>
                    </w:rPr>
                  </w:pPr>
                  <w:r>
                    <w:rPr>
                      <w:color w:val="auto"/>
                      <w:szCs w:val="21"/>
                    </w:rPr>
                    <w:t>2类</w:t>
                  </w:r>
                </w:p>
              </w:tc>
              <w:tc>
                <w:tcPr>
                  <w:tcW w:w="1667" w:type="pct"/>
                  <w:vAlign w:val="center"/>
                </w:tcPr>
                <w:p w14:paraId="664B6E3E">
                  <w:pPr>
                    <w:jc w:val="center"/>
                    <w:rPr>
                      <w:color w:val="auto"/>
                      <w:szCs w:val="21"/>
                    </w:rPr>
                  </w:pPr>
                  <w:r>
                    <w:rPr>
                      <w:color w:val="auto"/>
                      <w:szCs w:val="21"/>
                    </w:rPr>
                    <w:t>60</w:t>
                  </w:r>
                </w:p>
              </w:tc>
              <w:tc>
                <w:tcPr>
                  <w:tcW w:w="1667" w:type="pct"/>
                  <w:vAlign w:val="center"/>
                </w:tcPr>
                <w:p w14:paraId="04E26CC6">
                  <w:pPr>
                    <w:jc w:val="center"/>
                    <w:rPr>
                      <w:color w:val="auto"/>
                      <w:szCs w:val="21"/>
                    </w:rPr>
                  </w:pPr>
                  <w:r>
                    <w:rPr>
                      <w:color w:val="auto"/>
                      <w:szCs w:val="21"/>
                    </w:rPr>
                    <w:t>50</w:t>
                  </w:r>
                </w:p>
              </w:tc>
            </w:tr>
          </w:tbl>
          <w:p w14:paraId="53047712">
            <w:pPr>
              <w:pStyle w:val="102"/>
              <w:ind w:firstLine="480"/>
              <w:rPr>
                <w:color w:val="auto"/>
              </w:rPr>
            </w:pPr>
            <w:r>
              <w:rPr>
                <w:color w:val="auto"/>
              </w:rPr>
              <w:t>2、大气污染物排放标准</w:t>
            </w:r>
          </w:p>
          <w:p w14:paraId="18B297D2">
            <w:pPr>
              <w:pStyle w:val="102"/>
              <w:ind w:firstLine="480"/>
              <w:rPr>
                <w:color w:val="auto"/>
              </w:rPr>
            </w:pPr>
            <w:r>
              <w:rPr>
                <w:rFonts w:hint="eastAsia"/>
                <w:color w:val="auto"/>
              </w:rPr>
              <w:t>本项目运营期V</w:t>
            </w:r>
            <w:r>
              <w:rPr>
                <w:color w:val="auto"/>
              </w:rPr>
              <w:t>OC</w:t>
            </w:r>
            <w:r>
              <w:rPr>
                <w:rFonts w:hint="eastAsia"/>
                <w:color w:val="auto"/>
              </w:rPr>
              <w:t>s以非甲烷总烃计</w:t>
            </w:r>
            <w:r>
              <w:rPr>
                <w:rFonts w:hint="eastAsia"/>
                <w:color w:val="auto"/>
                <w:lang w:eastAsia="zh-CN"/>
              </w:rPr>
              <w:t>，</w:t>
            </w:r>
            <w:r>
              <w:rPr>
                <w:rFonts w:hint="eastAsia"/>
                <w:color w:val="auto"/>
              </w:rPr>
              <w:t>执行</w:t>
            </w:r>
            <w:r>
              <w:rPr>
                <w:color w:val="auto"/>
              </w:rPr>
              <w:t>《大气污染物综合排放标准》（GB16297-1996）</w:t>
            </w:r>
            <w:r>
              <w:rPr>
                <w:rFonts w:hint="eastAsia"/>
                <w:color w:val="auto"/>
              </w:rPr>
              <w:t>表2</w:t>
            </w:r>
            <w:r>
              <w:rPr>
                <w:color w:val="auto"/>
              </w:rPr>
              <w:t>中</w:t>
            </w:r>
            <w:r>
              <w:rPr>
                <w:rFonts w:hint="eastAsia"/>
                <w:color w:val="auto"/>
              </w:rPr>
              <w:t>二级及</w:t>
            </w:r>
            <w:r>
              <w:rPr>
                <w:color w:val="auto"/>
              </w:rPr>
              <w:t>无组织排放标准</w:t>
            </w:r>
            <w:r>
              <w:rPr>
                <w:rFonts w:hint="eastAsia"/>
                <w:color w:val="auto"/>
              </w:rPr>
              <w:t>。</w:t>
            </w:r>
          </w:p>
          <w:p w14:paraId="777C98FB">
            <w:pPr>
              <w:pStyle w:val="114"/>
              <w:rPr>
                <w:color w:val="auto"/>
              </w:rPr>
            </w:pPr>
            <w:r>
              <w:rPr>
                <w:color w:val="auto"/>
              </w:rPr>
              <w:t xml:space="preserve">表3-2  </w:t>
            </w:r>
            <w:r>
              <w:rPr>
                <w:rFonts w:hint="eastAsia"/>
                <w:color w:val="auto"/>
              </w:rPr>
              <w:t>大气污染物</w:t>
            </w:r>
            <w:r>
              <w:rPr>
                <w:color w:val="auto"/>
              </w:rPr>
              <w:t>排放标准</w:t>
            </w:r>
          </w:p>
          <w:tbl>
            <w:tblPr>
              <w:tblStyle w:val="4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584"/>
              <w:gridCol w:w="1679"/>
              <w:gridCol w:w="2794"/>
              <w:gridCol w:w="1917"/>
            </w:tblGrid>
            <w:tr w14:paraId="2EC3C72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3" w:type="pct"/>
                  <w:vMerge w:val="restart"/>
                  <w:vAlign w:val="center"/>
                </w:tcPr>
                <w:p w14:paraId="57BB9821">
                  <w:pPr>
                    <w:spacing w:line="320" w:lineRule="exact"/>
                    <w:jc w:val="center"/>
                    <w:rPr>
                      <w:color w:val="auto"/>
                      <w:szCs w:val="21"/>
                    </w:rPr>
                  </w:pPr>
                  <w:r>
                    <w:rPr>
                      <w:color w:val="auto"/>
                      <w:kern w:val="0"/>
                      <w:szCs w:val="21"/>
                    </w:rPr>
                    <w:t>污染物</w:t>
                  </w:r>
                </w:p>
              </w:tc>
              <w:tc>
                <w:tcPr>
                  <w:tcW w:w="2805" w:type="pct"/>
                  <w:gridSpan w:val="2"/>
                  <w:vAlign w:val="center"/>
                </w:tcPr>
                <w:p w14:paraId="085B2ADE">
                  <w:pPr>
                    <w:spacing w:line="320" w:lineRule="exact"/>
                    <w:jc w:val="center"/>
                    <w:rPr>
                      <w:color w:val="auto"/>
                      <w:szCs w:val="21"/>
                    </w:rPr>
                  </w:pPr>
                  <w:r>
                    <w:rPr>
                      <w:color w:val="auto"/>
                      <w:szCs w:val="21"/>
                    </w:rPr>
                    <w:t>有组织排放（15m高排气筒）</w:t>
                  </w:r>
                </w:p>
              </w:tc>
              <w:tc>
                <w:tcPr>
                  <w:tcW w:w="1202" w:type="pct"/>
                  <w:vMerge w:val="restart"/>
                  <w:vAlign w:val="center"/>
                </w:tcPr>
                <w:p w14:paraId="54F00191">
                  <w:pPr>
                    <w:spacing w:line="320" w:lineRule="exact"/>
                    <w:jc w:val="center"/>
                    <w:rPr>
                      <w:color w:val="auto"/>
                      <w:szCs w:val="21"/>
                    </w:rPr>
                  </w:pPr>
                  <w:r>
                    <w:rPr>
                      <w:color w:val="auto"/>
                      <w:szCs w:val="21"/>
                    </w:rPr>
                    <w:t>无组织排放监控浓度限值（mg/m</w:t>
                  </w:r>
                  <w:r>
                    <w:rPr>
                      <w:color w:val="auto"/>
                      <w:szCs w:val="21"/>
                      <w:vertAlign w:val="superscript"/>
                    </w:rPr>
                    <w:t>3</w:t>
                  </w:r>
                  <w:r>
                    <w:rPr>
                      <w:color w:val="auto"/>
                      <w:szCs w:val="21"/>
                    </w:rPr>
                    <w:t>）</w:t>
                  </w:r>
                </w:p>
              </w:tc>
            </w:tr>
            <w:tr w14:paraId="5A6BDD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3" w:type="pct"/>
                  <w:vMerge w:val="continue"/>
                  <w:vAlign w:val="center"/>
                </w:tcPr>
                <w:p w14:paraId="62B558FF">
                  <w:pPr>
                    <w:spacing w:line="320" w:lineRule="exact"/>
                    <w:jc w:val="center"/>
                    <w:rPr>
                      <w:color w:val="auto"/>
                      <w:kern w:val="0"/>
                      <w:szCs w:val="21"/>
                    </w:rPr>
                  </w:pPr>
                </w:p>
              </w:tc>
              <w:tc>
                <w:tcPr>
                  <w:tcW w:w="1053" w:type="pct"/>
                  <w:vAlign w:val="center"/>
                </w:tcPr>
                <w:p w14:paraId="5431DF83">
                  <w:pPr>
                    <w:spacing w:line="320" w:lineRule="exact"/>
                    <w:jc w:val="center"/>
                    <w:rPr>
                      <w:color w:val="auto"/>
                      <w:szCs w:val="21"/>
                    </w:rPr>
                  </w:pPr>
                  <w:r>
                    <w:rPr>
                      <w:color w:val="auto"/>
                      <w:kern w:val="0"/>
                      <w:szCs w:val="21"/>
                    </w:rPr>
                    <w:t>排放速率（kg/h）</w:t>
                  </w:r>
                </w:p>
              </w:tc>
              <w:tc>
                <w:tcPr>
                  <w:tcW w:w="1752" w:type="pct"/>
                  <w:vAlign w:val="center"/>
                </w:tcPr>
                <w:p w14:paraId="31541FDF">
                  <w:pPr>
                    <w:spacing w:line="320" w:lineRule="exact"/>
                    <w:jc w:val="center"/>
                    <w:rPr>
                      <w:color w:val="auto"/>
                      <w:szCs w:val="21"/>
                    </w:rPr>
                  </w:pPr>
                  <w:r>
                    <w:rPr>
                      <w:color w:val="auto"/>
                      <w:szCs w:val="21"/>
                    </w:rPr>
                    <w:t>最高允许排放浓度（mg/m</w:t>
                  </w:r>
                  <w:r>
                    <w:rPr>
                      <w:color w:val="auto"/>
                      <w:szCs w:val="21"/>
                      <w:vertAlign w:val="superscript"/>
                    </w:rPr>
                    <w:t>3</w:t>
                  </w:r>
                  <w:r>
                    <w:rPr>
                      <w:color w:val="auto"/>
                      <w:szCs w:val="21"/>
                    </w:rPr>
                    <w:t>）</w:t>
                  </w:r>
                </w:p>
              </w:tc>
              <w:tc>
                <w:tcPr>
                  <w:tcW w:w="1202" w:type="pct"/>
                  <w:vMerge w:val="continue"/>
                  <w:vAlign w:val="center"/>
                </w:tcPr>
                <w:p w14:paraId="66B13DFE">
                  <w:pPr>
                    <w:spacing w:line="320" w:lineRule="exact"/>
                    <w:jc w:val="center"/>
                    <w:rPr>
                      <w:color w:val="auto"/>
                      <w:szCs w:val="21"/>
                    </w:rPr>
                  </w:pPr>
                </w:p>
              </w:tc>
            </w:tr>
            <w:tr w14:paraId="486486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993" w:type="pct"/>
                  <w:vAlign w:val="center"/>
                </w:tcPr>
                <w:p w14:paraId="7528F638">
                  <w:pPr>
                    <w:spacing w:line="320" w:lineRule="exact"/>
                    <w:jc w:val="center"/>
                    <w:rPr>
                      <w:color w:val="auto"/>
                      <w:kern w:val="0"/>
                      <w:szCs w:val="21"/>
                    </w:rPr>
                  </w:pPr>
                  <w:r>
                    <w:rPr>
                      <w:rFonts w:hint="eastAsia"/>
                      <w:color w:val="auto"/>
                      <w:kern w:val="0"/>
                      <w:szCs w:val="21"/>
                    </w:rPr>
                    <w:t>非甲烷总烃</w:t>
                  </w:r>
                </w:p>
              </w:tc>
              <w:tc>
                <w:tcPr>
                  <w:tcW w:w="1053" w:type="pct"/>
                  <w:vAlign w:val="center"/>
                </w:tcPr>
                <w:p w14:paraId="75EAC21F">
                  <w:pPr>
                    <w:spacing w:line="320" w:lineRule="exact"/>
                    <w:jc w:val="center"/>
                    <w:rPr>
                      <w:color w:val="auto"/>
                      <w:szCs w:val="21"/>
                    </w:rPr>
                  </w:pPr>
                  <w:r>
                    <w:rPr>
                      <w:color w:val="auto"/>
                      <w:szCs w:val="21"/>
                    </w:rPr>
                    <w:t>10</w:t>
                  </w:r>
                </w:p>
              </w:tc>
              <w:tc>
                <w:tcPr>
                  <w:tcW w:w="1752" w:type="pct"/>
                  <w:vAlign w:val="center"/>
                </w:tcPr>
                <w:p w14:paraId="373F29DA">
                  <w:pPr>
                    <w:spacing w:line="320" w:lineRule="exact"/>
                    <w:jc w:val="center"/>
                    <w:rPr>
                      <w:color w:val="auto"/>
                      <w:szCs w:val="21"/>
                    </w:rPr>
                  </w:pPr>
                  <w:r>
                    <w:rPr>
                      <w:color w:val="auto"/>
                      <w:szCs w:val="21"/>
                    </w:rPr>
                    <w:t>120</w:t>
                  </w:r>
                </w:p>
              </w:tc>
              <w:tc>
                <w:tcPr>
                  <w:tcW w:w="1202" w:type="pct"/>
                  <w:vAlign w:val="center"/>
                </w:tcPr>
                <w:p w14:paraId="171C051E">
                  <w:pPr>
                    <w:spacing w:line="320" w:lineRule="exact"/>
                    <w:jc w:val="center"/>
                    <w:rPr>
                      <w:color w:val="auto"/>
                      <w:szCs w:val="21"/>
                    </w:rPr>
                  </w:pPr>
                  <w:r>
                    <w:rPr>
                      <w:color w:val="auto"/>
                      <w:szCs w:val="21"/>
                    </w:rPr>
                    <w:t>4.0</w:t>
                  </w:r>
                </w:p>
              </w:tc>
            </w:tr>
          </w:tbl>
          <w:p w14:paraId="603D9853">
            <w:pPr>
              <w:pStyle w:val="102"/>
              <w:ind w:firstLine="480"/>
              <w:rPr>
                <w:color w:val="auto"/>
              </w:rPr>
            </w:pPr>
            <w:r>
              <w:rPr>
                <w:rFonts w:hint="eastAsia"/>
                <w:color w:val="auto"/>
              </w:rPr>
              <w:t>厂区</w:t>
            </w:r>
            <w:r>
              <w:rPr>
                <w:color w:val="auto"/>
              </w:rPr>
              <w:t>内</w:t>
            </w:r>
            <w:r>
              <w:rPr>
                <w:rFonts w:hint="eastAsia"/>
                <w:color w:val="auto"/>
              </w:rPr>
              <w:t>无组织排放的</w:t>
            </w:r>
            <w:r>
              <w:rPr>
                <w:color w:val="auto"/>
              </w:rPr>
              <w:t>非甲烷总烃执行《</w:t>
            </w:r>
            <w:r>
              <w:rPr>
                <w:rFonts w:hint="eastAsia"/>
                <w:color w:val="auto"/>
              </w:rPr>
              <w:t>挥发性</w:t>
            </w:r>
            <w:r>
              <w:rPr>
                <w:color w:val="auto"/>
              </w:rPr>
              <w:t>有机物无组织排放控制标准》</w:t>
            </w:r>
            <w:r>
              <w:rPr>
                <w:rFonts w:hint="eastAsia"/>
                <w:color w:val="auto"/>
              </w:rPr>
              <w:t>（GB37822-2019</w:t>
            </w:r>
            <w:r>
              <w:rPr>
                <w:color w:val="auto"/>
              </w:rPr>
              <w:t>）</w:t>
            </w:r>
            <w:r>
              <w:rPr>
                <w:rFonts w:hint="eastAsia"/>
                <w:color w:val="auto"/>
              </w:rPr>
              <w:t>附录A厂区</w:t>
            </w:r>
            <w:r>
              <w:rPr>
                <w:color w:val="auto"/>
              </w:rPr>
              <w:t>内</w:t>
            </w:r>
            <w:r>
              <w:rPr>
                <w:rFonts w:hint="eastAsia"/>
                <w:color w:val="auto"/>
              </w:rPr>
              <w:t>VOC</w:t>
            </w:r>
            <w:r>
              <w:rPr>
                <w:color w:val="auto"/>
              </w:rPr>
              <w:t>s无组织排放限值</w:t>
            </w:r>
            <w:r>
              <w:rPr>
                <w:rFonts w:hint="eastAsia"/>
                <w:color w:val="auto"/>
              </w:rPr>
              <w:t>。</w:t>
            </w:r>
          </w:p>
          <w:p w14:paraId="5B5F2B40">
            <w:pPr>
              <w:pStyle w:val="114"/>
              <w:rPr>
                <w:color w:val="auto"/>
              </w:rPr>
            </w:pPr>
            <w:r>
              <w:rPr>
                <w:color w:val="auto"/>
              </w:rPr>
              <w:t xml:space="preserve">表3-3  </w:t>
            </w:r>
            <w:r>
              <w:rPr>
                <w:rFonts w:hint="eastAsia"/>
                <w:color w:val="auto"/>
              </w:rPr>
              <w:t>厂区</w:t>
            </w:r>
            <w:r>
              <w:rPr>
                <w:color w:val="auto"/>
              </w:rPr>
              <w:t>内</w:t>
            </w:r>
            <w:r>
              <w:rPr>
                <w:rFonts w:hint="eastAsia"/>
                <w:color w:val="auto"/>
              </w:rPr>
              <w:t>VOC</w:t>
            </w:r>
            <w:r>
              <w:rPr>
                <w:color w:val="auto"/>
              </w:rPr>
              <w:t>s无组织排放限值</w:t>
            </w:r>
          </w:p>
          <w:tbl>
            <w:tblPr>
              <w:tblStyle w:val="43"/>
              <w:tblW w:w="0" w:type="auto"/>
              <w:jc w:val="center"/>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57" w:type="dxa"/>
                <w:bottom w:w="0" w:type="dxa"/>
                <w:right w:w="57" w:type="dxa"/>
              </w:tblCellMar>
            </w:tblPr>
            <w:tblGrid>
              <w:gridCol w:w="907"/>
              <w:gridCol w:w="1951"/>
              <w:gridCol w:w="2798"/>
              <w:gridCol w:w="2318"/>
            </w:tblGrid>
            <w:tr w14:paraId="160D6ED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20" w:type="dxa"/>
                  <w:vAlign w:val="center"/>
                </w:tcPr>
                <w:p w14:paraId="05565F5E">
                  <w:pPr>
                    <w:pStyle w:val="101"/>
                    <w:rPr>
                      <w:color w:val="auto"/>
                    </w:rPr>
                  </w:pPr>
                  <w:r>
                    <w:rPr>
                      <w:rFonts w:hint="eastAsia"/>
                      <w:color w:val="auto"/>
                    </w:rPr>
                    <w:t>污染物</w:t>
                  </w:r>
                </w:p>
              </w:tc>
              <w:tc>
                <w:tcPr>
                  <w:tcW w:w="2039" w:type="dxa"/>
                  <w:vAlign w:val="center"/>
                </w:tcPr>
                <w:p w14:paraId="2BEC2625">
                  <w:pPr>
                    <w:pStyle w:val="101"/>
                    <w:rPr>
                      <w:color w:val="auto"/>
                    </w:rPr>
                  </w:pPr>
                  <w:r>
                    <w:rPr>
                      <w:rFonts w:hint="eastAsia"/>
                      <w:color w:val="auto"/>
                    </w:rPr>
                    <w:t>排放</w:t>
                  </w:r>
                  <w:r>
                    <w:rPr>
                      <w:color w:val="auto"/>
                    </w:rPr>
                    <w:t>限值</w:t>
                  </w:r>
                  <w:r>
                    <w:rPr>
                      <w:color w:val="auto"/>
                      <w:szCs w:val="21"/>
                    </w:rPr>
                    <w:t>(mg/m</w:t>
                  </w:r>
                  <w:r>
                    <w:rPr>
                      <w:color w:val="auto"/>
                      <w:szCs w:val="21"/>
                      <w:vertAlign w:val="superscript"/>
                    </w:rPr>
                    <w:t>3</w:t>
                  </w:r>
                  <w:r>
                    <w:rPr>
                      <w:color w:val="auto"/>
                      <w:szCs w:val="21"/>
                    </w:rPr>
                    <w:t>)</w:t>
                  </w:r>
                </w:p>
              </w:tc>
              <w:tc>
                <w:tcPr>
                  <w:tcW w:w="2989" w:type="dxa"/>
                  <w:tcBorders>
                    <w:right w:val="single" w:color="auto" w:sz="4" w:space="0"/>
                  </w:tcBorders>
                  <w:vAlign w:val="center"/>
                </w:tcPr>
                <w:p w14:paraId="1EA30279">
                  <w:pPr>
                    <w:pStyle w:val="101"/>
                    <w:rPr>
                      <w:color w:val="auto"/>
                    </w:rPr>
                  </w:pPr>
                  <w:r>
                    <w:rPr>
                      <w:rFonts w:hint="eastAsia"/>
                      <w:color w:val="auto"/>
                    </w:rPr>
                    <w:t>限值含义</w:t>
                  </w:r>
                </w:p>
              </w:tc>
              <w:tc>
                <w:tcPr>
                  <w:tcW w:w="2472" w:type="dxa"/>
                  <w:tcBorders>
                    <w:left w:val="single" w:color="auto" w:sz="4" w:space="0"/>
                  </w:tcBorders>
                  <w:vAlign w:val="center"/>
                </w:tcPr>
                <w:p w14:paraId="2CC0A824">
                  <w:pPr>
                    <w:pStyle w:val="101"/>
                    <w:rPr>
                      <w:color w:val="auto"/>
                    </w:rPr>
                  </w:pPr>
                  <w:r>
                    <w:rPr>
                      <w:rFonts w:hint="eastAsia"/>
                      <w:color w:val="auto"/>
                    </w:rPr>
                    <w:t>无组织</w:t>
                  </w:r>
                  <w:r>
                    <w:rPr>
                      <w:color w:val="auto"/>
                    </w:rPr>
                    <w:t>排放监控位置</w:t>
                  </w:r>
                </w:p>
              </w:tc>
            </w:tr>
            <w:tr w14:paraId="0C43C29C">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20" w:type="dxa"/>
                  <w:vMerge w:val="restart"/>
                  <w:vAlign w:val="center"/>
                </w:tcPr>
                <w:p w14:paraId="4A3383F4">
                  <w:pPr>
                    <w:pStyle w:val="101"/>
                    <w:rPr>
                      <w:color w:val="auto"/>
                    </w:rPr>
                  </w:pPr>
                  <w:r>
                    <w:rPr>
                      <w:rFonts w:hint="eastAsia"/>
                      <w:color w:val="auto"/>
                    </w:rPr>
                    <w:t>NMHC</w:t>
                  </w:r>
                </w:p>
              </w:tc>
              <w:tc>
                <w:tcPr>
                  <w:tcW w:w="2039" w:type="dxa"/>
                  <w:vAlign w:val="center"/>
                </w:tcPr>
                <w:p w14:paraId="1DD99DEF">
                  <w:pPr>
                    <w:pStyle w:val="101"/>
                    <w:rPr>
                      <w:color w:val="auto"/>
                    </w:rPr>
                  </w:pPr>
                  <w:r>
                    <w:rPr>
                      <w:rFonts w:hint="eastAsia"/>
                      <w:color w:val="auto"/>
                    </w:rPr>
                    <w:t>10</w:t>
                  </w:r>
                </w:p>
              </w:tc>
              <w:tc>
                <w:tcPr>
                  <w:tcW w:w="2989" w:type="dxa"/>
                  <w:tcBorders>
                    <w:right w:val="single" w:color="auto" w:sz="4" w:space="0"/>
                  </w:tcBorders>
                  <w:vAlign w:val="center"/>
                </w:tcPr>
                <w:p w14:paraId="12100383">
                  <w:pPr>
                    <w:pStyle w:val="101"/>
                    <w:rPr>
                      <w:color w:val="auto"/>
                    </w:rPr>
                  </w:pPr>
                  <w:r>
                    <w:rPr>
                      <w:rFonts w:hint="eastAsia"/>
                      <w:color w:val="auto"/>
                    </w:rPr>
                    <w:t>监控点</w:t>
                  </w:r>
                  <w:r>
                    <w:rPr>
                      <w:color w:val="auto"/>
                    </w:rPr>
                    <w:t>处</w:t>
                  </w:r>
                  <w:r>
                    <w:rPr>
                      <w:rFonts w:hint="eastAsia"/>
                      <w:color w:val="auto"/>
                    </w:rPr>
                    <w:t>1</w:t>
                  </w:r>
                  <w:r>
                    <w:rPr>
                      <w:color w:val="auto"/>
                    </w:rPr>
                    <w:t>h</w:t>
                  </w:r>
                  <w:r>
                    <w:rPr>
                      <w:rFonts w:hint="eastAsia"/>
                      <w:color w:val="auto"/>
                    </w:rPr>
                    <w:t>平均</w:t>
                  </w:r>
                  <w:r>
                    <w:rPr>
                      <w:color w:val="auto"/>
                    </w:rPr>
                    <w:t>浓度值</w:t>
                  </w:r>
                </w:p>
              </w:tc>
              <w:tc>
                <w:tcPr>
                  <w:tcW w:w="2472" w:type="dxa"/>
                  <w:vMerge w:val="restart"/>
                  <w:tcBorders>
                    <w:left w:val="single" w:color="auto" w:sz="4" w:space="0"/>
                  </w:tcBorders>
                  <w:vAlign w:val="center"/>
                </w:tcPr>
                <w:p w14:paraId="19BED17B">
                  <w:pPr>
                    <w:pStyle w:val="101"/>
                    <w:rPr>
                      <w:color w:val="auto"/>
                    </w:rPr>
                  </w:pPr>
                  <w:r>
                    <w:rPr>
                      <w:rFonts w:hint="eastAsia"/>
                      <w:color w:val="auto"/>
                    </w:rPr>
                    <w:t>在</w:t>
                  </w:r>
                  <w:r>
                    <w:rPr>
                      <w:color w:val="auto"/>
                    </w:rPr>
                    <w:t>厂房外设置监控点</w:t>
                  </w:r>
                </w:p>
              </w:tc>
            </w:tr>
            <w:tr w14:paraId="5DD338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57" w:type="dxa"/>
                  <w:bottom w:w="0" w:type="dxa"/>
                  <w:right w:w="57" w:type="dxa"/>
                </w:tblCellMar>
              </w:tblPrEx>
              <w:trPr>
                <w:trHeight w:val="340" w:hRule="atLeast"/>
                <w:jc w:val="center"/>
              </w:trPr>
              <w:tc>
                <w:tcPr>
                  <w:tcW w:w="920" w:type="dxa"/>
                  <w:vMerge w:val="continue"/>
                  <w:vAlign w:val="center"/>
                </w:tcPr>
                <w:p w14:paraId="105C132E">
                  <w:pPr>
                    <w:pStyle w:val="101"/>
                    <w:rPr>
                      <w:color w:val="auto"/>
                    </w:rPr>
                  </w:pPr>
                </w:p>
              </w:tc>
              <w:tc>
                <w:tcPr>
                  <w:tcW w:w="2039" w:type="dxa"/>
                  <w:vAlign w:val="center"/>
                </w:tcPr>
                <w:p w14:paraId="16EB9F6D">
                  <w:pPr>
                    <w:pStyle w:val="101"/>
                    <w:rPr>
                      <w:color w:val="auto"/>
                    </w:rPr>
                  </w:pPr>
                  <w:r>
                    <w:rPr>
                      <w:rFonts w:hint="eastAsia"/>
                      <w:color w:val="auto"/>
                    </w:rPr>
                    <w:t>30</w:t>
                  </w:r>
                </w:p>
              </w:tc>
              <w:tc>
                <w:tcPr>
                  <w:tcW w:w="2989" w:type="dxa"/>
                  <w:tcBorders>
                    <w:right w:val="single" w:color="auto" w:sz="4" w:space="0"/>
                  </w:tcBorders>
                  <w:vAlign w:val="center"/>
                </w:tcPr>
                <w:p w14:paraId="1E968760">
                  <w:pPr>
                    <w:pStyle w:val="101"/>
                    <w:rPr>
                      <w:color w:val="auto"/>
                    </w:rPr>
                  </w:pPr>
                  <w:r>
                    <w:rPr>
                      <w:rFonts w:hint="eastAsia"/>
                      <w:color w:val="auto"/>
                    </w:rPr>
                    <w:t>监控点</w:t>
                  </w:r>
                  <w:r>
                    <w:rPr>
                      <w:color w:val="auto"/>
                    </w:rPr>
                    <w:t>处</w:t>
                  </w:r>
                  <w:r>
                    <w:rPr>
                      <w:rFonts w:hint="eastAsia"/>
                      <w:color w:val="auto"/>
                    </w:rPr>
                    <w:t>任意</w:t>
                  </w:r>
                  <w:r>
                    <w:rPr>
                      <w:color w:val="auto"/>
                    </w:rPr>
                    <w:t>一次浓度值</w:t>
                  </w:r>
                </w:p>
              </w:tc>
              <w:tc>
                <w:tcPr>
                  <w:tcW w:w="2472" w:type="dxa"/>
                  <w:vMerge w:val="continue"/>
                  <w:tcBorders>
                    <w:left w:val="single" w:color="auto" w:sz="4" w:space="0"/>
                  </w:tcBorders>
                  <w:vAlign w:val="center"/>
                </w:tcPr>
                <w:p w14:paraId="55F7F8E5">
                  <w:pPr>
                    <w:pStyle w:val="101"/>
                    <w:rPr>
                      <w:color w:val="auto"/>
                    </w:rPr>
                  </w:pPr>
                </w:p>
              </w:tc>
            </w:tr>
          </w:tbl>
          <w:p w14:paraId="2BBEDD81">
            <w:pPr>
              <w:pStyle w:val="102"/>
              <w:ind w:firstLine="480"/>
              <w:rPr>
                <w:color w:val="auto"/>
              </w:rPr>
            </w:pPr>
            <w:r>
              <w:rPr>
                <w:color w:val="auto"/>
              </w:rPr>
              <w:t>3、固体废物</w:t>
            </w:r>
          </w:p>
          <w:p w14:paraId="1748B058">
            <w:pPr>
              <w:pStyle w:val="102"/>
              <w:ind w:firstLine="480"/>
              <w:rPr>
                <w:color w:val="auto"/>
              </w:rPr>
            </w:pPr>
            <w:r>
              <w:rPr>
                <w:color w:val="auto"/>
              </w:rPr>
              <w:t>本项目一般固体废物执行《一般工业固体废物贮存和填埋污染控制标准》（GB18599-2020）要求</w:t>
            </w:r>
            <w:r>
              <w:rPr>
                <w:rFonts w:hint="eastAsia"/>
                <w:color w:val="auto"/>
              </w:rPr>
              <w:t>；</w:t>
            </w:r>
            <w:r>
              <w:rPr>
                <w:color w:val="auto"/>
              </w:rPr>
              <w:t>危险废物执行</w:t>
            </w:r>
            <w:r>
              <w:rPr>
                <w:rFonts w:hint="eastAsia"/>
                <w:color w:val="auto"/>
                <w:lang w:eastAsia="zh-CN"/>
              </w:rPr>
              <w:t>《危险废物贮存污染控制标准》（GB18597-2023）</w:t>
            </w:r>
            <w:r>
              <w:rPr>
                <w:color w:val="auto"/>
              </w:rPr>
              <w:t>。</w:t>
            </w:r>
          </w:p>
        </w:tc>
      </w:tr>
      <w:tr w14:paraId="5791C3A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90" w:hRule="atLeast"/>
          <w:jc w:val="center"/>
        </w:trPr>
        <w:tc>
          <w:tcPr>
            <w:tcW w:w="800" w:type="dxa"/>
            <w:vAlign w:val="center"/>
          </w:tcPr>
          <w:p w14:paraId="14A13215">
            <w:pPr>
              <w:adjustRightInd w:val="0"/>
              <w:snapToGrid w:val="0"/>
              <w:jc w:val="center"/>
              <w:rPr>
                <w:color w:val="auto"/>
                <w:kern w:val="0"/>
                <w:szCs w:val="21"/>
                <w:highlight w:val="none"/>
              </w:rPr>
            </w:pPr>
            <w:r>
              <w:rPr>
                <w:color w:val="auto"/>
                <w:kern w:val="0"/>
                <w:szCs w:val="21"/>
                <w:highlight w:val="none"/>
              </w:rPr>
              <w:t>总量</w:t>
            </w:r>
          </w:p>
          <w:p w14:paraId="189F1EDC">
            <w:pPr>
              <w:adjustRightInd w:val="0"/>
              <w:snapToGrid w:val="0"/>
              <w:jc w:val="center"/>
              <w:rPr>
                <w:color w:val="auto"/>
                <w:kern w:val="0"/>
                <w:szCs w:val="21"/>
                <w:highlight w:val="none"/>
              </w:rPr>
            </w:pPr>
            <w:r>
              <w:rPr>
                <w:color w:val="auto"/>
                <w:kern w:val="0"/>
                <w:szCs w:val="21"/>
                <w:highlight w:val="none"/>
              </w:rPr>
              <w:t>控制</w:t>
            </w:r>
          </w:p>
          <w:p w14:paraId="07B4B748">
            <w:pPr>
              <w:adjustRightInd w:val="0"/>
              <w:snapToGrid w:val="0"/>
              <w:jc w:val="center"/>
              <w:rPr>
                <w:color w:val="auto"/>
                <w:kern w:val="0"/>
                <w:szCs w:val="21"/>
                <w:highlight w:val="none"/>
              </w:rPr>
            </w:pPr>
            <w:r>
              <w:rPr>
                <w:color w:val="auto"/>
                <w:kern w:val="0"/>
                <w:szCs w:val="21"/>
                <w:highlight w:val="none"/>
              </w:rPr>
              <w:t>指标</w:t>
            </w:r>
          </w:p>
        </w:tc>
        <w:tc>
          <w:tcPr>
            <w:tcW w:w="8190" w:type="dxa"/>
            <w:vAlign w:val="center"/>
          </w:tcPr>
          <w:p w14:paraId="52C692E2">
            <w:pPr>
              <w:pStyle w:val="102"/>
              <w:ind w:firstLine="480"/>
              <w:rPr>
                <w:color w:val="auto"/>
                <w:highlight w:val="none"/>
              </w:rPr>
            </w:pPr>
            <w:r>
              <w:rPr>
                <w:rFonts w:hint="eastAsia"/>
                <w:color w:val="auto"/>
                <w:highlight w:val="none"/>
              </w:rPr>
              <w:t>V</w:t>
            </w:r>
            <w:r>
              <w:rPr>
                <w:color w:val="auto"/>
                <w:highlight w:val="none"/>
              </w:rPr>
              <w:t>OC</w:t>
            </w:r>
            <w:r>
              <w:rPr>
                <w:rFonts w:hint="eastAsia"/>
                <w:color w:val="auto"/>
                <w:highlight w:val="none"/>
              </w:rPr>
              <w:t>s：</w:t>
            </w:r>
            <w:r>
              <w:rPr>
                <w:rFonts w:hint="eastAsia"/>
                <w:color w:val="auto"/>
                <w:highlight w:val="none"/>
                <w:lang w:eastAsia="zh-CN"/>
              </w:rPr>
              <w:t>0.37</w:t>
            </w:r>
            <w:r>
              <w:rPr>
                <w:rFonts w:hint="eastAsia"/>
                <w:color w:val="auto"/>
                <w:highlight w:val="none"/>
              </w:rPr>
              <w:t>t</w:t>
            </w:r>
            <w:r>
              <w:rPr>
                <w:color w:val="auto"/>
                <w:highlight w:val="none"/>
              </w:rPr>
              <w:t>/</w:t>
            </w:r>
            <w:r>
              <w:rPr>
                <w:rFonts w:hint="eastAsia"/>
                <w:color w:val="auto"/>
                <w:highlight w:val="none"/>
              </w:rPr>
              <w:t>a</w:t>
            </w:r>
          </w:p>
        </w:tc>
      </w:tr>
    </w:tbl>
    <w:p w14:paraId="21403177">
      <w:pPr>
        <w:pStyle w:val="38"/>
        <w:jc w:val="center"/>
        <w:outlineLvl w:val="0"/>
        <w:rPr>
          <w:rFonts w:ascii="Times New Roman" w:hAnsi="Times New Roman"/>
          <w:snapToGrid w:val="0"/>
          <w:color w:val="auto"/>
          <w:sz w:val="30"/>
          <w:szCs w:val="30"/>
        </w:rPr>
      </w:pPr>
      <w:r>
        <w:rPr>
          <w:rFonts w:ascii="Times New Roman" w:hAnsi="Times New Roman"/>
          <w:snapToGrid w:val="0"/>
          <w:color w:val="auto"/>
          <w:sz w:val="36"/>
          <w:szCs w:val="36"/>
        </w:rPr>
        <w:br w:type="page"/>
      </w:r>
      <w:bookmarkStart w:id="6" w:name="_Toc83393933"/>
      <w:r>
        <w:rPr>
          <w:rFonts w:ascii="Times New Roman" w:hAnsi="Times New Roman"/>
          <w:snapToGrid w:val="0"/>
          <w:color w:val="auto"/>
          <w:sz w:val="30"/>
          <w:szCs w:val="30"/>
        </w:rPr>
        <w:t>四、主要环境影响和保护措施</w:t>
      </w:r>
      <w:bookmarkEnd w:id="6"/>
    </w:p>
    <w:tbl>
      <w:tblPr>
        <w:tblStyle w:val="4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6"/>
        <w:gridCol w:w="8635"/>
      </w:tblGrid>
      <w:tr w14:paraId="231824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6" w:type="dxa"/>
            <w:vAlign w:val="center"/>
          </w:tcPr>
          <w:p w14:paraId="3F19662F">
            <w:pPr>
              <w:pStyle w:val="38"/>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施工</w:t>
            </w:r>
          </w:p>
          <w:p w14:paraId="1BB86831">
            <w:pPr>
              <w:pStyle w:val="38"/>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期环</w:t>
            </w:r>
          </w:p>
          <w:p w14:paraId="7B548C36">
            <w:pPr>
              <w:pStyle w:val="38"/>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境保</w:t>
            </w:r>
          </w:p>
          <w:p w14:paraId="404BD428">
            <w:pPr>
              <w:pStyle w:val="38"/>
              <w:adjustRightInd w:val="0"/>
              <w:snapToGrid w:val="0"/>
              <w:spacing w:before="0" w:beforeAutospacing="0" w:after="0" w:afterAutospacing="0"/>
              <w:jc w:val="center"/>
              <w:rPr>
                <w:rFonts w:ascii="Times New Roman" w:hAnsi="Times New Roman"/>
                <w:color w:val="auto"/>
                <w:kern w:val="2"/>
                <w:sz w:val="21"/>
                <w:szCs w:val="21"/>
              </w:rPr>
            </w:pPr>
            <w:r>
              <w:rPr>
                <w:rFonts w:ascii="Times New Roman" w:hAnsi="Times New Roman"/>
                <w:color w:val="auto"/>
                <w:kern w:val="2"/>
                <w:sz w:val="21"/>
                <w:szCs w:val="21"/>
              </w:rPr>
              <w:t>护措</w:t>
            </w:r>
          </w:p>
          <w:p w14:paraId="42EF8321">
            <w:pPr>
              <w:pStyle w:val="38"/>
              <w:adjustRightInd w:val="0"/>
              <w:snapToGrid w:val="0"/>
              <w:spacing w:before="0" w:beforeAutospacing="0" w:after="0" w:afterAutospacing="0"/>
              <w:jc w:val="center"/>
              <w:rPr>
                <w:rFonts w:ascii="Times New Roman" w:hAnsi="Times New Roman"/>
                <w:bCs/>
                <w:color w:val="auto"/>
                <w:kern w:val="2"/>
                <w:sz w:val="21"/>
                <w:szCs w:val="21"/>
              </w:rPr>
            </w:pPr>
            <w:r>
              <w:rPr>
                <w:rFonts w:ascii="Times New Roman" w:hAnsi="Times New Roman"/>
                <w:color w:val="auto"/>
                <w:kern w:val="2"/>
                <w:sz w:val="21"/>
                <w:szCs w:val="21"/>
              </w:rPr>
              <w:t>施</w:t>
            </w:r>
          </w:p>
        </w:tc>
        <w:tc>
          <w:tcPr>
            <w:tcW w:w="8635" w:type="dxa"/>
            <w:vAlign w:val="center"/>
          </w:tcPr>
          <w:p w14:paraId="71BB7A29">
            <w:pPr>
              <w:pStyle w:val="102"/>
              <w:spacing w:line="500" w:lineRule="exact"/>
              <w:ind w:firstLine="480"/>
              <w:rPr>
                <w:bCs/>
                <w:color w:val="auto"/>
              </w:rPr>
            </w:pPr>
            <w:r>
              <w:rPr>
                <w:rFonts w:hint="eastAsia"/>
                <w:bCs/>
                <w:color w:val="auto"/>
              </w:rPr>
              <w:t>本项目利用已建成厂房进行生产</w:t>
            </w:r>
            <w:r>
              <w:rPr>
                <w:rFonts w:hint="eastAsia"/>
                <w:bCs/>
                <w:color w:val="auto"/>
                <w:lang w:eastAsia="zh-CN"/>
              </w:rPr>
              <w:t>，</w:t>
            </w:r>
            <w:r>
              <w:rPr>
                <w:rFonts w:hint="eastAsia"/>
                <w:bCs/>
                <w:color w:val="auto"/>
              </w:rPr>
              <w:t>本次施工主要为设备安装</w:t>
            </w:r>
            <w:r>
              <w:rPr>
                <w:rFonts w:hint="eastAsia"/>
                <w:bCs/>
                <w:color w:val="auto"/>
                <w:lang w:eastAsia="zh-CN"/>
              </w:rPr>
              <w:t>，</w:t>
            </w:r>
            <w:r>
              <w:rPr>
                <w:rFonts w:hint="eastAsia"/>
                <w:bCs/>
                <w:color w:val="auto"/>
              </w:rPr>
              <w:t>项目施工期均在厂房内部进行</w:t>
            </w:r>
            <w:r>
              <w:rPr>
                <w:rFonts w:hint="eastAsia"/>
                <w:bCs/>
                <w:color w:val="auto"/>
                <w:lang w:eastAsia="zh-CN"/>
              </w:rPr>
              <w:t>，</w:t>
            </w:r>
            <w:r>
              <w:rPr>
                <w:rFonts w:hint="eastAsia"/>
                <w:bCs/>
                <w:color w:val="auto"/>
              </w:rPr>
              <w:t>对外环境影响较小</w:t>
            </w:r>
            <w:r>
              <w:rPr>
                <w:rFonts w:hint="eastAsia"/>
                <w:bCs/>
                <w:color w:val="auto"/>
                <w:lang w:eastAsia="zh-CN"/>
              </w:rPr>
              <w:t>，</w:t>
            </w:r>
            <w:r>
              <w:rPr>
                <w:rFonts w:hint="eastAsia"/>
                <w:bCs/>
                <w:color w:val="auto"/>
              </w:rPr>
              <w:t>故本次评价不再对施工期进行评价</w:t>
            </w:r>
            <w:r>
              <w:rPr>
                <w:color w:val="auto"/>
              </w:rPr>
              <w:t>。</w:t>
            </w:r>
          </w:p>
        </w:tc>
      </w:tr>
      <w:tr w14:paraId="2D02BE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26" w:type="dxa"/>
            <w:vAlign w:val="center"/>
          </w:tcPr>
          <w:p w14:paraId="1754F5CC">
            <w:pPr>
              <w:adjustRightInd w:val="0"/>
              <w:snapToGrid w:val="0"/>
              <w:jc w:val="center"/>
              <w:rPr>
                <w:bCs/>
                <w:color w:val="auto"/>
                <w:szCs w:val="21"/>
              </w:rPr>
            </w:pPr>
            <w:r>
              <w:rPr>
                <w:bCs/>
                <w:color w:val="auto"/>
                <w:szCs w:val="21"/>
              </w:rPr>
              <w:t>运营</w:t>
            </w:r>
          </w:p>
          <w:p w14:paraId="008215AF">
            <w:pPr>
              <w:adjustRightInd w:val="0"/>
              <w:snapToGrid w:val="0"/>
              <w:jc w:val="center"/>
              <w:rPr>
                <w:bCs/>
                <w:color w:val="auto"/>
                <w:szCs w:val="21"/>
              </w:rPr>
            </w:pPr>
            <w:r>
              <w:rPr>
                <w:bCs/>
                <w:color w:val="auto"/>
                <w:szCs w:val="21"/>
              </w:rPr>
              <w:t>期环</w:t>
            </w:r>
          </w:p>
          <w:p w14:paraId="2C38459D">
            <w:pPr>
              <w:adjustRightInd w:val="0"/>
              <w:snapToGrid w:val="0"/>
              <w:jc w:val="center"/>
              <w:rPr>
                <w:bCs/>
                <w:color w:val="auto"/>
                <w:szCs w:val="21"/>
              </w:rPr>
            </w:pPr>
            <w:r>
              <w:rPr>
                <w:bCs/>
                <w:color w:val="auto"/>
                <w:szCs w:val="21"/>
              </w:rPr>
              <w:t>境影</w:t>
            </w:r>
          </w:p>
          <w:p w14:paraId="071B3875">
            <w:pPr>
              <w:adjustRightInd w:val="0"/>
              <w:snapToGrid w:val="0"/>
              <w:jc w:val="center"/>
              <w:rPr>
                <w:bCs/>
                <w:color w:val="auto"/>
                <w:szCs w:val="21"/>
              </w:rPr>
            </w:pPr>
            <w:r>
              <w:rPr>
                <w:bCs/>
                <w:color w:val="auto"/>
                <w:szCs w:val="21"/>
              </w:rPr>
              <w:t>响和</w:t>
            </w:r>
          </w:p>
          <w:p w14:paraId="65FB6923">
            <w:pPr>
              <w:adjustRightInd w:val="0"/>
              <w:snapToGrid w:val="0"/>
              <w:jc w:val="center"/>
              <w:rPr>
                <w:bCs/>
                <w:color w:val="auto"/>
                <w:szCs w:val="21"/>
              </w:rPr>
            </w:pPr>
            <w:r>
              <w:rPr>
                <w:bCs/>
                <w:color w:val="auto"/>
                <w:szCs w:val="21"/>
              </w:rPr>
              <w:t>保护</w:t>
            </w:r>
          </w:p>
          <w:p w14:paraId="3F7D045D">
            <w:pPr>
              <w:adjustRightInd w:val="0"/>
              <w:snapToGrid w:val="0"/>
              <w:jc w:val="center"/>
              <w:rPr>
                <w:bCs/>
                <w:color w:val="auto"/>
                <w:szCs w:val="21"/>
              </w:rPr>
            </w:pPr>
            <w:r>
              <w:rPr>
                <w:bCs/>
                <w:color w:val="auto"/>
                <w:szCs w:val="21"/>
              </w:rPr>
              <w:t>措施</w:t>
            </w:r>
          </w:p>
        </w:tc>
        <w:tc>
          <w:tcPr>
            <w:tcW w:w="8635" w:type="dxa"/>
          </w:tcPr>
          <w:p w14:paraId="5D6D8240">
            <w:pPr>
              <w:pStyle w:val="102"/>
              <w:ind w:firstLine="480"/>
              <w:rPr>
                <w:b/>
                <w:bCs/>
                <w:color w:val="auto"/>
              </w:rPr>
            </w:pPr>
            <w:r>
              <w:rPr>
                <w:b/>
                <w:bCs/>
                <w:color w:val="auto"/>
              </w:rPr>
              <w:t>1、废气环境影响</w:t>
            </w:r>
            <w:r>
              <w:rPr>
                <w:rFonts w:hint="eastAsia"/>
                <w:b/>
                <w:bCs/>
                <w:color w:val="auto"/>
                <w:lang w:val="en-US" w:eastAsia="zh-CN"/>
              </w:rPr>
              <w:t>分析</w:t>
            </w:r>
            <w:r>
              <w:rPr>
                <w:b/>
                <w:bCs/>
                <w:color w:val="auto"/>
              </w:rPr>
              <w:t>和保护措施</w:t>
            </w:r>
          </w:p>
          <w:p w14:paraId="7A801652">
            <w:pPr>
              <w:pStyle w:val="102"/>
              <w:ind w:firstLine="480"/>
              <w:rPr>
                <w:rFonts w:hAnsi="宋体"/>
                <w:color w:val="auto"/>
              </w:rPr>
            </w:pPr>
            <w:r>
              <w:rPr>
                <w:rFonts w:hint="eastAsia"/>
                <w:color w:val="auto"/>
              </w:rPr>
              <w:t>（1）</w:t>
            </w:r>
            <w:r>
              <w:rPr>
                <w:rFonts w:hAnsi="宋体"/>
                <w:color w:val="auto"/>
              </w:rPr>
              <w:t>废气源强</w:t>
            </w:r>
          </w:p>
          <w:p w14:paraId="27E83C46">
            <w:pPr>
              <w:pStyle w:val="102"/>
              <w:ind w:firstLine="480"/>
              <w:rPr>
                <w:color w:val="auto"/>
              </w:rPr>
            </w:pPr>
            <w:r>
              <w:rPr>
                <w:color w:val="auto"/>
              </w:rPr>
              <w:t>本项目运营期废气污染源主要为</w:t>
            </w:r>
            <w:r>
              <w:rPr>
                <w:rFonts w:hint="eastAsia"/>
                <w:color w:val="auto"/>
              </w:rPr>
              <w:t>储罐大小呼吸排放的废气及灌装过程产生的废气。</w:t>
            </w:r>
          </w:p>
          <w:p w14:paraId="5206BA12">
            <w:pPr>
              <w:pStyle w:val="114"/>
              <w:rPr>
                <w:color w:val="auto"/>
              </w:rPr>
            </w:pPr>
            <w:r>
              <w:rPr>
                <w:color w:val="auto"/>
              </w:rPr>
              <w:t>表</w:t>
            </w:r>
            <w:r>
              <w:rPr>
                <w:rFonts w:hint="eastAsia"/>
                <w:color w:val="auto"/>
              </w:rPr>
              <w:t xml:space="preserve">4-1 </w:t>
            </w:r>
            <w:r>
              <w:rPr>
                <w:rFonts w:hint="eastAsia"/>
                <w:color w:val="auto"/>
                <w:lang w:val="en-US" w:eastAsia="zh-CN"/>
              </w:rPr>
              <w:t xml:space="preserve"> </w:t>
            </w:r>
            <w:r>
              <w:rPr>
                <w:rFonts w:hint="eastAsia"/>
                <w:color w:val="auto"/>
              </w:rPr>
              <w:t>废气</w:t>
            </w:r>
            <w:r>
              <w:rPr>
                <w:color w:val="auto"/>
              </w:rPr>
              <w:t>污染源源强核算结果及相关参数一览表</w:t>
            </w:r>
          </w:p>
          <w:tbl>
            <w:tblPr>
              <w:tblStyle w:val="4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16"/>
              <w:gridCol w:w="1094"/>
              <w:gridCol w:w="667"/>
              <w:gridCol w:w="711"/>
              <w:gridCol w:w="711"/>
              <w:gridCol w:w="690"/>
              <w:gridCol w:w="592"/>
              <w:gridCol w:w="831"/>
              <w:gridCol w:w="491"/>
              <w:gridCol w:w="609"/>
              <w:gridCol w:w="695"/>
              <w:gridCol w:w="612"/>
            </w:tblGrid>
            <w:tr w14:paraId="4D5D40E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250" w:hRule="atLeast"/>
              </w:trPr>
              <w:tc>
                <w:tcPr>
                  <w:tcW w:w="432" w:type="pct"/>
                  <w:vMerge w:val="restart"/>
                  <w:shd w:val="clear" w:color="auto" w:fill="auto"/>
                  <w:vAlign w:val="center"/>
                </w:tcPr>
                <w:p w14:paraId="662374D8">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产排污环节</w:t>
                  </w:r>
                </w:p>
              </w:tc>
              <w:tc>
                <w:tcPr>
                  <w:tcW w:w="656" w:type="pct"/>
                  <w:vMerge w:val="restart"/>
                  <w:shd w:val="clear" w:color="auto" w:fill="auto"/>
                  <w:vAlign w:val="center"/>
                </w:tcPr>
                <w:p w14:paraId="7355B73A">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排放形式</w:t>
                  </w:r>
                </w:p>
              </w:tc>
              <w:tc>
                <w:tcPr>
                  <w:tcW w:w="396" w:type="pct"/>
                  <w:vMerge w:val="restart"/>
                  <w:shd w:val="clear" w:color="auto" w:fill="auto"/>
                  <w:vAlign w:val="center"/>
                </w:tcPr>
                <w:p w14:paraId="5F722AEF">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污染物种类</w:t>
                  </w:r>
                </w:p>
              </w:tc>
              <w:tc>
                <w:tcPr>
                  <w:tcW w:w="792" w:type="pct"/>
                  <w:gridSpan w:val="2"/>
                  <w:shd w:val="clear" w:color="auto" w:fill="auto"/>
                  <w:vAlign w:val="center"/>
                </w:tcPr>
                <w:p w14:paraId="2A0A546E">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污染物产生</w:t>
                  </w:r>
                </w:p>
              </w:tc>
              <w:tc>
                <w:tcPr>
                  <w:tcW w:w="1572" w:type="pct"/>
                  <w:gridSpan w:val="4"/>
                  <w:shd w:val="clear" w:color="auto" w:fill="auto"/>
                  <w:vAlign w:val="center"/>
                </w:tcPr>
                <w:p w14:paraId="734438E6">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治理设施</w:t>
                  </w:r>
                </w:p>
              </w:tc>
              <w:tc>
                <w:tcPr>
                  <w:tcW w:w="1150" w:type="pct"/>
                  <w:gridSpan w:val="3"/>
                  <w:shd w:val="clear" w:color="auto" w:fill="auto"/>
                  <w:vAlign w:val="center"/>
                </w:tcPr>
                <w:p w14:paraId="3A74F42D">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污染物排放</w:t>
                  </w:r>
                </w:p>
              </w:tc>
            </w:tr>
            <w:tr w14:paraId="1EEEBC8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32" w:hRule="atLeast"/>
              </w:trPr>
              <w:tc>
                <w:tcPr>
                  <w:tcW w:w="432" w:type="pct"/>
                  <w:vMerge w:val="continue"/>
                  <w:shd w:val="clear" w:color="auto" w:fill="auto"/>
                  <w:vAlign w:val="center"/>
                </w:tcPr>
                <w:p w14:paraId="2251B8AF">
                  <w:pPr>
                    <w:autoSpaceDE w:val="0"/>
                    <w:autoSpaceDN w:val="0"/>
                    <w:contextualSpacing/>
                    <w:jc w:val="center"/>
                    <w:rPr>
                      <w:rFonts w:hint="default" w:ascii="Times New Roman" w:hAnsi="Times New Roman" w:cs="Times New Roman"/>
                      <w:color w:val="auto"/>
                      <w:sz w:val="18"/>
                      <w:szCs w:val="18"/>
                    </w:rPr>
                  </w:pPr>
                </w:p>
              </w:tc>
              <w:tc>
                <w:tcPr>
                  <w:tcW w:w="656" w:type="pct"/>
                  <w:vMerge w:val="continue"/>
                  <w:shd w:val="clear" w:color="auto" w:fill="auto"/>
                  <w:vAlign w:val="center"/>
                </w:tcPr>
                <w:p w14:paraId="06C03C58">
                  <w:pPr>
                    <w:autoSpaceDE w:val="0"/>
                    <w:autoSpaceDN w:val="0"/>
                    <w:contextualSpacing/>
                    <w:jc w:val="center"/>
                    <w:rPr>
                      <w:rFonts w:hint="default" w:ascii="Times New Roman" w:hAnsi="Times New Roman" w:cs="Times New Roman"/>
                      <w:color w:val="auto"/>
                      <w:sz w:val="18"/>
                      <w:szCs w:val="18"/>
                    </w:rPr>
                  </w:pPr>
                </w:p>
              </w:tc>
              <w:tc>
                <w:tcPr>
                  <w:tcW w:w="396" w:type="pct"/>
                  <w:vMerge w:val="continue"/>
                  <w:shd w:val="clear" w:color="auto" w:fill="auto"/>
                  <w:vAlign w:val="center"/>
                </w:tcPr>
                <w:p w14:paraId="2A9289B4">
                  <w:pPr>
                    <w:autoSpaceDE w:val="0"/>
                    <w:autoSpaceDN w:val="0"/>
                    <w:contextualSpacing/>
                    <w:jc w:val="center"/>
                    <w:rPr>
                      <w:rFonts w:hint="default" w:ascii="Times New Roman" w:hAnsi="Times New Roman" w:cs="Times New Roman"/>
                      <w:color w:val="auto"/>
                      <w:sz w:val="18"/>
                      <w:szCs w:val="18"/>
                    </w:rPr>
                  </w:pPr>
                </w:p>
              </w:tc>
              <w:tc>
                <w:tcPr>
                  <w:tcW w:w="412" w:type="pct"/>
                  <w:shd w:val="clear" w:color="auto" w:fill="auto"/>
                  <w:vAlign w:val="center"/>
                </w:tcPr>
                <w:p w14:paraId="52C59B0D">
                  <w:pPr>
                    <w:pStyle w:val="228"/>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产生浓度mg/m</w:t>
                  </w:r>
                  <w:r>
                    <w:rPr>
                      <w:rFonts w:hint="default" w:ascii="Times New Roman" w:hAnsi="Times New Roman" w:eastAsia="宋体" w:cs="Times New Roman"/>
                      <w:color w:val="auto"/>
                      <w:sz w:val="18"/>
                      <w:szCs w:val="18"/>
                      <w:vertAlign w:val="superscript"/>
                    </w:rPr>
                    <w:t>3</w:t>
                  </w:r>
                </w:p>
              </w:tc>
              <w:tc>
                <w:tcPr>
                  <w:tcW w:w="379" w:type="pct"/>
                  <w:shd w:val="clear" w:color="auto" w:fill="auto"/>
                  <w:vAlign w:val="center"/>
                </w:tcPr>
                <w:p w14:paraId="13BA466C">
                  <w:pPr>
                    <w:pStyle w:val="228"/>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产生量</w:t>
                  </w:r>
                </w:p>
                <w:p w14:paraId="11890C64">
                  <w:pPr>
                    <w:pStyle w:val="228"/>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t/a</w:t>
                  </w:r>
                </w:p>
              </w:tc>
              <w:tc>
                <w:tcPr>
                  <w:tcW w:w="416" w:type="pct"/>
                  <w:shd w:val="clear" w:color="auto" w:fill="auto"/>
                  <w:vAlign w:val="center"/>
                </w:tcPr>
                <w:p w14:paraId="001342FD">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处理能力m</w:t>
                  </w:r>
                  <w:r>
                    <w:rPr>
                      <w:rFonts w:hint="default" w:ascii="Times New Roman" w:hAnsi="Times New Roman" w:cs="Times New Roman"/>
                      <w:color w:val="auto"/>
                      <w:sz w:val="18"/>
                      <w:szCs w:val="18"/>
                      <w:vertAlign w:val="superscript"/>
                    </w:rPr>
                    <w:t>3</w:t>
                  </w:r>
                  <w:r>
                    <w:rPr>
                      <w:rFonts w:hint="default" w:ascii="Times New Roman" w:hAnsi="Times New Roman" w:cs="Times New Roman"/>
                      <w:color w:val="auto"/>
                      <w:sz w:val="18"/>
                      <w:szCs w:val="18"/>
                    </w:rPr>
                    <w:t>/h</w:t>
                  </w:r>
                </w:p>
              </w:tc>
              <w:tc>
                <w:tcPr>
                  <w:tcW w:w="358" w:type="pct"/>
                  <w:shd w:val="clear" w:color="auto" w:fill="auto"/>
                  <w:vAlign w:val="center"/>
                </w:tcPr>
                <w:p w14:paraId="2B4AEF0F">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收集效率</w:t>
                  </w:r>
                </w:p>
              </w:tc>
              <w:tc>
                <w:tcPr>
                  <w:tcW w:w="500" w:type="pct"/>
                  <w:shd w:val="clear" w:color="auto" w:fill="auto"/>
                  <w:vAlign w:val="center"/>
                </w:tcPr>
                <w:p w14:paraId="66D84FC3">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治理工艺去除率</w:t>
                  </w:r>
                </w:p>
              </w:tc>
              <w:tc>
                <w:tcPr>
                  <w:tcW w:w="295" w:type="pct"/>
                  <w:shd w:val="clear" w:color="auto" w:fill="auto"/>
                  <w:vAlign w:val="center"/>
                </w:tcPr>
                <w:p w14:paraId="75F907ED">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是否为可行性技术</w:t>
                  </w:r>
                </w:p>
              </w:tc>
              <w:tc>
                <w:tcPr>
                  <w:tcW w:w="368" w:type="pct"/>
                  <w:shd w:val="clear" w:color="auto" w:fill="auto"/>
                  <w:vAlign w:val="center"/>
                </w:tcPr>
                <w:p w14:paraId="180B5A0C">
                  <w:pPr>
                    <w:pStyle w:val="228"/>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排放量t/a</w:t>
                  </w:r>
                </w:p>
              </w:tc>
              <w:tc>
                <w:tcPr>
                  <w:tcW w:w="412" w:type="pct"/>
                  <w:shd w:val="clear" w:color="auto" w:fill="auto"/>
                  <w:vAlign w:val="center"/>
                </w:tcPr>
                <w:p w14:paraId="49ED80E7">
                  <w:pPr>
                    <w:pStyle w:val="228"/>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排放浓度mg/m</w:t>
                  </w:r>
                  <w:r>
                    <w:rPr>
                      <w:rFonts w:hint="default" w:ascii="Times New Roman" w:hAnsi="Times New Roman" w:eastAsia="宋体" w:cs="Times New Roman"/>
                      <w:color w:val="auto"/>
                      <w:sz w:val="18"/>
                      <w:szCs w:val="18"/>
                      <w:vertAlign w:val="superscript"/>
                    </w:rPr>
                    <w:t>3</w:t>
                  </w:r>
                </w:p>
              </w:tc>
              <w:tc>
                <w:tcPr>
                  <w:tcW w:w="368" w:type="pct"/>
                  <w:shd w:val="clear" w:color="auto" w:fill="auto"/>
                  <w:vAlign w:val="center"/>
                </w:tcPr>
                <w:p w14:paraId="0A79CC7E">
                  <w:pPr>
                    <w:pStyle w:val="228"/>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排放速率</w:t>
                  </w:r>
                </w:p>
                <w:p w14:paraId="7E2D0166">
                  <w:pPr>
                    <w:pStyle w:val="228"/>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kg/h</w:t>
                  </w:r>
                </w:p>
              </w:tc>
            </w:tr>
            <w:tr w14:paraId="4C93966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432" w:type="pct"/>
                  <w:vMerge w:val="restart"/>
                  <w:shd w:val="clear" w:color="auto" w:fill="auto"/>
                  <w:vAlign w:val="center"/>
                </w:tcPr>
                <w:p w14:paraId="04F032A3">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生产过程</w:t>
                  </w:r>
                </w:p>
              </w:tc>
              <w:tc>
                <w:tcPr>
                  <w:tcW w:w="656" w:type="pct"/>
                  <w:shd w:val="clear" w:color="auto" w:fill="auto"/>
                  <w:vAlign w:val="center"/>
                </w:tcPr>
                <w:p w14:paraId="57289D77">
                  <w:pPr>
                    <w:pStyle w:val="228"/>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有组织</w:t>
                  </w:r>
                  <w:r>
                    <w:rPr>
                      <w:rFonts w:hint="default" w:ascii="Times New Roman" w:hAnsi="Times New Roman" w:cs="Times New Roman"/>
                      <w:color w:val="auto"/>
                      <w:sz w:val="18"/>
                      <w:szCs w:val="18"/>
                    </w:rPr>
                    <w:t>DA001</w:t>
                  </w:r>
                </w:p>
              </w:tc>
              <w:tc>
                <w:tcPr>
                  <w:tcW w:w="396" w:type="pct"/>
                  <w:vMerge w:val="restart"/>
                  <w:shd w:val="clear" w:color="auto" w:fill="auto"/>
                  <w:vAlign w:val="center"/>
                </w:tcPr>
                <w:p w14:paraId="55D73733">
                  <w:pPr>
                    <w:pStyle w:val="228"/>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VOCs</w:t>
                  </w:r>
                </w:p>
              </w:tc>
              <w:tc>
                <w:tcPr>
                  <w:tcW w:w="412" w:type="pct"/>
                  <w:shd w:val="clear" w:color="auto" w:fill="auto"/>
                  <w:vAlign w:val="center"/>
                </w:tcPr>
                <w:p w14:paraId="3A10DC66">
                  <w:pPr>
                    <w:autoSpaceDE w:val="0"/>
                    <w:autoSpaceDN w:val="0"/>
                    <w:contextualSpacing/>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150.30</w:t>
                  </w:r>
                </w:p>
              </w:tc>
              <w:tc>
                <w:tcPr>
                  <w:tcW w:w="379" w:type="pct"/>
                  <w:shd w:val="clear" w:color="auto" w:fill="auto"/>
                  <w:vAlign w:val="center"/>
                </w:tcPr>
                <w:p w14:paraId="61FC61F9">
                  <w:pPr>
                    <w:autoSpaceDE w:val="0"/>
                    <w:autoSpaceDN w:val="0"/>
                    <w:contextualSpacing/>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1.5188</w:t>
                  </w:r>
                </w:p>
              </w:tc>
              <w:tc>
                <w:tcPr>
                  <w:tcW w:w="416" w:type="pct"/>
                  <w:shd w:val="clear" w:color="auto" w:fill="auto"/>
                  <w:vAlign w:val="center"/>
                </w:tcPr>
                <w:p w14:paraId="7AB19057">
                  <w:pPr>
                    <w:pStyle w:val="228"/>
                    <w:spacing w:line="0" w:lineRule="atLeast"/>
                    <w:rPr>
                      <w:rFonts w:hint="default"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lang w:val="en-US" w:eastAsia="zh-CN"/>
                    </w:rPr>
                    <w:t>4</w:t>
                  </w:r>
                  <w:r>
                    <w:rPr>
                      <w:rFonts w:hint="default" w:ascii="Times New Roman" w:hAnsi="Times New Roman" w:eastAsia="宋体" w:cs="Times New Roman"/>
                      <w:bCs/>
                      <w:color w:val="auto"/>
                      <w:sz w:val="18"/>
                      <w:szCs w:val="18"/>
                    </w:rPr>
                    <w:t>000</w:t>
                  </w:r>
                </w:p>
              </w:tc>
              <w:tc>
                <w:tcPr>
                  <w:tcW w:w="358" w:type="pct"/>
                  <w:vMerge w:val="restart"/>
                  <w:shd w:val="clear" w:color="auto" w:fill="auto"/>
                  <w:vAlign w:val="center"/>
                </w:tcPr>
                <w:p w14:paraId="39CDAEDF">
                  <w:pPr>
                    <w:pStyle w:val="228"/>
                    <w:spacing w:line="0" w:lineRule="atLeast"/>
                    <w:rPr>
                      <w:rFonts w:hint="default" w:ascii="Times New Roman" w:hAnsi="Times New Roman" w:eastAsia="宋体" w:cs="Times New Roman"/>
                      <w:bCs/>
                      <w:color w:val="auto"/>
                      <w:sz w:val="18"/>
                      <w:szCs w:val="18"/>
                    </w:rPr>
                  </w:pPr>
                  <w:r>
                    <w:rPr>
                      <w:rFonts w:hint="default" w:ascii="Times New Roman" w:hAnsi="Times New Roman" w:eastAsia="宋体" w:cs="Times New Roman"/>
                      <w:bCs/>
                      <w:color w:val="auto"/>
                      <w:sz w:val="18"/>
                      <w:szCs w:val="18"/>
                    </w:rPr>
                    <w:t>95%</w:t>
                  </w:r>
                </w:p>
              </w:tc>
              <w:tc>
                <w:tcPr>
                  <w:tcW w:w="500" w:type="pct"/>
                  <w:vMerge w:val="restart"/>
                  <w:shd w:val="clear" w:color="auto" w:fill="auto"/>
                  <w:vAlign w:val="center"/>
                </w:tcPr>
                <w:p w14:paraId="28D6D41F">
                  <w:pPr>
                    <w:pStyle w:val="101"/>
                    <w:rPr>
                      <w:rFonts w:hint="default" w:ascii="Times New Roman" w:hAnsi="Times New Roman" w:cs="Times New Roman"/>
                      <w:color w:val="auto"/>
                      <w:sz w:val="18"/>
                      <w:szCs w:val="18"/>
                    </w:rPr>
                  </w:pPr>
                  <w:r>
                    <w:rPr>
                      <w:rFonts w:hint="default" w:ascii="Times New Roman" w:hAnsi="Times New Roman" w:cs="Times New Roman"/>
                      <w:color w:val="auto"/>
                      <w:sz w:val="18"/>
                      <w:szCs w:val="18"/>
                    </w:rPr>
                    <w:t>活性炭吸附装置</w:t>
                  </w:r>
                  <w:r>
                    <w:rPr>
                      <w:rFonts w:hint="default" w:ascii="Times New Roman" w:hAnsi="Times New Roman" w:cs="Times New Roman"/>
                      <w:color w:val="auto"/>
                      <w:sz w:val="18"/>
                      <w:szCs w:val="18"/>
                      <w:lang w:eastAsia="zh-CN"/>
                    </w:rPr>
                    <w:t>，</w:t>
                  </w:r>
                  <w:r>
                    <w:rPr>
                      <w:rFonts w:hint="default" w:ascii="Times New Roman" w:hAnsi="Times New Roman" w:cs="Times New Roman"/>
                      <w:color w:val="auto"/>
                      <w:sz w:val="18"/>
                      <w:szCs w:val="18"/>
                    </w:rPr>
                    <w:t>处理效率80%</w:t>
                  </w:r>
                </w:p>
              </w:tc>
              <w:tc>
                <w:tcPr>
                  <w:tcW w:w="295" w:type="pct"/>
                  <w:vMerge w:val="restart"/>
                  <w:shd w:val="clear" w:color="auto" w:fill="auto"/>
                  <w:vAlign w:val="center"/>
                </w:tcPr>
                <w:p w14:paraId="401887A3">
                  <w:pPr>
                    <w:pStyle w:val="228"/>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是</w:t>
                  </w:r>
                </w:p>
              </w:tc>
              <w:tc>
                <w:tcPr>
                  <w:tcW w:w="368" w:type="pct"/>
                  <w:shd w:val="clear" w:color="auto" w:fill="auto"/>
                  <w:vAlign w:val="center"/>
                </w:tcPr>
                <w:p w14:paraId="62AC935A">
                  <w:pPr>
                    <w:autoSpaceDE w:val="0"/>
                    <w:autoSpaceDN w:val="0"/>
                    <w:contextualSpacing/>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0.29</w:t>
                  </w:r>
                </w:p>
              </w:tc>
              <w:tc>
                <w:tcPr>
                  <w:tcW w:w="412" w:type="pct"/>
                  <w:shd w:val="clear" w:color="auto" w:fill="auto"/>
                  <w:vAlign w:val="center"/>
                </w:tcPr>
                <w:p w14:paraId="42480982">
                  <w:pPr>
                    <w:autoSpaceDE w:val="0"/>
                    <w:autoSpaceDN w:val="0"/>
                    <w:contextualSpacing/>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30.06</w:t>
                  </w:r>
                </w:p>
              </w:tc>
              <w:tc>
                <w:tcPr>
                  <w:tcW w:w="368" w:type="pct"/>
                  <w:shd w:val="clear" w:color="auto" w:fill="auto"/>
                  <w:vAlign w:val="center"/>
                </w:tcPr>
                <w:p w14:paraId="15199F3C">
                  <w:pPr>
                    <w:autoSpaceDE w:val="0"/>
                    <w:autoSpaceDN w:val="0"/>
                    <w:contextualSpacing/>
                    <w:jc w:val="center"/>
                    <w:rPr>
                      <w:rFonts w:hint="default" w:ascii="Times New Roman" w:hAnsi="Times New Roman" w:eastAsia="宋体" w:cs="Times New Roman"/>
                      <w:color w:val="auto"/>
                      <w:sz w:val="18"/>
                      <w:szCs w:val="18"/>
                      <w:lang w:val="en-US" w:eastAsia="zh-CN"/>
                    </w:rPr>
                  </w:pPr>
                  <w:r>
                    <w:rPr>
                      <w:rFonts w:hint="eastAsia" w:cs="Times New Roman"/>
                      <w:color w:val="auto"/>
                      <w:sz w:val="18"/>
                      <w:szCs w:val="18"/>
                      <w:lang w:val="en-US" w:eastAsia="zh-CN"/>
                    </w:rPr>
                    <w:t>0.12</w:t>
                  </w:r>
                </w:p>
              </w:tc>
            </w:tr>
            <w:tr w14:paraId="1F2A42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34" w:hRule="atLeast"/>
              </w:trPr>
              <w:tc>
                <w:tcPr>
                  <w:tcW w:w="432" w:type="pct"/>
                  <w:vMerge w:val="continue"/>
                  <w:shd w:val="clear" w:color="auto" w:fill="auto"/>
                  <w:vAlign w:val="center"/>
                </w:tcPr>
                <w:p w14:paraId="1161B8D9">
                  <w:pPr>
                    <w:autoSpaceDE w:val="0"/>
                    <w:autoSpaceDN w:val="0"/>
                    <w:contextualSpacing/>
                    <w:jc w:val="center"/>
                    <w:rPr>
                      <w:rFonts w:hint="default" w:ascii="Times New Roman" w:hAnsi="Times New Roman" w:cs="Times New Roman"/>
                      <w:color w:val="auto"/>
                      <w:sz w:val="18"/>
                      <w:szCs w:val="18"/>
                    </w:rPr>
                  </w:pPr>
                </w:p>
              </w:tc>
              <w:tc>
                <w:tcPr>
                  <w:tcW w:w="656" w:type="pct"/>
                  <w:shd w:val="clear" w:color="auto" w:fill="auto"/>
                  <w:vAlign w:val="center"/>
                </w:tcPr>
                <w:p w14:paraId="53EB2E9F">
                  <w:pPr>
                    <w:pStyle w:val="228"/>
                    <w:spacing w:line="0" w:lineRule="atLeast"/>
                    <w:rPr>
                      <w:rFonts w:hint="default" w:ascii="Times New Roman" w:hAnsi="Times New Roman" w:eastAsia="宋体" w:cs="Times New Roman"/>
                      <w:color w:val="auto"/>
                      <w:sz w:val="18"/>
                      <w:szCs w:val="18"/>
                    </w:rPr>
                  </w:pPr>
                  <w:r>
                    <w:rPr>
                      <w:rFonts w:hint="default" w:ascii="Times New Roman" w:hAnsi="Times New Roman" w:eastAsia="宋体" w:cs="Times New Roman"/>
                      <w:color w:val="auto"/>
                      <w:sz w:val="18"/>
                      <w:szCs w:val="18"/>
                    </w:rPr>
                    <w:t>无组织</w:t>
                  </w:r>
                </w:p>
              </w:tc>
              <w:tc>
                <w:tcPr>
                  <w:tcW w:w="396" w:type="pct"/>
                  <w:vMerge w:val="continue"/>
                  <w:shd w:val="clear" w:color="auto" w:fill="auto"/>
                  <w:vAlign w:val="center"/>
                </w:tcPr>
                <w:p w14:paraId="277E4510">
                  <w:pPr>
                    <w:pStyle w:val="228"/>
                    <w:spacing w:line="0" w:lineRule="atLeast"/>
                    <w:rPr>
                      <w:rFonts w:hint="default" w:ascii="Times New Roman" w:hAnsi="Times New Roman" w:eastAsia="宋体" w:cs="Times New Roman"/>
                      <w:color w:val="auto"/>
                      <w:sz w:val="18"/>
                      <w:szCs w:val="18"/>
                    </w:rPr>
                  </w:pPr>
                </w:p>
              </w:tc>
              <w:tc>
                <w:tcPr>
                  <w:tcW w:w="412" w:type="pct"/>
                  <w:shd w:val="clear" w:color="auto" w:fill="auto"/>
                  <w:vAlign w:val="center"/>
                </w:tcPr>
                <w:p w14:paraId="1C7B0B17">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379" w:type="pct"/>
                  <w:shd w:val="clear" w:color="auto" w:fill="auto"/>
                  <w:vAlign w:val="center"/>
                </w:tcPr>
                <w:p w14:paraId="3B295079">
                  <w:pPr>
                    <w:autoSpaceDE w:val="0"/>
                    <w:autoSpaceDN w:val="0"/>
                    <w:contextualSpacing/>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0.</w:t>
                  </w:r>
                  <w:r>
                    <w:rPr>
                      <w:rFonts w:hint="eastAsia" w:cs="Times New Roman"/>
                      <w:color w:val="auto"/>
                      <w:sz w:val="18"/>
                      <w:szCs w:val="18"/>
                      <w:lang w:val="en-US" w:eastAsia="zh-CN"/>
                    </w:rPr>
                    <w:t>08</w:t>
                  </w:r>
                </w:p>
              </w:tc>
              <w:tc>
                <w:tcPr>
                  <w:tcW w:w="416" w:type="pct"/>
                  <w:shd w:val="clear" w:color="auto" w:fill="auto"/>
                  <w:vAlign w:val="center"/>
                </w:tcPr>
                <w:p w14:paraId="105AF838">
                  <w:pPr>
                    <w:pStyle w:val="228"/>
                    <w:spacing w:line="0" w:lineRule="atLeast"/>
                    <w:rPr>
                      <w:rFonts w:hint="default" w:ascii="Times New Roman" w:hAnsi="Times New Roman" w:eastAsia="宋体" w:cs="Times New Roman"/>
                      <w:bCs/>
                      <w:color w:val="auto"/>
                      <w:sz w:val="18"/>
                      <w:szCs w:val="18"/>
                    </w:rPr>
                  </w:pPr>
                  <w:r>
                    <w:rPr>
                      <w:rFonts w:hint="default" w:ascii="Times New Roman" w:hAnsi="Times New Roman" w:cs="Times New Roman"/>
                      <w:color w:val="auto"/>
                      <w:sz w:val="18"/>
                      <w:szCs w:val="18"/>
                    </w:rPr>
                    <w:t>/</w:t>
                  </w:r>
                </w:p>
              </w:tc>
              <w:tc>
                <w:tcPr>
                  <w:tcW w:w="358" w:type="pct"/>
                  <w:vMerge w:val="continue"/>
                  <w:shd w:val="clear" w:color="auto" w:fill="auto"/>
                  <w:vAlign w:val="center"/>
                </w:tcPr>
                <w:p w14:paraId="0BE902C3">
                  <w:pPr>
                    <w:pStyle w:val="228"/>
                    <w:spacing w:line="0" w:lineRule="atLeast"/>
                    <w:rPr>
                      <w:rFonts w:hint="default" w:ascii="Times New Roman" w:hAnsi="Times New Roman" w:eastAsia="宋体" w:cs="Times New Roman"/>
                      <w:bCs/>
                      <w:color w:val="auto"/>
                      <w:sz w:val="18"/>
                      <w:szCs w:val="18"/>
                    </w:rPr>
                  </w:pPr>
                </w:p>
              </w:tc>
              <w:tc>
                <w:tcPr>
                  <w:tcW w:w="500" w:type="pct"/>
                  <w:vMerge w:val="continue"/>
                  <w:shd w:val="clear" w:color="auto" w:fill="auto"/>
                  <w:vAlign w:val="center"/>
                </w:tcPr>
                <w:p w14:paraId="4BEA8454">
                  <w:pPr>
                    <w:pStyle w:val="228"/>
                    <w:spacing w:line="0" w:lineRule="atLeast"/>
                    <w:rPr>
                      <w:rFonts w:hint="default" w:ascii="Times New Roman" w:hAnsi="Times New Roman" w:eastAsia="宋体" w:cs="Times New Roman"/>
                      <w:color w:val="auto"/>
                      <w:sz w:val="18"/>
                      <w:szCs w:val="18"/>
                    </w:rPr>
                  </w:pPr>
                </w:p>
              </w:tc>
              <w:tc>
                <w:tcPr>
                  <w:tcW w:w="295" w:type="pct"/>
                  <w:vMerge w:val="continue"/>
                  <w:shd w:val="clear" w:color="auto" w:fill="auto"/>
                  <w:vAlign w:val="center"/>
                </w:tcPr>
                <w:p w14:paraId="4068E2D3">
                  <w:pPr>
                    <w:pStyle w:val="228"/>
                    <w:spacing w:line="0" w:lineRule="atLeast"/>
                    <w:rPr>
                      <w:rFonts w:hint="default" w:ascii="Times New Roman" w:hAnsi="Times New Roman" w:eastAsia="宋体" w:cs="Times New Roman"/>
                      <w:color w:val="auto"/>
                      <w:sz w:val="18"/>
                      <w:szCs w:val="18"/>
                    </w:rPr>
                  </w:pPr>
                </w:p>
              </w:tc>
              <w:tc>
                <w:tcPr>
                  <w:tcW w:w="368" w:type="pct"/>
                  <w:shd w:val="clear" w:color="auto" w:fill="auto"/>
                  <w:vAlign w:val="center"/>
                </w:tcPr>
                <w:p w14:paraId="29877619">
                  <w:pPr>
                    <w:autoSpaceDE w:val="0"/>
                    <w:autoSpaceDN w:val="0"/>
                    <w:contextualSpacing/>
                    <w:jc w:val="center"/>
                    <w:rPr>
                      <w:rFonts w:hint="default" w:ascii="Times New Roman" w:hAnsi="Times New Roman" w:eastAsia="宋体" w:cs="Times New Roman"/>
                      <w:color w:val="auto"/>
                      <w:sz w:val="18"/>
                      <w:szCs w:val="18"/>
                      <w:lang w:val="en-US" w:eastAsia="zh-CN"/>
                    </w:rPr>
                  </w:pPr>
                  <w:r>
                    <w:rPr>
                      <w:rFonts w:hint="default" w:ascii="Times New Roman" w:hAnsi="Times New Roman" w:cs="Times New Roman"/>
                      <w:color w:val="auto"/>
                      <w:sz w:val="18"/>
                      <w:szCs w:val="18"/>
                    </w:rPr>
                    <w:t>0.</w:t>
                  </w:r>
                  <w:r>
                    <w:rPr>
                      <w:rFonts w:hint="eastAsia" w:cs="Times New Roman"/>
                      <w:color w:val="auto"/>
                      <w:sz w:val="18"/>
                      <w:szCs w:val="18"/>
                      <w:lang w:val="en-US" w:eastAsia="zh-CN"/>
                    </w:rPr>
                    <w:t>08</w:t>
                  </w:r>
                </w:p>
              </w:tc>
              <w:tc>
                <w:tcPr>
                  <w:tcW w:w="412" w:type="pct"/>
                  <w:shd w:val="clear" w:color="auto" w:fill="auto"/>
                  <w:vAlign w:val="center"/>
                </w:tcPr>
                <w:p w14:paraId="227E2E23">
                  <w:pPr>
                    <w:autoSpaceDE w:val="0"/>
                    <w:autoSpaceDN w:val="0"/>
                    <w:contextualSpacing/>
                    <w:jc w:val="center"/>
                    <w:rPr>
                      <w:rFonts w:hint="default" w:ascii="Times New Roman" w:hAnsi="Times New Roman" w:cs="Times New Roman"/>
                      <w:color w:val="auto"/>
                      <w:sz w:val="18"/>
                      <w:szCs w:val="18"/>
                    </w:rPr>
                  </w:pPr>
                  <w:r>
                    <w:rPr>
                      <w:rFonts w:hint="default" w:ascii="Times New Roman" w:hAnsi="Times New Roman" w:cs="Times New Roman"/>
                      <w:color w:val="auto"/>
                      <w:sz w:val="18"/>
                      <w:szCs w:val="18"/>
                    </w:rPr>
                    <w:t>/</w:t>
                  </w:r>
                </w:p>
              </w:tc>
              <w:tc>
                <w:tcPr>
                  <w:tcW w:w="368" w:type="pct"/>
                  <w:shd w:val="clear" w:color="auto" w:fill="auto"/>
                  <w:vAlign w:val="center"/>
                </w:tcPr>
                <w:p w14:paraId="5BCC5688">
                  <w:pPr>
                    <w:autoSpaceDE w:val="0"/>
                    <w:autoSpaceDN w:val="0"/>
                    <w:contextualSpacing/>
                    <w:jc w:val="center"/>
                    <w:rPr>
                      <w:rFonts w:hint="eastAsia" w:ascii="Times New Roman" w:hAnsi="Times New Roman" w:eastAsia="宋体" w:cs="Times New Roman"/>
                      <w:color w:val="auto"/>
                      <w:sz w:val="18"/>
                      <w:szCs w:val="18"/>
                      <w:lang w:eastAsia="zh-CN"/>
                    </w:rPr>
                  </w:pPr>
                  <w:r>
                    <w:rPr>
                      <w:rFonts w:hint="default" w:ascii="Times New Roman" w:hAnsi="Times New Roman" w:cs="Times New Roman"/>
                      <w:color w:val="auto"/>
                      <w:sz w:val="18"/>
                      <w:szCs w:val="18"/>
                    </w:rPr>
                    <w:t>0.</w:t>
                  </w:r>
                  <w:r>
                    <w:rPr>
                      <w:rFonts w:hint="eastAsia" w:cs="Times New Roman"/>
                      <w:color w:val="auto"/>
                      <w:sz w:val="18"/>
                      <w:szCs w:val="18"/>
                      <w:lang w:val="en-US" w:eastAsia="zh-CN"/>
                    </w:rPr>
                    <w:t>03</w:t>
                  </w:r>
                </w:p>
              </w:tc>
            </w:tr>
          </w:tbl>
          <w:p w14:paraId="017CB54B">
            <w:pPr>
              <w:pStyle w:val="114"/>
              <w:rPr>
                <w:color w:val="auto"/>
                <w:highlight w:val="none"/>
              </w:rPr>
            </w:pPr>
            <w:r>
              <w:rPr>
                <w:color w:val="auto"/>
                <w:highlight w:val="none"/>
              </w:rPr>
              <w:t>表</w:t>
            </w:r>
            <w:r>
              <w:rPr>
                <w:rFonts w:hint="eastAsia"/>
                <w:color w:val="auto"/>
                <w:highlight w:val="none"/>
              </w:rPr>
              <w:t xml:space="preserve">4-2 </w:t>
            </w:r>
            <w:r>
              <w:rPr>
                <w:rFonts w:hint="eastAsia"/>
                <w:color w:val="auto"/>
                <w:highlight w:val="none"/>
                <w:lang w:val="en-US" w:eastAsia="zh-CN"/>
              </w:rPr>
              <w:t xml:space="preserve"> </w:t>
            </w:r>
            <w:r>
              <w:rPr>
                <w:rFonts w:hint="eastAsia"/>
                <w:color w:val="auto"/>
                <w:highlight w:val="none"/>
              </w:rPr>
              <w:t>废气排放口</w:t>
            </w:r>
            <w:r>
              <w:rPr>
                <w:color w:val="auto"/>
                <w:highlight w:val="none"/>
              </w:rPr>
              <w:t>基本情况一览表</w:t>
            </w:r>
          </w:p>
          <w:tbl>
            <w:tblPr>
              <w:tblStyle w:val="43"/>
              <w:tblW w:w="5000" w:type="pct"/>
              <w:tblInd w:w="0"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859"/>
              <w:gridCol w:w="1308"/>
              <w:gridCol w:w="1015"/>
              <w:gridCol w:w="1015"/>
              <w:gridCol w:w="1015"/>
              <w:gridCol w:w="1164"/>
              <w:gridCol w:w="2043"/>
            </w:tblGrid>
            <w:tr w14:paraId="7B4DD1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0" w:type="pct"/>
                  <w:shd w:val="clear" w:color="auto" w:fill="auto"/>
                  <w:vAlign w:val="center"/>
                </w:tcPr>
                <w:p w14:paraId="08CF8BAA">
                  <w:pPr>
                    <w:autoSpaceDE w:val="0"/>
                    <w:autoSpaceDN w:val="0"/>
                    <w:contextualSpacing/>
                    <w:jc w:val="center"/>
                    <w:rPr>
                      <w:color w:val="auto"/>
                      <w:szCs w:val="21"/>
                      <w:highlight w:val="none"/>
                    </w:rPr>
                  </w:pPr>
                  <w:r>
                    <w:rPr>
                      <w:rFonts w:hint="eastAsia"/>
                      <w:color w:val="auto"/>
                      <w:szCs w:val="21"/>
                      <w:highlight w:val="none"/>
                    </w:rPr>
                    <w:t>编号</w:t>
                  </w:r>
                </w:p>
              </w:tc>
              <w:tc>
                <w:tcPr>
                  <w:tcW w:w="777" w:type="pct"/>
                  <w:shd w:val="clear" w:color="auto" w:fill="auto"/>
                  <w:vAlign w:val="center"/>
                </w:tcPr>
                <w:p w14:paraId="7BE56FD7">
                  <w:pPr>
                    <w:autoSpaceDE w:val="0"/>
                    <w:autoSpaceDN w:val="0"/>
                    <w:contextualSpacing/>
                    <w:jc w:val="center"/>
                    <w:rPr>
                      <w:color w:val="auto"/>
                      <w:szCs w:val="21"/>
                      <w:highlight w:val="none"/>
                    </w:rPr>
                  </w:pPr>
                  <w:r>
                    <w:rPr>
                      <w:rFonts w:hint="eastAsia"/>
                      <w:color w:val="auto"/>
                      <w:szCs w:val="21"/>
                      <w:highlight w:val="none"/>
                    </w:rPr>
                    <w:t>排放口名称</w:t>
                  </w:r>
                </w:p>
              </w:tc>
              <w:tc>
                <w:tcPr>
                  <w:tcW w:w="603" w:type="pct"/>
                  <w:shd w:val="clear" w:color="auto" w:fill="auto"/>
                  <w:vAlign w:val="center"/>
                </w:tcPr>
                <w:p w14:paraId="77A1614F">
                  <w:pPr>
                    <w:autoSpaceDE w:val="0"/>
                    <w:autoSpaceDN w:val="0"/>
                    <w:contextualSpacing/>
                    <w:jc w:val="center"/>
                    <w:rPr>
                      <w:color w:val="auto"/>
                      <w:szCs w:val="21"/>
                      <w:highlight w:val="none"/>
                    </w:rPr>
                  </w:pPr>
                  <w:r>
                    <w:rPr>
                      <w:rFonts w:hint="eastAsia"/>
                      <w:color w:val="auto"/>
                      <w:szCs w:val="21"/>
                      <w:highlight w:val="none"/>
                    </w:rPr>
                    <w:t>高度/m</w:t>
                  </w:r>
                </w:p>
              </w:tc>
              <w:tc>
                <w:tcPr>
                  <w:tcW w:w="603" w:type="pct"/>
                  <w:shd w:val="clear" w:color="auto" w:fill="auto"/>
                  <w:vAlign w:val="center"/>
                </w:tcPr>
                <w:p w14:paraId="3F3140E4">
                  <w:pPr>
                    <w:autoSpaceDE w:val="0"/>
                    <w:autoSpaceDN w:val="0"/>
                    <w:contextualSpacing/>
                    <w:jc w:val="center"/>
                    <w:rPr>
                      <w:color w:val="auto"/>
                      <w:szCs w:val="21"/>
                      <w:highlight w:val="none"/>
                    </w:rPr>
                  </w:pPr>
                  <w:r>
                    <w:rPr>
                      <w:rFonts w:hint="eastAsia"/>
                      <w:color w:val="auto"/>
                      <w:szCs w:val="21"/>
                      <w:highlight w:val="none"/>
                    </w:rPr>
                    <w:t>内径/m</w:t>
                  </w:r>
                </w:p>
              </w:tc>
              <w:tc>
                <w:tcPr>
                  <w:tcW w:w="603" w:type="pct"/>
                  <w:shd w:val="clear" w:color="auto" w:fill="auto"/>
                  <w:vAlign w:val="center"/>
                </w:tcPr>
                <w:p w14:paraId="70E06C03">
                  <w:pPr>
                    <w:autoSpaceDE w:val="0"/>
                    <w:autoSpaceDN w:val="0"/>
                    <w:contextualSpacing/>
                    <w:jc w:val="center"/>
                    <w:rPr>
                      <w:color w:val="auto"/>
                      <w:szCs w:val="21"/>
                      <w:highlight w:val="none"/>
                    </w:rPr>
                  </w:pPr>
                  <w:r>
                    <w:rPr>
                      <w:rFonts w:hint="eastAsia"/>
                      <w:color w:val="auto"/>
                      <w:szCs w:val="21"/>
                      <w:highlight w:val="none"/>
                    </w:rPr>
                    <w:t>温度/℃</w:t>
                  </w:r>
                </w:p>
              </w:tc>
              <w:tc>
                <w:tcPr>
                  <w:tcW w:w="691" w:type="pct"/>
                  <w:shd w:val="clear" w:color="auto" w:fill="auto"/>
                  <w:vAlign w:val="center"/>
                </w:tcPr>
                <w:p w14:paraId="489D7935">
                  <w:pPr>
                    <w:autoSpaceDE w:val="0"/>
                    <w:autoSpaceDN w:val="0"/>
                    <w:contextualSpacing/>
                    <w:jc w:val="center"/>
                    <w:rPr>
                      <w:color w:val="auto"/>
                      <w:szCs w:val="21"/>
                      <w:highlight w:val="none"/>
                    </w:rPr>
                  </w:pPr>
                  <w:r>
                    <w:rPr>
                      <w:rFonts w:hint="eastAsia"/>
                      <w:color w:val="auto"/>
                      <w:szCs w:val="21"/>
                      <w:highlight w:val="none"/>
                    </w:rPr>
                    <w:t>类型</w:t>
                  </w:r>
                </w:p>
              </w:tc>
              <w:tc>
                <w:tcPr>
                  <w:tcW w:w="1214" w:type="pct"/>
                  <w:shd w:val="clear" w:color="auto" w:fill="auto"/>
                  <w:vAlign w:val="center"/>
                </w:tcPr>
                <w:p w14:paraId="58B39F71">
                  <w:pPr>
                    <w:autoSpaceDE w:val="0"/>
                    <w:autoSpaceDN w:val="0"/>
                    <w:contextualSpacing/>
                    <w:jc w:val="center"/>
                    <w:rPr>
                      <w:color w:val="auto"/>
                      <w:szCs w:val="21"/>
                      <w:highlight w:val="none"/>
                    </w:rPr>
                  </w:pPr>
                  <w:r>
                    <w:rPr>
                      <w:rFonts w:hint="eastAsia"/>
                      <w:color w:val="auto"/>
                      <w:szCs w:val="21"/>
                      <w:highlight w:val="none"/>
                    </w:rPr>
                    <w:t>地理坐标</w:t>
                  </w:r>
                </w:p>
              </w:tc>
            </w:tr>
            <w:tr w14:paraId="7A96A9F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510" w:type="pct"/>
                  <w:shd w:val="clear" w:color="auto" w:fill="auto"/>
                  <w:vAlign w:val="center"/>
                </w:tcPr>
                <w:p w14:paraId="5C397ECD">
                  <w:pPr>
                    <w:autoSpaceDE w:val="0"/>
                    <w:autoSpaceDN w:val="0"/>
                    <w:contextualSpacing/>
                    <w:jc w:val="center"/>
                    <w:rPr>
                      <w:color w:val="auto"/>
                      <w:szCs w:val="21"/>
                      <w:highlight w:val="none"/>
                    </w:rPr>
                  </w:pPr>
                  <w:r>
                    <w:rPr>
                      <w:rFonts w:hint="eastAsia"/>
                      <w:color w:val="auto"/>
                      <w:szCs w:val="21"/>
                      <w:highlight w:val="none"/>
                    </w:rPr>
                    <w:t>DA001</w:t>
                  </w:r>
                </w:p>
              </w:tc>
              <w:tc>
                <w:tcPr>
                  <w:tcW w:w="777" w:type="pct"/>
                  <w:shd w:val="clear" w:color="auto" w:fill="auto"/>
                  <w:vAlign w:val="center"/>
                </w:tcPr>
                <w:p w14:paraId="706F96B9">
                  <w:pPr>
                    <w:autoSpaceDE w:val="0"/>
                    <w:autoSpaceDN w:val="0"/>
                    <w:contextualSpacing/>
                    <w:jc w:val="center"/>
                    <w:rPr>
                      <w:color w:val="auto"/>
                      <w:szCs w:val="21"/>
                      <w:highlight w:val="none"/>
                    </w:rPr>
                  </w:pPr>
                  <w:r>
                    <w:rPr>
                      <w:rFonts w:hint="eastAsia"/>
                      <w:color w:val="auto"/>
                      <w:szCs w:val="21"/>
                      <w:highlight w:val="none"/>
                    </w:rPr>
                    <w:t>排气筒</w:t>
                  </w:r>
                </w:p>
              </w:tc>
              <w:tc>
                <w:tcPr>
                  <w:tcW w:w="603" w:type="pct"/>
                  <w:shd w:val="clear" w:color="auto" w:fill="auto"/>
                  <w:vAlign w:val="center"/>
                </w:tcPr>
                <w:p w14:paraId="45A27BD0">
                  <w:pPr>
                    <w:autoSpaceDE w:val="0"/>
                    <w:autoSpaceDN w:val="0"/>
                    <w:contextualSpacing/>
                    <w:jc w:val="center"/>
                    <w:rPr>
                      <w:color w:val="auto"/>
                      <w:szCs w:val="21"/>
                      <w:highlight w:val="none"/>
                    </w:rPr>
                  </w:pPr>
                  <w:r>
                    <w:rPr>
                      <w:color w:val="auto"/>
                      <w:szCs w:val="21"/>
                      <w:highlight w:val="none"/>
                    </w:rPr>
                    <w:t>15</w:t>
                  </w:r>
                </w:p>
              </w:tc>
              <w:tc>
                <w:tcPr>
                  <w:tcW w:w="603" w:type="pct"/>
                  <w:shd w:val="clear" w:color="auto" w:fill="auto"/>
                  <w:vAlign w:val="center"/>
                </w:tcPr>
                <w:p w14:paraId="137A6A9C">
                  <w:pPr>
                    <w:autoSpaceDE w:val="0"/>
                    <w:autoSpaceDN w:val="0"/>
                    <w:contextualSpacing/>
                    <w:jc w:val="center"/>
                    <w:rPr>
                      <w:color w:val="auto"/>
                      <w:szCs w:val="21"/>
                      <w:highlight w:val="none"/>
                    </w:rPr>
                  </w:pPr>
                  <w:r>
                    <w:rPr>
                      <w:color w:val="auto"/>
                      <w:szCs w:val="21"/>
                      <w:highlight w:val="none"/>
                    </w:rPr>
                    <w:t>0.3</w:t>
                  </w:r>
                </w:p>
              </w:tc>
              <w:tc>
                <w:tcPr>
                  <w:tcW w:w="603" w:type="pct"/>
                  <w:shd w:val="clear" w:color="auto" w:fill="auto"/>
                  <w:vAlign w:val="center"/>
                </w:tcPr>
                <w:p w14:paraId="69120E9D">
                  <w:pPr>
                    <w:jc w:val="center"/>
                    <w:rPr>
                      <w:color w:val="auto"/>
                      <w:highlight w:val="none"/>
                    </w:rPr>
                  </w:pPr>
                  <w:r>
                    <w:rPr>
                      <w:color w:val="auto"/>
                      <w:highlight w:val="none"/>
                    </w:rPr>
                    <w:t>常温</w:t>
                  </w:r>
                </w:p>
              </w:tc>
              <w:tc>
                <w:tcPr>
                  <w:tcW w:w="691" w:type="pct"/>
                  <w:shd w:val="clear" w:color="auto" w:fill="auto"/>
                  <w:vAlign w:val="center"/>
                </w:tcPr>
                <w:p w14:paraId="69127393">
                  <w:pPr>
                    <w:autoSpaceDE w:val="0"/>
                    <w:autoSpaceDN w:val="0"/>
                    <w:contextualSpacing/>
                    <w:jc w:val="center"/>
                    <w:rPr>
                      <w:color w:val="auto"/>
                      <w:szCs w:val="21"/>
                      <w:highlight w:val="none"/>
                    </w:rPr>
                  </w:pPr>
                  <w:r>
                    <w:rPr>
                      <w:rFonts w:hint="eastAsia"/>
                      <w:color w:val="auto"/>
                      <w:szCs w:val="21"/>
                      <w:highlight w:val="none"/>
                    </w:rPr>
                    <w:t>一般排放口</w:t>
                  </w:r>
                </w:p>
              </w:tc>
              <w:tc>
                <w:tcPr>
                  <w:tcW w:w="1214" w:type="pct"/>
                  <w:shd w:val="clear" w:color="auto" w:fill="auto"/>
                  <w:vAlign w:val="center"/>
                </w:tcPr>
                <w:p w14:paraId="394242A8">
                  <w:pPr>
                    <w:autoSpaceDE w:val="0"/>
                    <w:autoSpaceDN w:val="0"/>
                    <w:contextualSpacing/>
                    <w:jc w:val="center"/>
                    <w:rPr>
                      <w:color w:val="auto"/>
                      <w:szCs w:val="21"/>
                      <w:highlight w:val="none"/>
                    </w:rPr>
                  </w:pPr>
                  <w:r>
                    <w:rPr>
                      <w:rFonts w:hint="eastAsia"/>
                      <w:color w:val="auto"/>
                      <w:szCs w:val="21"/>
                      <w:highlight w:val="none"/>
                    </w:rPr>
                    <w:t>经度：130.283629°</w:t>
                  </w:r>
                </w:p>
                <w:p w14:paraId="3387132B">
                  <w:pPr>
                    <w:autoSpaceDE w:val="0"/>
                    <w:autoSpaceDN w:val="0"/>
                    <w:contextualSpacing/>
                    <w:jc w:val="center"/>
                    <w:rPr>
                      <w:color w:val="auto"/>
                      <w:szCs w:val="21"/>
                      <w:highlight w:val="none"/>
                    </w:rPr>
                  </w:pPr>
                  <w:r>
                    <w:rPr>
                      <w:rFonts w:hint="eastAsia"/>
                      <w:color w:val="auto"/>
                      <w:szCs w:val="21"/>
                      <w:highlight w:val="none"/>
                    </w:rPr>
                    <w:t>纬度：47.3004598°</w:t>
                  </w:r>
                </w:p>
              </w:tc>
            </w:tr>
          </w:tbl>
          <w:p w14:paraId="6E45BB8A">
            <w:pPr>
              <w:pStyle w:val="102"/>
              <w:ind w:firstLine="480"/>
              <w:rPr>
                <w:color w:val="auto"/>
              </w:rPr>
            </w:pPr>
            <w:r>
              <w:rPr>
                <w:rFonts w:hint="eastAsia"/>
                <w:color w:val="auto"/>
              </w:rPr>
              <w:t>①储罐大小呼吸废气</w:t>
            </w:r>
          </w:p>
          <w:p w14:paraId="562B9F23">
            <w:pPr>
              <w:pStyle w:val="102"/>
              <w:ind w:firstLine="480"/>
              <w:rPr>
                <w:rFonts w:hint="default" w:ascii="Times New Roman" w:hAnsi="Times New Roman" w:cs="Times New Roman"/>
                <w:color w:val="auto"/>
                <w:spacing w:val="-8"/>
                <w:sz w:val="24"/>
                <w:lang w:eastAsia="zh-CN"/>
              </w:rPr>
            </w:pPr>
            <w:r>
              <w:rPr>
                <w:rFonts w:hint="eastAsia"/>
                <w:color w:val="auto"/>
                <w:szCs w:val="24"/>
              </w:rPr>
              <w:t>本项目</w:t>
            </w:r>
            <w:r>
              <w:rPr>
                <w:rFonts w:hint="eastAsia"/>
                <w:color w:val="auto"/>
                <w:szCs w:val="24"/>
                <w:highlight w:val="none"/>
              </w:rPr>
              <w:t>原料储存采用</w:t>
            </w:r>
            <w:r>
              <w:rPr>
                <w:rFonts w:hint="eastAsia"/>
                <w:color w:val="auto"/>
                <w:szCs w:val="24"/>
                <w:highlight w:val="none"/>
                <w:lang w:val="en-US" w:eastAsia="zh-CN"/>
              </w:rPr>
              <w:t>2个</w:t>
            </w:r>
            <w:r>
              <w:rPr>
                <w:rStyle w:val="100"/>
                <w:rFonts w:hint="eastAsia"/>
                <w:color w:val="auto"/>
                <w:sz w:val="24"/>
                <w:szCs w:val="24"/>
                <w:highlight w:val="none"/>
                <w:lang w:val="en-US" w:eastAsia="zh-CN"/>
              </w:rPr>
              <w:t>20</w:t>
            </w:r>
            <w:r>
              <w:rPr>
                <w:rStyle w:val="100"/>
                <w:rFonts w:hint="eastAsia"/>
                <w:color w:val="auto"/>
                <w:sz w:val="24"/>
                <w:szCs w:val="24"/>
                <w:highlight w:val="none"/>
              </w:rPr>
              <w:t>m</w:t>
            </w:r>
            <w:r>
              <w:rPr>
                <w:rStyle w:val="100"/>
                <w:color w:val="auto"/>
                <w:sz w:val="24"/>
                <w:szCs w:val="24"/>
                <w:highlight w:val="none"/>
                <w:vertAlign w:val="superscript"/>
              </w:rPr>
              <w:t>3</w:t>
            </w:r>
            <w:r>
              <w:rPr>
                <w:rStyle w:val="100"/>
                <w:rFonts w:hint="eastAsia"/>
                <w:color w:val="auto"/>
                <w:sz w:val="24"/>
                <w:szCs w:val="24"/>
                <w:highlight w:val="none"/>
                <w:vertAlign w:val="baseline"/>
                <w:lang w:eastAsia="zh-CN"/>
              </w:rPr>
              <w:t>、</w:t>
            </w:r>
            <w:r>
              <w:rPr>
                <w:rStyle w:val="100"/>
                <w:rFonts w:hint="eastAsia"/>
                <w:color w:val="auto"/>
                <w:sz w:val="24"/>
                <w:szCs w:val="24"/>
                <w:highlight w:val="none"/>
                <w:vertAlign w:val="baseline"/>
                <w:lang w:val="en-US" w:eastAsia="zh-CN"/>
              </w:rPr>
              <w:t>1个10m</w:t>
            </w:r>
            <w:r>
              <w:rPr>
                <w:rStyle w:val="100"/>
                <w:rFonts w:hint="eastAsia"/>
                <w:color w:val="auto"/>
                <w:sz w:val="24"/>
                <w:szCs w:val="24"/>
                <w:highlight w:val="none"/>
                <w:vertAlign w:val="superscript"/>
                <w:lang w:val="en-US" w:eastAsia="zh-CN"/>
              </w:rPr>
              <w:t>3</w:t>
            </w:r>
            <w:r>
              <w:rPr>
                <w:rStyle w:val="100"/>
                <w:rFonts w:hint="eastAsia"/>
                <w:color w:val="auto"/>
                <w:sz w:val="24"/>
                <w:szCs w:val="24"/>
                <w:highlight w:val="none"/>
                <w:vertAlign w:val="baseline"/>
                <w:lang w:val="en-US" w:eastAsia="zh-CN"/>
              </w:rPr>
              <w:t>、3个1m</w:t>
            </w:r>
            <w:r>
              <w:rPr>
                <w:rStyle w:val="100"/>
                <w:rFonts w:hint="eastAsia"/>
                <w:color w:val="auto"/>
                <w:sz w:val="24"/>
                <w:szCs w:val="24"/>
                <w:highlight w:val="none"/>
                <w:vertAlign w:val="superscript"/>
                <w:lang w:val="en-US" w:eastAsia="zh-CN"/>
              </w:rPr>
              <w:t>3</w:t>
            </w:r>
            <w:r>
              <w:rPr>
                <w:rStyle w:val="100"/>
                <w:rFonts w:hint="eastAsia"/>
                <w:color w:val="auto"/>
                <w:sz w:val="24"/>
                <w:szCs w:val="24"/>
                <w:highlight w:val="none"/>
              </w:rPr>
              <w:t>的不锈钢储罐储存</w:t>
            </w:r>
            <w:r>
              <w:rPr>
                <w:rStyle w:val="100"/>
                <w:rFonts w:hint="eastAsia"/>
                <w:color w:val="auto"/>
                <w:sz w:val="24"/>
                <w:szCs w:val="24"/>
                <w:highlight w:val="none"/>
                <w:lang w:eastAsia="zh-CN"/>
              </w:rPr>
              <w:t>，</w:t>
            </w:r>
            <w:r>
              <w:rPr>
                <w:rStyle w:val="100"/>
                <w:rFonts w:hint="eastAsia"/>
                <w:color w:val="auto"/>
                <w:sz w:val="24"/>
                <w:szCs w:val="24"/>
                <w:highlight w:val="none"/>
              </w:rPr>
              <w:t>储</w:t>
            </w:r>
            <w:r>
              <w:rPr>
                <w:rStyle w:val="100"/>
                <w:rFonts w:hint="eastAsia"/>
                <w:color w:val="auto"/>
                <w:sz w:val="24"/>
                <w:szCs w:val="24"/>
              </w:rPr>
              <w:t>罐为拱顶罐</w:t>
            </w:r>
            <w:r>
              <w:rPr>
                <w:rStyle w:val="100"/>
                <w:rFonts w:hint="eastAsia"/>
                <w:color w:val="auto"/>
                <w:sz w:val="24"/>
                <w:szCs w:val="24"/>
                <w:lang w:eastAsia="zh-CN"/>
              </w:rPr>
              <w:t>，</w:t>
            </w:r>
            <w:r>
              <w:rPr>
                <w:rStyle w:val="100"/>
                <w:rFonts w:hint="eastAsia"/>
                <w:color w:val="auto"/>
                <w:sz w:val="24"/>
                <w:szCs w:val="24"/>
              </w:rPr>
              <w:t>并设有排气阀</w:t>
            </w:r>
            <w:r>
              <w:rPr>
                <w:rStyle w:val="100"/>
                <w:rFonts w:hint="eastAsia"/>
                <w:color w:val="auto"/>
                <w:sz w:val="24"/>
                <w:szCs w:val="24"/>
                <w:lang w:eastAsia="zh-CN"/>
              </w:rPr>
              <w:t>，</w:t>
            </w:r>
            <w:r>
              <w:rPr>
                <w:rStyle w:val="100"/>
                <w:rFonts w:hint="eastAsia"/>
                <w:color w:val="auto"/>
                <w:sz w:val="24"/>
                <w:szCs w:val="24"/>
              </w:rPr>
              <w:t>硅酸钠、</w:t>
            </w:r>
            <w:r>
              <w:rPr>
                <w:rFonts w:hint="eastAsia"/>
                <w:color w:val="auto"/>
              </w:rPr>
              <w:t>阻燃剂（</w:t>
            </w:r>
            <w:r>
              <w:rPr>
                <w:color w:val="auto"/>
              </w:rPr>
              <w:t>TCPP</w:t>
            </w:r>
            <w:r>
              <w:rPr>
                <w:rFonts w:hint="eastAsia"/>
                <w:color w:val="auto"/>
              </w:rPr>
              <w:t>）性状稳定</w:t>
            </w:r>
            <w:r>
              <w:rPr>
                <w:rFonts w:hint="eastAsia"/>
                <w:color w:val="auto"/>
                <w:lang w:eastAsia="zh-CN"/>
              </w:rPr>
              <w:t>，</w:t>
            </w:r>
            <w:r>
              <w:rPr>
                <w:rFonts w:hint="eastAsia"/>
                <w:color w:val="auto"/>
              </w:rPr>
              <w:t>有机废气主要来自聚醚多元醇、甘油、聚合M</w:t>
            </w:r>
            <w:r>
              <w:rPr>
                <w:color w:val="auto"/>
              </w:rPr>
              <w:t>DI</w:t>
            </w:r>
            <w:r>
              <w:rPr>
                <w:rFonts w:hint="eastAsia"/>
                <w:color w:val="auto"/>
              </w:rPr>
              <w:t>、增塑剂（二丁酯）</w:t>
            </w:r>
            <w:r>
              <w:rPr>
                <w:rStyle w:val="100"/>
                <w:rFonts w:hint="eastAsia"/>
                <w:color w:val="auto"/>
                <w:sz w:val="24"/>
                <w:szCs w:val="24"/>
                <w:lang w:eastAsia="zh-CN"/>
              </w:rPr>
              <w:t>，</w:t>
            </w:r>
            <w:r>
              <w:rPr>
                <w:rFonts w:hint="default" w:ascii="Times New Roman" w:hAnsi="Times New Roman" w:cs="Times New Roman"/>
                <w:color w:val="auto"/>
                <w:sz w:val="24"/>
              </w:rPr>
              <w:t>储罐</w:t>
            </w:r>
            <w:r>
              <w:rPr>
                <w:rFonts w:hint="eastAsia" w:ascii="Times New Roman" w:hAnsi="Times New Roman" w:cs="Times New Roman"/>
                <w:color w:val="auto"/>
                <w:sz w:val="24"/>
                <w:lang w:val="en-US" w:eastAsia="zh-CN"/>
              </w:rPr>
              <w:t>大小呼吸</w:t>
            </w:r>
            <w:r>
              <w:rPr>
                <w:rFonts w:hint="default" w:ascii="Times New Roman" w:hAnsi="Times New Roman" w:cs="Times New Roman"/>
                <w:color w:val="auto"/>
                <w:sz w:val="24"/>
              </w:rPr>
              <w:t>无组织废气参照“关于印发《石化行业VOCs污染源排查工作指南》及《石化企业泄漏检测与修复工作指南的通知》（环办[2015]104号）”中“附件2 石化行业VOCs污染源排查参考计算表格-2.有机液体储存调和VOCs排放量参考计算表”计算出</w:t>
            </w:r>
            <w:r>
              <w:rPr>
                <w:rFonts w:hint="default" w:ascii="Times New Roman" w:hAnsi="Times New Roman" w:cs="Times New Roman"/>
                <w:color w:val="auto"/>
                <w:sz w:val="24"/>
                <w:lang w:val="en-US" w:eastAsia="zh-CN"/>
              </w:rPr>
              <w:t>储</w:t>
            </w:r>
            <w:r>
              <w:rPr>
                <w:rFonts w:hint="default" w:ascii="Times New Roman" w:hAnsi="Times New Roman" w:cs="Times New Roman"/>
                <w:color w:val="auto"/>
                <w:sz w:val="24"/>
              </w:rPr>
              <w:t>罐VOC</w:t>
            </w:r>
            <w:r>
              <w:rPr>
                <w:rFonts w:hint="default" w:ascii="Times New Roman" w:hAnsi="Times New Roman" w:cs="Times New Roman"/>
                <w:color w:val="auto"/>
                <w:sz w:val="24"/>
                <w:vertAlign w:val="subscript"/>
              </w:rPr>
              <w:t>S</w:t>
            </w:r>
            <w:r>
              <w:rPr>
                <w:rFonts w:hint="default" w:ascii="Times New Roman" w:hAnsi="Times New Roman" w:cs="Times New Roman"/>
                <w:color w:val="auto"/>
                <w:sz w:val="24"/>
              </w:rPr>
              <w:t>排放量</w:t>
            </w:r>
            <w:r>
              <w:rPr>
                <w:rFonts w:hint="default" w:ascii="Times New Roman" w:hAnsi="Times New Roman" w:cs="Times New Roman"/>
                <w:color w:val="auto"/>
                <w:sz w:val="24"/>
                <w:highlight w:val="none"/>
              </w:rPr>
              <w:t>为</w:t>
            </w:r>
            <w:r>
              <w:rPr>
                <w:rFonts w:hint="eastAsia" w:ascii="Times New Roman" w:hAnsi="Times New Roman" w:cs="Times New Roman"/>
                <w:color w:val="auto"/>
                <w:sz w:val="24"/>
                <w:highlight w:val="none"/>
                <w:lang w:val="en-US" w:eastAsia="zh-CN"/>
              </w:rPr>
              <w:t>0.6878</w:t>
            </w:r>
            <w:r>
              <w:rPr>
                <w:rFonts w:hint="default" w:ascii="Times New Roman" w:hAnsi="Times New Roman" w:cs="Times New Roman"/>
                <w:color w:val="auto"/>
                <w:sz w:val="24"/>
                <w:highlight w:val="none"/>
              </w:rPr>
              <w:t>t/a；计</w:t>
            </w:r>
            <w:r>
              <w:rPr>
                <w:rFonts w:hint="default" w:ascii="Times New Roman" w:hAnsi="Times New Roman" w:cs="Times New Roman"/>
                <w:color w:val="auto"/>
                <w:sz w:val="24"/>
              </w:rPr>
              <w:t>算参数详见表</w:t>
            </w:r>
            <w:r>
              <w:rPr>
                <w:rFonts w:hint="eastAsia" w:ascii="Times New Roman" w:hAnsi="Times New Roman" w:cs="Times New Roman"/>
                <w:color w:val="auto"/>
                <w:sz w:val="24"/>
                <w:lang w:val="en-US" w:eastAsia="zh-CN"/>
              </w:rPr>
              <w:t>4-3</w:t>
            </w:r>
            <w:r>
              <w:rPr>
                <w:rFonts w:hint="default" w:ascii="Times New Roman" w:hAnsi="Times New Roman" w:cs="Times New Roman"/>
                <w:color w:val="auto"/>
                <w:spacing w:val="-8"/>
                <w:sz w:val="24"/>
                <w:lang w:eastAsia="zh-CN"/>
              </w:rPr>
              <w:t>。</w:t>
            </w:r>
          </w:p>
          <w:p w14:paraId="24F81794">
            <w:pPr>
              <w:pStyle w:val="408"/>
              <w:keepNext w:val="0"/>
              <w:keepLines w:val="0"/>
              <w:pageBreakBefore w:val="0"/>
              <w:widowControl w:val="0"/>
              <w:kinsoku/>
              <w:wordWrap/>
              <w:overflowPunct/>
              <w:topLinePunct w:val="0"/>
              <w:autoSpaceDE/>
              <w:autoSpaceDN/>
              <w:bidi w:val="0"/>
              <w:adjustRightInd/>
              <w:snapToGrid/>
              <w:spacing w:line="480" w:lineRule="exact"/>
              <w:textAlignment w:val="auto"/>
              <w:rPr>
                <w:rFonts w:hint="default" w:ascii="Times New Roman" w:hAnsi="Times New Roman" w:eastAsia="宋体" w:cs="Times New Roman"/>
                <w:b/>
                <w:bCs/>
                <w:color w:val="auto"/>
                <w:sz w:val="24"/>
                <w:szCs w:val="24"/>
              </w:rPr>
            </w:pPr>
            <w:r>
              <w:rPr>
                <w:rFonts w:hint="default" w:ascii="Times New Roman" w:hAnsi="Times New Roman" w:eastAsia="宋体" w:cs="Times New Roman"/>
                <w:b/>
                <w:bCs/>
                <w:color w:val="auto"/>
                <w:sz w:val="24"/>
                <w:szCs w:val="24"/>
              </w:rPr>
              <w:t>表</w:t>
            </w:r>
            <w:r>
              <w:rPr>
                <w:rFonts w:hint="eastAsia" w:ascii="Times New Roman" w:hAnsi="Times New Roman" w:eastAsia="宋体" w:cs="Times New Roman"/>
                <w:b/>
                <w:bCs/>
                <w:color w:val="auto"/>
                <w:sz w:val="24"/>
                <w:szCs w:val="24"/>
                <w:lang w:val="en-US" w:eastAsia="zh-CN"/>
              </w:rPr>
              <w:t>4-3</w:t>
            </w:r>
            <w:r>
              <w:rPr>
                <w:rFonts w:hint="default" w:ascii="Times New Roman" w:hAnsi="Times New Roman" w:eastAsia="宋体" w:cs="Times New Roman"/>
                <w:b/>
                <w:bCs/>
                <w:color w:val="auto"/>
                <w:sz w:val="24"/>
                <w:szCs w:val="24"/>
              </w:rPr>
              <w:t xml:space="preserve">  </w:t>
            </w:r>
            <w:r>
              <w:rPr>
                <w:rFonts w:hint="default" w:ascii="Times New Roman" w:hAnsi="Times New Roman" w:eastAsia="宋体" w:cs="Times New Roman"/>
                <w:b/>
                <w:bCs/>
                <w:color w:val="auto"/>
                <w:sz w:val="24"/>
                <w:szCs w:val="24"/>
                <w:lang w:val="en-US" w:eastAsia="zh-CN"/>
              </w:rPr>
              <w:t>储</w:t>
            </w:r>
            <w:r>
              <w:rPr>
                <w:rFonts w:hint="default" w:ascii="Times New Roman" w:hAnsi="Times New Roman" w:eastAsia="宋体" w:cs="Times New Roman"/>
                <w:b/>
                <w:bCs/>
                <w:color w:val="auto"/>
                <w:sz w:val="24"/>
                <w:szCs w:val="24"/>
              </w:rPr>
              <w:t>罐区储存情况及相关参数</w:t>
            </w:r>
          </w:p>
          <w:tbl>
            <w:tblPr>
              <w:tblStyle w:val="43"/>
              <w:tblW w:w="4997"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28" w:type="dxa"/>
                <w:bottom w:w="0" w:type="dxa"/>
                <w:right w:w="28" w:type="dxa"/>
              </w:tblCellMar>
            </w:tblPr>
            <w:tblGrid>
              <w:gridCol w:w="513"/>
              <w:gridCol w:w="872"/>
              <w:gridCol w:w="1038"/>
              <w:gridCol w:w="977"/>
              <w:gridCol w:w="952"/>
              <w:gridCol w:w="1107"/>
              <w:gridCol w:w="1464"/>
              <w:gridCol w:w="1491"/>
            </w:tblGrid>
            <w:tr w14:paraId="374FE6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20" w:hRule="atLeast"/>
                <w:jc w:val="center"/>
              </w:trPr>
              <w:tc>
                <w:tcPr>
                  <w:tcW w:w="305" w:type="pct"/>
                  <w:noWrap w:val="0"/>
                  <w:vAlign w:val="center"/>
                </w:tcPr>
                <w:p w14:paraId="7E428EB3">
                  <w:pPr>
                    <w:pStyle w:val="409"/>
                    <w:spacing w:line="240" w:lineRule="exac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序号</w:t>
                  </w:r>
                </w:p>
              </w:tc>
              <w:tc>
                <w:tcPr>
                  <w:tcW w:w="518" w:type="pct"/>
                  <w:noWrap w:val="0"/>
                  <w:vAlign w:val="center"/>
                </w:tcPr>
                <w:p w14:paraId="79894FC6">
                  <w:pPr>
                    <w:pStyle w:val="409"/>
                    <w:spacing w:line="240" w:lineRule="exac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物料名称</w:t>
                  </w:r>
                </w:p>
              </w:tc>
              <w:tc>
                <w:tcPr>
                  <w:tcW w:w="616" w:type="pct"/>
                  <w:noWrap w:val="0"/>
                  <w:vAlign w:val="center"/>
                </w:tcPr>
                <w:p w14:paraId="051A9C9E">
                  <w:pPr>
                    <w:pStyle w:val="409"/>
                    <w:spacing w:line="240" w:lineRule="exac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储存方式</w:t>
                  </w:r>
                </w:p>
              </w:tc>
              <w:tc>
                <w:tcPr>
                  <w:tcW w:w="580" w:type="pct"/>
                  <w:noWrap w:val="0"/>
                  <w:vAlign w:val="center"/>
                </w:tcPr>
                <w:p w14:paraId="2391A389">
                  <w:pPr>
                    <w:pStyle w:val="409"/>
                    <w:spacing w:line="240" w:lineRule="exac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容积</w:t>
                  </w:r>
                </w:p>
                <w:p w14:paraId="6FACBE50">
                  <w:pPr>
                    <w:pStyle w:val="409"/>
                    <w:spacing w:line="240" w:lineRule="exac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（m</w:t>
                  </w:r>
                  <w:r>
                    <w:rPr>
                      <w:rFonts w:hint="default" w:ascii="Times New Roman" w:hAnsi="Times New Roman" w:cs="Times New Roman"/>
                      <w:color w:val="auto"/>
                      <w:kern w:val="0"/>
                      <w:sz w:val="21"/>
                      <w:szCs w:val="21"/>
                      <w:highlight w:val="none"/>
                      <w:vertAlign w:val="superscript"/>
                    </w:rPr>
                    <w:t>3</w:t>
                  </w:r>
                  <w:r>
                    <w:rPr>
                      <w:rFonts w:hint="default" w:ascii="Times New Roman" w:hAnsi="Times New Roman" w:cs="Times New Roman"/>
                      <w:color w:val="auto"/>
                      <w:kern w:val="0"/>
                      <w:sz w:val="21"/>
                      <w:szCs w:val="21"/>
                      <w:highlight w:val="none"/>
                    </w:rPr>
                    <w:t>）</w:t>
                  </w:r>
                </w:p>
              </w:tc>
              <w:tc>
                <w:tcPr>
                  <w:tcW w:w="565" w:type="pct"/>
                  <w:noWrap w:val="0"/>
                  <w:vAlign w:val="center"/>
                </w:tcPr>
                <w:p w14:paraId="73B0C2D5">
                  <w:pPr>
                    <w:pStyle w:val="409"/>
                    <w:spacing w:line="240" w:lineRule="exac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储量</w:t>
                  </w:r>
                </w:p>
                <w:p w14:paraId="7BD18390">
                  <w:pPr>
                    <w:pStyle w:val="409"/>
                    <w:spacing w:line="240" w:lineRule="exac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（t/a）</w:t>
                  </w:r>
                </w:p>
              </w:tc>
              <w:tc>
                <w:tcPr>
                  <w:tcW w:w="657" w:type="pct"/>
                  <w:noWrap w:val="0"/>
                  <w:vAlign w:val="center"/>
                </w:tcPr>
                <w:p w14:paraId="6313AE3C">
                  <w:pPr>
                    <w:widowControl/>
                    <w:spacing w:line="240" w:lineRule="exac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bidi="ar"/>
                    </w:rPr>
                    <w:t>密度（t/m</w:t>
                  </w:r>
                  <w:r>
                    <w:rPr>
                      <w:rFonts w:hint="default" w:ascii="Times New Roman" w:hAnsi="Times New Roman" w:cs="Times New Roman"/>
                      <w:color w:val="auto"/>
                      <w:kern w:val="0"/>
                      <w:sz w:val="21"/>
                      <w:szCs w:val="21"/>
                      <w:highlight w:val="none"/>
                      <w:vertAlign w:val="superscript"/>
                      <w:lang w:bidi="ar"/>
                    </w:rPr>
                    <w:t>3</w:t>
                  </w:r>
                  <w:r>
                    <w:rPr>
                      <w:rFonts w:hint="default" w:ascii="Times New Roman" w:hAnsi="Times New Roman" w:cs="Times New Roman"/>
                      <w:color w:val="auto"/>
                      <w:kern w:val="0"/>
                      <w:sz w:val="21"/>
                      <w:szCs w:val="21"/>
                      <w:highlight w:val="none"/>
                      <w:lang w:bidi="ar"/>
                    </w:rPr>
                    <w:t>）</w:t>
                  </w:r>
                </w:p>
              </w:tc>
              <w:tc>
                <w:tcPr>
                  <w:tcW w:w="869" w:type="pct"/>
                  <w:noWrap w:val="0"/>
                  <w:vAlign w:val="center"/>
                </w:tcPr>
                <w:p w14:paraId="7D73B5C4">
                  <w:pPr>
                    <w:widowControl/>
                    <w:spacing w:line="240" w:lineRule="exact"/>
                    <w:jc w:val="center"/>
                    <w:textAlignment w:val="center"/>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lang w:bidi="ar"/>
                    </w:rPr>
                    <w:t>油气摩尔分子质量（g/g-mol）</w:t>
                  </w:r>
                </w:p>
              </w:tc>
              <w:tc>
                <w:tcPr>
                  <w:tcW w:w="885" w:type="pct"/>
                  <w:noWrap w:val="0"/>
                  <w:vAlign w:val="center"/>
                </w:tcPr>
                <w:p w14:paraId="610ACE1F">
                  <w:pPr>
                    <w:pStyle w:val="409"/>
                    <w:spacing w:line="240" w:lineRule="exact"/>
                    <w:rPr>
                      <w:rFonts w:hint="default" w:ascii="Times New Roman" w:hAnsi="Times New Roman" w:cs="Times New Roman"/>
                      <w:color w:val="auto"/>
                      <w:kern w:val="0"/>
                      <w:sz w:val="21"/>
                      <w:szCs w:val="21"/>
                      <w:highlight w:val="none"/>
                    </w:rPr>
                  </w:pPr>
                  <w:r>
                    <w:rPr>
                      <w:rFonts w:hint="default" w:ascii="Times New Roman" w:hAnsi="Times New Roman" w:cs="Times New Roman"/>
                      <w:color w:val="auto"/>
                      <w:kern w:val="0"/>
                      <w:sz w:val="21"/>
                      <w:szCs w:val="21"/>
                      <w:highlight w:val="none"/>
                    </w:rPr>
                    <w:t>真实蒸汽压kpa</w:t>
                  </w:r>
                </w:p>
              </w:tc>
            </w:tr>
            <w:tr w14:paraId="1216CE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80" w:hRule="atLeast"/>
                <w:jc w:val="center"/>
              </w:trPr>
              <w:tc>
                <w:tcPr>
                  <w:tcW w:w="305" w:type="pct"/>
                  <w:noWrap w:val="0"/>
                  <w:vAlign w:val="center"/>
                </w:tcPr>
                <w:p w14:paraId="60CA5477">
                  <w:pPr>
                    <w:pStyle w:val="409"/>
                    <w:spacing w:line="240" w:lineRule="exact"/>
                    <w:rPr>
                      <w:rFonts w:hint="default" w:ascii="Times New Roman" w:hAnsi="Times New Roman" w:eastAsia="宋体" w:cs="Times New Roman"/>
                      <w:color w:val="auto"/>
                      <w:kern w:val="0"/>
                      <w:sz w:val="21"/>
                      <w:szCs w:val="21"/>
                      <w:highlight w:val="none"/>
                      <w:lang w:eastAsia="zh-CN"/>
                    </w:rPr>
                  </w:pPr>
                  <w:r>
                    <w:rPr>
                      <w:rFonts w:hint="default" w:ascii="Times New Roman" w:hAnsi="Times New Roman" w:cs="Times New Roman"/>
                      <w:color w:val="auto"/>
                      <w:kern w:val="0"/>
                      <w:sz w:val="21"/>
                      <w:szCs w:val="21"/>
                      <w:highlight w:val="none"/>
                      <w:lang w:val="en-US" w:eastAsia="zh-CN"/>
                    </w:rPr>
                    <w:t>1</w:t>
                  </w:r>
                </w:p>
              </w:tc>
              <w:tc>
                <w:tcPr>
                  <w:tcW w:w="518" w:type="pct"/>
                  <w:noWrap w:val="0"/>
                  <w:vAlign w:val="center"/>
                </w:tcPr>
                <w:p w14:paraId="609094D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bidi="ar"/>
                    </w:rPr>
                  </w:pPr>
                  <w:r>
                    <w:rPr>
                      <w:rFonts w:hint="eastAsia" w:ascii="宋体" w:hAnsi="宋体" w:eastAsia="宋体" w:cs="宋体"/>
                      <w:i w:val="0"/>
                      <w:iCs w:val="0"/>
                      <w:color w:val="auto"/>
                      <w:kern w:val="0"/>
                      <w:sz w:val="21"/>
                      <w:szCs w:val="21"/>
                      <w:u w:val="none"/>
                      <w:lang w:val="en-US" w:eastAsia="zh-CN" w:bidi="ar"/>
                    </w:rPr>
                    <w:t>多元醇</w:t>
                  </w:r>
                </w:p>
              </w:tc>
              <w:tc>
                <w:tcPr>
                  <w:tcW w:w="616" w:type="pct"/>
                  <w:noWrap w:val="0"/>
                  <w:vAlign w:val="center"/>
                </w:tcPr>
                <w:p w14:paraId="6F5E32A7">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立式固定顶罐</w:t>
                  </w:r>
                </w:p>
              </w:tc>
              <w:tc>
                <w:tcPr>
                  <w:tcW w:w="580" w:type="pct"/>
                  <w:noWrap w:val="0"/>
                  <w:vAlign w:val="center"/>
                </w:tcPr>
                <w:p w14:paraId="7B5E0B0D">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rPr>
                  </w:pPr>
                  <w:r>
                    <w:rPr>
                      <w:rFonts w:hint="default" w:ascii="Times New Roman" w:hAnsi="Times New Roman" w:eastAsia="宋体" w:cs="Times New Roman"/>
                      <w:i w:val="0"/>
                      <w:iCs w:val="0"/>
                      <w:color w:val="auto"/>
                      <w:kern w:val="0"/>
                      <w:sz w:val="21"/>
                      <w:szCs w:val="21"/>
                      <w:u w:val="none"/>
                      <w:lang w:val="en-US" w:eastAsia="zh-CN" w:bidi="ar"/>
                    </w:rPr>
                    <w:t>1</w:t>
                  </w:r>
                </w:p>
              </w:tc>
              <w:tc>
                <w:tcPr>
                  <w:tcW w:w="565" w:type="pct"/>
                  <w:noWrap w:val="0"/>
                  <w:vAlign w:val="center"/>
                </w:tcPr>
                <w:p w14:paraId="223D9111">
                  <w:pPr>
                    <w:pStyle w:val="409"/>
                    <w:spacing w:line="240" w:lineRule="exact"/>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57</w:t>
                  </w:r>
                </w:p>
              </w:tc>
              <w:tc>
                <w:tcPr>
                  <w:tcW w:w="657" w:type="pct"/>
                  <w:noWrap w:val="0"/>
                  <w:vAlign w:val="center"/>
                </w:tcPr>
                <w:p w14:paraId="4DAC014A">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rFonts w:hint="eastAsia"/>
                      <w:color w:val="auto"/>
                      <w:sz w:val="21"/>
                      <w:szCs w:val="21"/>
                    </w:rPr>
                    <w:t>1.</w:t>
                  </w:r>
                  <w:r>
                    <w:rPr>
                      <w:color w:val="auto"/>
                      <w:sz w:val="21"/>
                      <w:szCs w:val="21"/>
                    </w:rPr>
                    <w:t>018</w:t>
                  </w:r>
                </w:p>
              </w:tc>
              <w:tc>
                <w:tcPr>
                  <w:tcW w:w="869" w:type="pct"/>
                  <w:noWrap w:val="0"/>
                  <w:vAlign w:val="center"/>
                </w:tcPr>
                <w:p w14:paraId="198C51F5">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color w:val="auto"/>
                      <w:sz w:val="21"/>
                      <w:szCs w:val="21"/>
                    </w:rPr>
                    <w:t>164.1995</w:t>
                  </w:r>
                </w:p>
              </w:tc>
              <w:tc>
                <w:tcPr>
                  <w:tcW w:w="885" w:type="pct"/>
                  <w:noWrap w:val="0"/>
                  <w:vAlign w:val="center"/>
                </w:tcPr>
                <w:p w14:paraId="08B1E9C4">
                  <w:pPr>
                    <w:widowControl/>
                    <w:spacing w:line="240" w:lineRule="exact"/>
                    <w:jc w:val="center"/>
                    <w:textAlignment w:val="center"/>
                    <w:rPr>
                      <w:rFonts w:hint="default" w:ascii="Times New Roman" w:hAnsi="Times New Roman" w:cs="Times New Roman"/>
                      <w:color w:val="auto"/>
                      <w:sz w:val="21"/>
                      <w:szCs w:val="21"/>
                      <w:highlight w:val="none"/>
                    </w:rPr>
                  </w:pPr>
                  <w:r>
                    <w:rPr>
                      <w:rFonts w:hint="default" w:ascii="Times New Roman" w:hAnsi="Times New Roman" w:cs="Times New Roman"/>
                      <w:color w:val="auto"/>
                      <w:kern w:val="0"/>
                      <w:sz w:val="21"/>
                      <w:szCs w:val="21"/>
                      <w:highlight w:val="none"/>
                      <w:lang w:bidi="ar"/>
                    </w:rPr>
                    <w:t>4.095688564</w:t>
                  </w:r>
                </w:p>
              </w:tc>
            </w:tr>
            <w:tr w14:paraId="56E38C5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80" w:hRule="atLeast"/>
                <w:jc w:val="center"/>
              </w:trPr>
              <w:tc>
                <w:tcPr>
                  <w:tcW w:w="305" w:type="pct"/>
                  <w:noWrap w:val="0"/>
                  <w:vAlign w:val="center"/>
                </w:tcPr>
                <w:p w14:paraId="09C7462B">
                  <w:pPr>
                    <w:pStyle w:val="409"/>
                    <w:spacing w:line="240" w:lineRule="exact"/>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2</w:t>
                  </w:r>
                </w:p>
              </w:tc>
              <w:tc>
                <w:tcPr>
                  <w:tcW w:w="518" w:type="pct"/>
                  <w:noWrap w:val="0"/>
                  <w:vAlign w:val="center"/>
                </w:tcPr>
                <w:p w14:paraId="0EDE591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u w:val="none"/>
                      <w:lang w:val="en-US" w:eastAsia="zh-CN" w:bidi="ar"/>
                    </w:rPr>
                    <w:t>甘油</w:t>
                  </w:r>
                </w:p>
              </w:tc>
              <w:tc>
                <w:tcPr>
                  <w:tcW w:w="616" w:type="pct"/>
                  <w:noWrap w:val="0"/>
                  <w:vAlign w:val="center"/>
                </w:tcPr>
                <w:p w14:paraId="27E4D6C8">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立式固定顶罐</w:t>
                  </w:r>
                </w:p>
              </w:tc>
              <w:tc>
                <w:tcPr>
                  <w:tcW w:w="580" w:type="pct"/>
                  <w:noWrap w:val="0"/>
                  <w:vAlign w:val="center"/>
                </w:tcPr>
                <w:p w14:paraId="072106DB">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10</w:t>
                  </w:r>
                </w:p>
              </w:tc>
              <w:tc>
                <w:tcPr>
                  <w:tcW w:w="565" w:type="pct"/>
                  <w:noWrap w:val="0"/>
                  <w:vAlign w:val="center"/>
                </w:tcPr>
                <w:p w14:paraId="377E7A2B">
                  <w:pPr>
                    <w:pStyle w:val="409"/>
                    <w:spacing w:line="240" w:lineRule="exact"/>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623</w:t>
                  </w:r>
                </w:p>
              </w:tc>
              <w:tc>
                <w:tcPr>
                  <w:tcW w:w="657" w:type="pct"/>
                  <w:noWrap w:val="0"/>
                  <w:vAlign w:val="center"/>
                </w:tcPr>
                <w:p w14:paraId="44DC08DF">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rFonts w:hint="eastAsia"/>
                      <w:color w:val="auto"/>
                      <w:sz w:val="21"/>
                      <w:szCs w:val="21"/>
                    </w:rPr>
                    <w:t>1.26</w:t>
                  </w:r>
                </w:p>
              </w:tc>
              <w:tc>
                <w:tcPr>
                  <w:tcW w:w="869" w:type="pct"/>
                  <w:noWrap w:val="0"/>
                  <w:vAlign w:val="center"/>
                </w:tcPr>
                <w:p w14:paraId="7374C24D">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color w:val="auto"/>
                      <w:sz w:val="21"/>
                      <w:szCs w:val="21"/>
                    </w:rPr>
                    <w:t>92.09</w:t>
                  </w:r>
                </w:p>
              </w:tc>
              <w:tc>
                <w:tcPr>
                  <w:tcW w:w="885" w:type="pct"/>
                  <w:noWrap w:val="0"/>
                  <w:vAlign w:val="center"/>
                </w:tcPr>
                <w:p w14:paraId="74905A5D">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4.095688564</w:t>
                  </w:r>
                </w:p>
              </w:tc>
            </w:tr>
            <w:tr w14:paraId="1CE0397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80" w:hRule="atLeast"/>
                <w:jc w:val="center"/>
              </w:trPr>
              <w:tc>
                <w:tcPr>
                  <w:tcW w:w="305" w:type="pct"/>
                  <w:noWrap w:val="0"/>
                  <w:vAlign w:val="center"/>
                </w:tcPr>
                <w:p w14:paraId="0A8150DF">
                  <w:pPr>
                    <w:pStyle w:val="409"/>
                    <w:spacing w:line="240" w:lineRule="exact"/>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3</w:t>
                  </w:r>
                </w:p>
              </w:tc>
              <w:tc>
                <w:tcPr>
                  <w:tcW w:w="518" w:type="pct"/>
                  <w:noWrap w:val="0"/>
                  <w:vAlign w:val="center"/>
                </w:tcPr>
                <w:p w14:paraId="63CF7AE3">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u w:val="none"/>
                      <w:lang w:val="en-US" w:eastAsia="zh-CN" w:bidi="ar"/>
                    </w:rPr>
                    <w:t>聚合</w:t>
                  </w:r>
                  <w:r>
                    <w:rPr>
                      <w:rFonts w:hint="default" w:ascii="Times New Roman" w:hAnsi="Times New Roman" w:eastAsia="宋体" w:cs="Times New Roman"/>
                      <w:i w:val="0"/>
                      <w:iCs w:val="0"/>
                      <w:color w:val="auto"/>
                      <w:kern w:val="0"/>
                      <w:sz w:val="21"/>
                      <w:szCs w:val="21"/>
                      <w:u w:val="none"/>
                      <w:lang w:val="en-US" w:eastAsia="zh-CN" w:bidi="ar"/>
                    </w:rPr>
                    <w:t>MDI</w:t>
                  </w:r>
                </w:p>
              </w:tc>
              <w:tc>
                <w:tcPr>
                  <w:tcW w:w="616" w:type="pct"/>
                  <w:noWrap w:val="0"/>
                  <w:vAlign w:val="center"/>
                </w:tcPr>
                <w:p w14:paraId="6AB4B44F">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立式固定顶罐</w:t>
                  </w:r>
                </w:p>
              </w:tc>
              <w:tc>
                <w:tcPr>
                  <w:tcW w:w="580" w:type="pct"/>
                  <w:noWrap w:val="0"/>
                  <w:vAlign w:val="center"/>
                </w:tcPr>
                <w:p w14:paraId="7C53C34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20</w:t>
                  </w:r>
                </w:p>
              </w:tc>
              <w:tc>
                <w:tcPr>
                  <w:tcW w:w="565" w:type="pct"/>
                  <w:noWrap w:val="0"/>
                  <w:vAlign w:val="center"/>
                </w:tcPr>
                <w:p w14:paraId="13776B7E">
                  <w:pPr>
                    <w:pStyle w:val="409"/>
                    <w:spacing w:line="240" w:lineRule="exact"/>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853.496</w:t>
                  </w:r>
                </w:p>
              </w:tc>
              <w:tc>
                <w:tcPr>
                  <w:tcW w:w="657" w:type="pct"/>
                  <w:noWrap w:val="0"/>
                  <w:vAlign w:val="center"/>
                </w:tcPr>
                <w:p w14:paraId="4EA7F031">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rFonts w:hint="eastAsia"/>
                      <w:color w:val="auto"/>
                      <w:sz w:val="21"/>
                      <w:szCs w:val="21"/>
                    </w:rPr>
                    <w:t>1.18</w:t>
                  </w:r>
                </w:p>
              </w:tc>
              <w:tc>
                <w:tcPr>
                  <w:tcW w:w="869" w:type="pct"/>
                  <w:noWrap w:val="0"/>
                  <w:vAlign w:val="center"/>
                </w:tcPr>
                <w:p w14:paraId="662E0616">
                  <w:pPr>
                    <w:widowControl/>
                    <w:spacing w:line="240" w:lineRule="exact"/>
                    <w:jc w:val="center"/>
                    <w:textAlignment w:val="center"/>
                    <w:rPr>
                      <w:rFonts w:hint="default" w:ascii="Times New Roman" w:hAnsi="Times New Roman" w:eastAsia="宋体" w:cs="Times New Roman"/>
                      <w:color w:val="auto"/>
                      <w:kern w:val="0"/>
                      <w:sz w:val="21"/>
                      <w:szCs w:val="21"/>
                      <w:highlight w:val="none"/>
                      <w:lang w:val="en-US" w:eastAsia="zh-CN" w:bidi="ar"/>
                    </w:rPr>
                  </w:pPr>
                  <w:r>
                    <w:rPr>
                      <w:rFonts w:hint="eastAsia" w:ascii="Times New Roman" w:hAnsi="Times New Roman" w:cs="Times New Roman"/>
                      <w:color w:val="auto"/>
                      <w:kern w:val="0"/>
                      <w:sz w:val="21"/>
                      <w:szCs w:val="21"/>
                      <w:highlight w:val="none"/>
                      <w:lang w:val="en-US" w:eastAsia="zh-CN" w:bidi="ar"/>
                    </w:rPr>
                    <w:t>350</w:t>
                  </w:r>
                </w:p>
              </w:tc>
              <w:tc>
                <w:tcPr>
                  <w:tcW w:w="885" w:type="pct"/>
                  <w:noWrap w:val="0"/>
                  <w:vAlign w:val="center"/>
                </w:tcPr>
                <w:p w14:paraId="2FDBDD27">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4.095688564</w:t>
                  </w:r>
                </w:p>
              </w:tc>
            </w:tr>
            <w:tr w14:paraId="7557D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28" w:type="dxa"/>
                  <w:bottom w:w="0" w:type="dxa"/>
                  <w:right w:w="28" w:type="dxa"/>
                </w:tblCellMar>
              </w:tblPrEx>
              <w:trPr>
                <w:trHeight w:val="780" w:hRule="atLeast"/>
                <w:jc w:val="center"/>
              </w:trPr>
              <w:tc>
                <w:tcPr>
                  <w:tcW w:w="305" w:type="pct"/>
                  <w:noWrap w:val="0"/>
                  <w:vAlign w:val="center"/>
                </w:tcPr>
                <w:p w14:paraId="3EC14BC3">
                  <w:pPr>
                    <w:pStyle w:val="409"/>
                    <w:spacing w:line="240" w:lineRule="exact"/>
                    <w:rPr>
                      <w:rFonts w:hint="default" w:ascii="Times New Roman" w:hAnsi="Times New Roman" w:cs="Times New Roman"/>
                      <w:color w:val="auto"/>
                      <w:kern w:val="0"/>
                      <w:sz w:val="21"/>
                      <w:szCs w:val="21"/>
                      <w:highlight w:val="none"/>
                      <w:lang w:val="en-US" w:eastAsia="zh-CN"/>
                    </w:rPr>
                  </w:pPr>
                  <w:r>
                    <w:rPr>
                      <w:rFonts w:hint="eastAsia" w:ascii="Times New Roman" w:hAnsi="Times New Roman" w:cs="Times New Roman"/>
                      <w:color w:val="auto"/>
                      <w:kern w:val="0"/>
                      <w:sz w:val="21"/>
                      <w:szCs w:val="21"/>
                      <w:highlight w:val="none"/>
                      <w:lang w:val="en-US" w:eastAsia="zh-CN"/>
                    </w:rPr>
                    <w:t>4</w:t>
                  </w:r>
                </w:p>
              </w:tc>
              <w:tc>
                <w:tcPr>
                  <w:tcW w:w="518" w:type="pct"/>
                  <w:noWrap w:val="0"/>
                  <w:vAlign w:val="center"/>
                </w:tcPr>
                <w:p w14:paraId="590A6E40">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bidi="ar"/>
                    </w:rPr>
                  </w:pPr>
                  <w:r>
                    <w:rPr>
                      <w:rFonts w:hint="eastAsia" w:ascii="宋体" w:hAnsi="宋体" w:eastAsia="宋体" w:cs="宋体"/>
                      <w:i w:val="0"/>
                      <w:iCs w:val="0"/>
                      <w:color w:val="auto"/>
                      <w:kern w:val="0"/>
                      <w:sz w:val="21"/>
                      <w:szCs w:val="21"/>
                      <w:u w:val="none"/>
                      <w:lang w:val="en-US" w:eastAsia="zh-CN" w:bidi="ar"/>
                    </w:rPr>
                    <w:t>增塑剂（二丁酯）</w:t>
                  </w:r>
                </w:p>
              </w:tc>
              <w:tc>
                <w:tcPr>
                  <w:tcW w:w="616" w:type="pct"/>
                  <w:noWrap w:val="0"/>
                  <w:vAlign w:val="center"/>
                </w:tcPr>
                <w:p w14:paraId="5A89B419">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立式固定顶罐</w:t>
                  </w:r>
                </w:p>
              </w:tc>
              <w:tc>
                <w:tcPr>
                  <w:tcW w:w="580" w:type="pct"/>
                  <w:noWrap w:val="0"/>
                  <w:vAlign w:val="center"/>
                </w:tcPr>
                <w:p w14:paraId="5D41CBA1">
                  <w:pPr>
                    <w:keepNext w:val="0"/>
                    <w:keepLines w:val="0"/>
                    <w:widowControl/>
                    <w:suppressLineNumbers w:val="0"/>
                    <w:jc w:val="center"/>
                    <w:textAlignment w:val="center"/>
                    <w:rPr>
                      <w:rFonts w:hint="default" w:ascii="Times New Roman" w:hAnsi="Times New Roman" w:cs="Times New Roman"/>
                      <w:color w:val="auto"/>
                      <w:kern w:val="0"/>
                      <w:sz w:val="21"/>
                      <w:szCs w:val="21"/>
                      <w:highlight w:val="none"/>
                      <w:lang w:val="en-US" w:eastAsia="zh-CN"/>
                    </w:rPr>
                  </w:pPr>
                  <w:r>
                    <w:rPr>
                      <w:rFonts w:hint="default" w:ascii="Times New Roman" w:hAnsi="Times New Roman" w:eastAsia="宋体" w:cs="Times New Roman"/>
                      <w:i w:val="0"/>
                      <w:iCs w:val="0"/>
                      <w:color w:val="auto"/>
                      <w:kern w:val="0"/>
                      <w:sz w:val="21"/>
                      <w:szCs w:val="21"/>
                      <w:u w:val="none"/>
                      <w:lang w:val="en-US" w:eastAsia="zh-CN" w:bidi="ar"/>
                    </w:rPr>
                    <w:t>1</w:t>
                  </w:r>
                </w:p>
              </w:tc>
              <w:tc>
                <w:tcPr>
                  <w:tcW w:w="565" w:type="pct"/>
                  <w:noWrap w:val="0"/>
                  <w:vAlign w:val="center"/>
                </w:tcPr>
                <w:p w14:paraId="3606036A">
                  <w:pPr>
                    <w:pStyle w:val="409"/>
                    <w:spacing w:line="240" w:lineRule="exact"/>
                    <w:rPr>
                      <w:rFonts w:hint="default" w:ascii="Times New Roman" w:hAnsi="Times New Roman" w:eastAsia="宋体" w:cs="Times New Roman"/>
                      <w:color w:val="auto"/>
                      <w:kern w:val="0"/>
                      <w:sz w:val="21"/>
                      <w:szCs w:val="21"/>
                      <w:highlight w:val="none"/>
                      <w:lang w:val="en-US" w:eastAsia="zh-CN"/>
                    </w:rPr>
                  </w:pPr>
                  <w:r>
                    <w:rPr>
                      <w:rFonts w:hint="eastAsia" w:ascii="Times New Roman" w:hAnsi="Times New Roman" w:eastAsia="宋体" w:cs="Times New Roman"/>
                      <w:color w:val="auto"/>
                      <w:kern w:val="0"/>
                      <w:sz w:val="21"/>
                      <w:szCs w:val="21"/>
                      <w:highlight w:val="none"/>
                      <w:lang w:val="en-US" w:eastAsia="zh-CN"/>
                    </w:rPr>
                    <w:t>50.498</w:t>
                  </w:r>
                </w:p>
              </w:tc>
              <w:tc>
                <w:tcPr>
                  <w:tcW w:w="657" w:type="pct"/>
                  <w:noWrap w:val="0"/>
                  <w:vAlign w:val="center"/>
                </w:tcPr>
                <w:p w14:paraId="196F33B3">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color w:val="auto"/>
                      <w:sz w:val="21"/>
                      <w:szCs w:val="21"/>
                    </w:rPr>
                    <w:t>1.05</w:t>
                  </w:r>
                </w:p>
              </w:tc>
              <w:tc>
                <w:tcPr>
                  <w:tcW w:w="869" w:type="pct"/>
                  <w:noWrap w:val="0"/>
                  <w:vAlign w:val="center"/>
                </w:tcPr>
                <w:p w14:paraId="24A98661">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color w:val="auto"/>
                      <w:sz w:val="21"/>
                      <w:szCs w:val="21"/>
                      <w:shd w:val="clear" w:color="auto" w:fill="FFFFFF"/>
                    </w:rPr>
                    <w:t>278.344</w:t>
                  </w:r>
                </w:p>
              </w:tc>
              <w:tc>
                <w:tcPr>
                  <w:tcW w:w="885" w:type="pct"/>
                  <w:noWrap w:val="0"/>
                  <w:vAlign w:val="center"/>
                </w:tcPr>
                <w:p w14:paraId="691B8BC5">
                  <w:pPr>
                    <w:widowControl/>
                    <w:spacing w:line="240" w:lineRule="exact"/>
                    <w:jc w:val="center"/>
                    <w:textAlignment w:val="center"/>
                    <w:rPr>
                      <w:rFonts w:hint="default" w:ascii="Times New Roman" w:hAnsi="Times New Roman" w:cs="Times New Roman"/>
                      <w:color w:val="auto"/>
                      <w:kern w:val="0"/>
                      <w:sz w:val="21"/>
                      <w:szCs w:val="21"/>
                      <w:highlight w:val="none"/>
                      <w:lang w:bidi="ar"/>
                    </w:rPr>
                  </w:pPr>
                  <w:r>
                    <w:rPr>
                      <w:rFonts w:hint="default" w:ascii="Times New Roman" w:hAnsi="Times New Roman" w:cs="Times New Roman"/>
                      <w:color w:val="auto"/>
                      <w:kern w:val="0"/>
                      <w:sz w:val="21"/>
                      <w:szCs w:val="21"/>
                      <w:highlight w:val="none"/>
                      <w:lang w:bidi="ar"/>
                    </w:rPr>
                    <w:t>4.095688564</w:t>
                  </w:r>
                </w:p>
              </w:tc>
            </w:tr>
          </w:tbl>
          <w:p w14:paraId="643AAC58">
            <w:pPr>
              <w:adjustRightInd w:val="0"/>
              <w:snapToGrid w:val="0"/>
              <w:spacing w:line="500" w:lineRule="exact"/>
              <w:ind w:firstLine="480" w:firstLineChars="200"/>
              <w:rPr>
                <w:color w:val="auto"/>
                <w:sz w:val="24"/>
                <w:szCs w:val="24"/>
              </w:rPr>
            </w:pPr>
            <w:r>
              <w:rPr>
                <w:rFonts w:hint="eastAsia"/>
                <w:color w:val="auto"/>
                <w:sz w:val="24"/>
                <w:szCs w:val="24"/>
              </w:rPr>
              <w:t>本项目物料卸车、储存过程中的VOCs总产生量为</w:t>
            </w:r>
            <w:r>
              <w:rPr>
                <w:rFonts w:hint="eastAsia"/>
                <w:color w:val="auto"/>
                <w:sz w:val="24"/>
                <w:szCs w:val="24"/>
                <w:lang w:val="en-US" w:eastAsia="zh-CN"/>
              </w:rPr>
              <w:t>0.6878</w:t>
            </w:r>
            <w:r>
              <w:rPr>
                <w:rFonts w:hint="eastAsia"/>
                <w:color w:val="auto"/>
                <w:sz w:val="24"/>
                <w:szCs w:val="24"/>
              </w:rPr>
              <w:t>t/a</w:t>
            </w:r>
            <w:r>
              <w:rPr>
                <w:rFonts w:hint="eastAsia"/>
                <w:color w:val="auto"/>
                <w:sz w:val="24"/>
                <w:szCs w:val="24"/>
                <w:lang w:eastAsia="zh-CN"/>
              </w:rPr>
              <w:t>，</w:t>
            </w:r>
            <w:r>
              <w:rPr>
                <w:rFonts w:hint="eastAsia"/>
                <w:color w:val="auto"/>
                <w:sz w:val="24"/>
                <w:szCs w:val="24"/>
              </w:rPr>
              <w:t>产生速率为</w:t>
            </w:r>
            <w:r>
              <w:rPr>
                <w:rFonts w:hint="eastAsia"/>
                <w:color w:val="auto"/>
                <w:sz w:val="24"/>
                <w:szCs w:val="24"/>
                <w:lang w:val="en-US" w:eastAsia="zh-CN"/>
              </w:rPr>
              <w:t>0.29</w:t>
            </w:r>
            <w:r>
              <w:rPr>
                <w:rFonts w:hint="eastAsia"/>
                <w:color w:val="auto"/>
                <w:sz w:val="24"/>
                <w:szCs w:val="24"/>
              </w:rPr>
              <w:t>kg</w:t>
            </w:r>
            <w:r>
              <w:rPr>
                <w:color w:val="auto"/>
                <w:sz w:val="24"/>
                <w:szCs w:val="24"/>
              </w:rPr>
              <w:t>/</w:t>
            </w:r>
            <w:r>
              <w:rPr>
                <w:rFonts w:hint="eastAsia"/>
                <w:color w:val="auto"/>
                <w:sz w:val="24"/>
                <w:szCs w:val="24"/>
              </w:rPr>
              <w:t>h。本项目物料卸车、转运、输送过程</w:t>
            </w:r>
            <w:r>
              <w:rPr>
                <w:color w:val="auto"/>
                <w:sz w:val="24"/>
                <w:szCs w:val="24"/>
              </w:rPr>
              <w:t>采用密闭管道</w:t>
            </w:r>
            <w:r>
              <w:rPr>
                <w:rFonts w:hint="eastAsia"/>
                <w:color w:val="auto"/>
                <w:sz w:val="24"/>
                <w:szCs w:val="24"/>
              </w:rPr>
              <w:t>、</w:t>
            </w:r>
            <w:r>
              <w:rPr>
                <w:color w:val="auto"/>
                <w:sz w:val="24"/>
                <w:szCs w:val="24"/>
              </w:rPr>
              <w:t>密闭容器</w:t>
            </w:r>
            <w:r>
              <w:rPr>
                <w:rFonts w:hint="eastAsia"/>
                <w:color w:val="auto"/>
                <w:sz w:val="24"/>
                <w:szCs w:val="24"/>
                <w:lang w:eastAsia="zh-CN"/>
              </w:rPr>
              <w:t>，</w:t>
            </w:r>
            <w:r>
              <w:rPr>
                <w:rFonts w:hint="eastAsia"/>
                <w:color w:val="auto"/>
                <w:sz w:val="24"/>
                <w:szCs w:val="24"/>
              </w:rPr>
              <w:t>储罐大小呼吸产生的废气经管道密闭收集后</w:t>
            </w:r>
            <w:r>
              <w:rPr>
                <w:rFonts w:hint="eastAsia"/>
                <w:color w:val="auto"/>
                <w:sz w:val="24"/>
                <w:szCs w:val="24"/>
                <w:lang w:eastAsia="zh-CN"/>
              </w:rPr>
              <w:t>，</w:t>
            </w:r>
            <w:r>
              <w:rPr>
                <w:rFonts w:hint="eastAsia"/>
                <w:color w:val="auto"/>
                <w:sz w:val="24"/>
                <w:szCs w:val="24"/>
              </w:rPr>
              <w:t>全部送厂区活性炭吸附装置进行处理</w:t>
            </w:r>
            <w:r>
              <w:rPr>
                <w:rFonts w:hint="eastAsia"/>
                <w:color w:val="auto"/>
                <w:sz w:val="24"/>
                <w:szCs w:val="24"/>
                <w:lang w:eastAsia="zh-CN"/>
              </w:rPr>
              <w:t>，</w:t>
            </w:r>
            <w:r>
              <w:rPr>
                <w:rFonts w:hint="eastAsia"/>
                <w:color w:val="auto"/>
                <w:sz w:val="24"/>
                <w:szCs w:val="24"/>
              </w:rPr>
              <w:t>处理后经1</w:t>
            </w:r>
            <w:r>
              <w:rPr>
                <w:color w:val="auto"/>
                <w:sz w:val="24"/>
                <w:szCs w:val="24"/>
              </w:rPr>
              <w:t>5</w:t>
            </w:r>
            <w:r>
              <w:rPr>
                <w:rFonts w:hint="eastAsia"/>
                <w:color w:val="auto"/>
                <w:sz w:val="24"/>
                <w:szCs w:val="24"/>
              </w:rPr>
              <w:t>m高排气筒（D</w:t>
            </w:r>
            <w:r>
              <w:rPr>
                <w:color w:val="auto"/>
                <w:sz w:val="24"/>
                <w:szCs w:val="24"/>
              </w:rPr>
              <w:t>A001</w:t>
            </w:r>
            <w:r>
              <w:rPr>
                <w:rFonts w:hint="eastAsia"/>
                <w:color w:val="auto"/>
                <w:sz w:val="24"/>
                <w:szCs w:val="24"/>
              </w:rPr>
              <w:t>）排放</w:t>
            </w:r>
            <w:r>
              <w:rPr>
                <w:rFonts w:hint="eastAsia"/>
                <w:color w:val="auto"/>
                <w:sz w:val="24"/>
                <w:szCs w:val="24"/>
                <w:lang w:eastAsia="zh-CN"/>
              </w:rPr>
              <w:t>，</w:t>
            </w:r>
            <w:r>
              <w:rPr>
                <w:rFonts w:hint="eastAsia"/>
                <w:color w:val="auto"/>
                <w:sz w:val="24"/>
                <w:szCs w:val="24"/>
              </w:rPr>
              <w:t>风机风量</w:t>
            </w:r>
            <w:r>
              <w:rPr>
                <w:rFonts w:hint="eastAsia"/>
                <w:color w:val="auto"/>
                <w:sz w:val="24"/>
                <w:szCs w:val="24"/>
                <w:lang w:val="en-US" w:eastAsia="zh-CN"/>
              </w:rPr>
              <w:t>4</w:t>
            </w:r>
            <w:r>
              <w:rPr>
                <w:color w:val="auto"/>
                <w:sz w:val="24"/>
                <w:szCs w:val="24"/>
              </w:rPr>
              <w:t>000</w:t>
            </w:r>
            <w:r>
              <w:rPr>
                <w:rFonts w:hint="eastAsia"/>
                <w:color w:val="auto"/>
                <w:sz w:val="24"/>
                <w:szCs w:val="24"/>
              </w:rPr>
              <w:t>m</w:t>
            </w:r>
            <w:r>
              <w:rPr>
                <w:color w:val="auto"/>
                <w:sz w:val="24"/>
                <w:szCs w:val="24"/>
                <w:vertAlign w:val="superscript"/>
              </w:rPr>
              <w:t>3</w:t>
            </w:r>
            <w:r>
              <w:rPr>
                <w:color w:val="auto"/>
                <w:sz w:val="24"/>
                <w:szCs w:val="24"/>
              </w:rPr>
              <w:t>/</w:t>
            </w:r>
            <w:r>
              <w:rPr>
                <w:rFonts w:hint="eastAsia"/>
                <w:color w:val="auto"/>
                <w:sz w:val="24"/>
                <w:szCs w:val="24"/>
              </w:rPr>
              <w:t>h</w:t>
            </w:r>
            <w:r>
              <w:rPr>
                <w:rFonts w:hint="eastAsia"/>
                <w:color w:val="auto"/>
                <w:sz w:val="24"/>
                <w:szCs w:val="24"/>
                <w:lang w:eastAsia="zh-CN"/>
              </w:rPr>
              <w:t>，</w:t>
            </w:r>
            <w:r>
              <w:rPr>
                <w:rFonts w:hint="eastAsia"/>
                <w:color w:val="auto"/>
                <w:sz w:val="24"/>
                <w:szCs w:val="24"/>
              </w:rPr>
              <w:t>废气收集效率按</w:t>
            </w:r>
            <w:r>
              <w:rPr>
                <w:color w:val="auto"/>
                <w:sz w:val="24"/>
                <w:szCs w:val="24"/>
              </w:rPr>
              <w:t>95</w:t>
            </w:r>
            <w:r>
              <w:rPr>
                <w:rFonts w:hint="eastAsia"/>
                <w:color w:val="auto"/>
                <w:sz w:val="24"/>
                <w:szCs w:val="24"/>
              </w:rPr>
              <w:t>%计</w:t>
            </w:r>
            <w:r>
              <w:rPr>
                <w:rFonts w:hint="eastAsia"/>
                <w:color w:val="auto"/>
                <w:sz w:val="24"/>
                <w:szCs w:val="24"/>
                <w:lang w:eastAsia="zh-CN"/>
              </w:rPr>
              <w:t>，</w:t>
            </w:r>
            <w:r>
              <w:rPr>
                <w:rFonts w:hint="eastAsia"/>
                <w:color w:val="auto"/>
                <w:sz w:val="24"/>
                <w:szCs w:val="24"/>
              </w:rPr>
              <w:t>处理效率按8</w:t>
            </w:r>
            <w:r>
              <w:rPr>
                <w:color w:val="auto"/>
                <w:sz w:val="24"/>
                <w:szCs w:val="24"/>
              </w:rPr>
              <w:t>0</w:t>
            </w:r>
            <w:r>
              <w:rPr>
                <w:rFonts w:hint="eastAsia"/>
                <w:color w:val="auto"/>
                <w:sz w:val="24"/>
                <w:szCs w:val="24"/>
              </w:rPr>
              <w:t>%计算</w:t>
            </w:r>
            <w:r>
              <w:rPr>
                <w:rFonts w:hint="eastAsia"/>
                <w:color w:val="auto"/>
                <w:sz w:val="24"/>
                <w:szCs w:val="24"/>
                <w:lang w:eastAsia="zh-CN"/>
              </w:rPr>
              <w:t>，</w:t>
            </w:r>
            <w:r>
              <w:rPr>
                <w:rFonts w:hint="eastAsia"/>
                <w:color w:val="auto"/>
                <w:sz w:val="24"/>
                <w:szCs w:val="24"/>
              </w:rPr>
              <w:t>VOCs有组织排放量为0</w:t>
            </w:r>
            <w:r>
              <w:rPr>
                <w:color w:val="auto"/>
                <w:sz w:val="24"/>
                <w:szCs w:val="24"/>
              </w:rPr>
              <w:t>.</w:t>
            </w:r>
            <w:r>
              <w:rPr>
                <w:rFonts w:hint="eastAsia"/>
                <w:color w:val="auto"/>
                <w:sz w:val="24"/>
                <w:szCs w:val="24"/>
                <w:lang w:val="en-US" w:eastAsia="zh-CN"/>
              </w:rPr>
              <w:t>13</w:t>
            </w:r>
            <w:r>
              <w:rPr>
                <w:rFonts w:hint="eastAsia"/>
                <w:color w:val="auto"/>
                <w:sz w:val="24"/>
                <w:szCs w:val="24"/>
              </w:rPr>
              <w:t>t</w:t>
            </w:r>
            <w:r>
              <w:rPr>
                <w:color w:val="auto"/>
                <w:sz w:val="24"/>
                <w:szCs w:val="24"/>
              </w:rPr>
              <w:t>/</w:t>
            </w:r>
            <w:r>
              <w:rPr>
                <w:rFonts w:hint="eastAsia"/>
                <w:color w:val="auto"/>
                <w:sz w:val="24"/>
                <w:szCs w:val="24"/>
              </w:rPr>
              <w:t>a</w:t>
            </w:r>
            <w:r>
              <w:rPr>
                <w:rFonts w:hint="eastAsia"/>
                <w:color w:val="auto"/>
                <w:sz w:val="24"/>
                <w:szCs w:val="24"/>
                <w:lang w:eastAsia="zh-CN"/>
              </w:rPr>
              <w:t>，</w:t>
            </w:r>
            <w:r>
              <w:rPr>
                <w:rFonts w:hint="eastAsia"/>
                <w:color w:val="auto"/>
                <w:sz w:val="24"/>
                <w:szCs w:val="24"/>
              </w:rPr>
              <w:t>排放速率为0.</w:t>
            </w:r>
            <w:r>
              <w:rPr>
                <w:rFonts w:hint="eastAsia"/>
                <w:color w:val="auto"/>
                <w:sz w:val="24"/>
                <w:szCs w:val="24"/>
                <w:lang w:val="en-US" w:eastAsia="zh-CN"/>
              </w:rPr>
              <w:t>05</w:t>
            </w:r>
            <w:r>
              <w:rPr>
                <w:rFonts w:hint="eastAsia"/>
                <w:color w:val="auto"/>
                <w:sz w:val="24"/>
                <w:szCs w:val="24"/>
              </w:rPr>
              <w:t>kg</w:t>
            </w:r>
            <w:r>
              <w:rPr>
                <w:color w:val="auto"/>
                <w:sz w:val="24"/>
                <w:szCs w:val="24"/>
              </w:rPr>
              <w:t>/</w:t>
            </w:r>
            <w:r>
              <w:rPr>
                <w:rFonts w:hint="eastAsia"/>
                <w:color w:val="auto"/>
                <w:sz w:val="24"/>
                <w:szCs w:val="24"/>
              </w:rPr>
              <w:t>h</w:t>
            </w:r>
            <w:r>
              <w:rPr>
                <w:rFonts w:hint="eastAsia"/>
                <w:color w:val="auto"/>
                <w:sz w:val="24"/>
                <w:szCs w:val="24"/>
                <w:lang w:eastAsia="zh-CN"/>
              </w:rPr>
              <w:t>，</w:t>
            </w:r>
            <w:r>
              <w:rPr>
                <w:rFonts w:hint="eastAsia"/>
                <w:color w:val="auto"/>
                <w:sz w:val="24"/>
                <w:szCs w:val="24"/>
              </w:rPr>
              <w:t>排放浓度为</w:t>
            </w:r>
            <w:r>
              <w:rPr>
                <w:rFonts w:hint="eastAsia"/>
                <w:color w:val="auto"/>
                <w:sz w:val="24"/>
                <w:szCs w:val="24"/>
                <w:lang w:val="en-US" w:eastAsia="zh-CN"/>
              </w:rPr>
              <w:t>13.61</w:t>
            </w:r>
            <w:r>
              <w:rPr>
                <w:rFonts w:hint="eastAsia"/>
                <w:color w:val="auto"/>
                <w:sz w:val="24"/>
                <w:szCs w:val="24"/>
              </w:rPr>
              <w:t>mg</w:t>
            </w:r>
            <w:r>
              <w:rPr>
                <w:color w:val="auto"/>
                <w:sz w:val="24"/>
                <w:szCs w:val="24"/>
              </w:rPr>
              <w:t>/</w:t>
            </w:r>
            <w:r>
              <w:rPr>
                <w:rFonts w:hint="eastAsia"/>
                <w:color w:val="auto"/>
                <w:sz w:val="24"/>
                <w:szCs w:val="24"/>
              </w:rPr>
              <w:t>m</w:t>
            </w:r>
            <w:r>
              <w:rPr>
                <w:color w:val="auto"/>
                <w:sz w:val="24"/>
                <w:szCs w:val="24"/>
                <w:vertAlign w:val="superscript"/>
              </w:rPr>
              <w:t>3</w:t>
            </w:r>
            <w:r>
              <w:rPr>
                <w:rFonts w:hint="eastAsia"/>
                <w:color w:val="auto"/>
                <w:sz w:val="24"/>
                <w:szCs w:val="24"/>
                <w:lang w:eastAsia="zh-CN"/>
              </w:rPr>
              <w:t>，</w:t>
            </w:r>
            <w:r>
              <w:rPr>
                <w:rFonts w:hint="eastAsia"/>
                <w:color w:val="auto"/>
                <w:sz w:val="24"/>
                <w:szCs w:val="24"/>
              </w:rPr>
              <w:t>满足</w:t>
            </w:r>
            <w:r>
              <w:rPr>
                <w:color w:val="auto"/>
                <w:sz w:val="24"/>
                <w:szCs w:val="24"/>
              </w:rPr>
              <w:t>《大气污染物综合排放标准》（GB16297-1996）</w:t>
            </w:r>
            <w:r>
              <w:rPr>
                <w:rFonts w:hint="eastAsia"/>
                <w:color w:val="auto"/>
                <w:sz w:val="24"/>
                <w:szCs w:val="24"/>
              </w:rPr>
              <w:t>表2</w:t>
            </w:r>
            <w:r>
              <w:rPr>
                <w:color w:val="auto"/>
                <w:sz w:val="24"/>
                <w:szCs w:val="24"/>
              </w:rPr>
              <w:t>中</w:t>
            </w:r>
            <w:r>
              <w:rPr>
                <w:rFonts w:hint="eastAsia"/>
                <w:color w:val="auto"/>
                <w:sz w:val="24"/>
                <w:szCs w:val="24"/>
              </w:rPr>
              <w:t>二级标准限值要求。</w:t>
            </w:r>
          </w:p>
          <w:p w14:paraId="2AF3766B">
            <w:pPr>
              <w:pStyle w:val="102"/>
              <w:ind w:firstLine="480"/>
              <w:rPr>
                <w:color w:val="auto"/>
                <w:highlight w:val="none"/>
              </w:rPr>
            </w:pPr>
            <w:r>
              <w:rPr>
                <w:rFonts w:hint="eastAsia"/>
                <w:color w:val="auto"/>
                <w:sz w:val="24"/>
                <w:szCs w:val="24"/>
              </w:rPr>
              <w:t>无组织V</w:t>
            </w:r>
            <w:r>
              <w:rPr>
                <w:color w:val="auto"/>
                <w:sz w:val="24"/>
                <w:szCs w:val="24"/>
              </w:rPr>
              <w:t>OC</w:t>
            </w:r>
            <w:r>
              <w:rPr>
                <w:rFonts w:hint="eastAsia"/>
                <w:color w:val="auto"/>
                <w:sz w:val="24"/>
                <w:szCs w:val="24"/>
              </w:rPr>
              <w:t>s排放量为</w:t>
            </w:r>
            <w:r>
              <w:rPr>
                <w:rFonts w:hint="eastAsia"/>
                <w:color w:val="auto"/>
                <w:sz w:val="24"/>
                <w:szCs w:val="24"/>
                <w:lang w:eastAsia="zh-CN"/>
              </w:rPr>
              <w:t>0.03</w:t>
            </w:r>
            <w:r>
              <w:rPr>
                <w:rFonts w:hint="eastAsia"/>
                <w:color w:val="auto"/>
                <w:sz w:val="24"/>
                <w:szCs w:val="24"/>
              </w:rPr>
              <w:t>t</w:t>
            </w:r>
            <w:r>
              <w:rPr>
                <w:color w:val="auto"/>
                <w:sz w:val="24"/>
                <w:szCs w:val="24"/>
              </w:rPr>
              <w:t>/</w:t>
            </w:r>
            <w:r>
              <w:rPr>
                <w:rFonts w:hint="eastAsia"/>
                <w:color w:val="auto"/>
                <w:sz w:val="24"/>
                <w:szCs w:val="24"/>
              </w:rPr>
              <w:t>a</w:t>
            </w:r>
            <w:r>
              <w:rPr>
                <w:rFonts w:hint="eastAsia"/>
                <w:color w:val="auto"/>
                <w:sz w:val="24"/>
                <w:szCs w:val="24"/>
                <w:lang w:eastAsia="zh-CN"/>
              </w:rPr>
              <w:t>，</w:t>
            </w:r>
            <w:r>
              <w:rPr>
                <w:rFonts w:hint="eastAsia"/>
                <w:color w:val="auto"/>
                <w:sz w:val="24"/>
                <w:szCs w:val="24"/>
              </w:rPr>
              <w:t>排放速率为0.</w:t>
            </w:r>
            <w:r>
              <w:rPr>
                <w:rFonts w:hint="eastAsia"/>
                <w:color w:val="auto"/>
              </w:rPr>
              <w:t>01kg</w:t>
            </w:r>
            <w:r>
              <w:rPr>
                <w:color w:val="auto"/>
              </w:rPr>
              <w:t>/</w:t>
            </w:r>
            <w:r>
              <w:rPr>
                <w:rFonts w:hint="eastAsia"/>
                <w:color w:val="auto"/>
              </w:rPr>
              <w:t>h</w:t>
            </w:r>
            <w:r>
              <w:rPr>
                <w:rFonts w:hint="eastAsia"/>
                <w:color w:val="auto"/>
                <w:lang w:eastAsia="zh-CN"/>
              </w:rPr>
              <w:t>，</w:t>
            </w:r>
            <w:r>
              <w:rPr>
                <w:rFonts w:hint="eastAsia"/>
                <w:color w:val="auto"/>
              </w:rPr>
              <w:t>厂区内V</w:t>
            </w:r>
            <w:r>
              <w:rPr>
                <w:color w:val="auto"/>
              </w:rPr>
              <w:t>OC</w:t>
            </w:r>
            <w:r>
              <w:rPr>
                <w:rFonts w:hint="eastAsia"/>
                <w:color w:val="auto"/>
              </w:rPr>
              <w:t>s满足</w:t>
            </w:r>
            <w:r>
              <w:rPr>
                <w:color w:val="auto"/>
              </w:rPr>
              <w:t>《</w:t>
            </w:r>
            <w:r>
              <w:rPr>
                <w:rFonts w:hint="eastAsia"/>
                <w:color w:val="auto"/>
              </w:rPr>
              <w:t>挥发性</w:t>
            </w:r>
            <w:r>
              <w:rPr>
                <w:color w:val="auto"/>
              </w:rPr>
              <w:t>有机物无组织排放控制标准》</w:t>
            </w:r>
            <w:r>
              <w:rPr>
                <w:rFonts w:hint="eastAsia"/>
                <w:color w:val="auto"/>
              </w:rPr>
              <w:t>（GB37822-2019</w:t>
            </w:r>
            <w:r>
              <w:rPr>
                <w:color w:val="auto"/>
              </w:rPr>
              <w:t>）</w:t>
            </w:r>
            <w:r>
              <w:rPr>
                <w:rFonts w:hint="eastAsia"/>
                <w:color w:val="auto"/>
              </w:rPr>
              <w:t>附录A厂区</w:t>
            </w:r>
            <w:r>
              <w:rPr>
                <w:color w:val="auto"/>
              </w:rPr>
              <w:t>内</w:t>
            </w:r>
            <w:r>
              <w:rPr>
                <w:rFonts w:hint="eastAsia"/>
                <w:color w:val="auto"/>
              </w:rPr>
              <w:t>VOC</w:t>
            </w:r>
            <w:r>
              <w:rPr>
                <w:color w:val="auto"/>
              </w:rPr>
              <w:t>s无组织排放限值</w:t>
            </w:r>
            <w:r>
              <w:rPr>
                <w:rFonts w:hint="eastAsia"/>
                <w:color w:val="auto"/>
                <w:lang w:eastAsia="zh-CN"/>
              </w:rPr>
              <w:t>，</w:t>
            </w:r>
            <w:r>
              <w:rPr>
                <w:rFonts w:hint="eastAsia"/>
                <w:color w:val="auto"/>
              </w:rPr>
              <w:t>厂界V</w:t>
            </w:r>
            <w:r>
              <w:rPr>
                <w:color w:val="auto"/>
              </w:rPr>
              <w:t>OC</w:t>
            </w:r>
            <w:r>
              <w:rPr>
                <w:rFonts w:hint="eastAsia"/>
                <w:color w:val="auto"/>
              </w:rPr>
              <w:t>s满足</w:t>
            </w:r>
            <w:r>
              <w:rPr>
                <w:color w:val="auto"/>
              </w:rPr>
              <w:t>《大气污染物综合排放标准》（GB16297-1996）</w:t>
            </w:r>
            <w:r>
              <w:rPr>
                <w:rFonts w:hint="eastAsia"/>
                <w:color w:val="auto"/>
              </w:rPr>
              <w:t>表2</w:t>
            </w:r>
            <w:r>
              <w:rPr>
                <w:color w:val="auto"/>
              </w:rPr>
              <w:t>中</w:t>
            </w:r>
            <w:r>
              <w:rPr>
                <w:rFonts w:hint="eastAsia"/>
                <w:color w:val="auto"/>
              </w:rPr>
              <w:t>无</w:t>
            </w:r>
            <w:r>
              <w:rPr>
                <w:rFonts w:hint="eastAsia"/>
                <w:color w:val="auto"/>
                <w:highlight w:val="none"/>
              </w:rPr>
              <w:t>组织排放标准要求。</w:t>
            </w:r>
          </w:p>
          <w:p w14:paraId="62893880">
            <w:pPr>
              <w:pStyle w:val="102"/>
              <w:ind w:firstLine="480"/>
              <w:rPr>
                <w:color w:val="auto"/>
                <w:highlight w:val="none"/>
              </w:rPr>
            </w:pPr>
            <w:r>
              <w:rPr>
                <w:rFonts w:hint="eastAsia"/>
                <w:color w:val="auto"/>
                <w:highlight w:val="none"/>
              </w:rPr>
              <w:t>②灌装过程废气</w:t>
            </w:r>
          </w:p>
          <w:p w14:paraId="5DD81976">
            <w:pPr>
              <w:pStyle w:val="102"/>
              <w:ind w:firstLine="480"/>
              <w:rPr>
                <w:color w:val="auto"/>
                <w:highlight w:val="none"/>
              </w:rPr>
            </w:pPr>
            <w:r>
              <w:rPr>
                <w:rFonts w:hint="eastAsia"/>
                <w:color w:val="auto"/>
                <w:highlight w:val="none"/>
              </w:rPr>
              <w:t>本项目采用两台自动包装机进行灌装</w:t>
            </w:r>
            <w:r>
              <w:rPr>
                <w:rFonts w:hint="eastAsia"/>
                <w:color w:val="auto"/>
                <w:highlight w:val="none"/>
                <w:lang w:eastAsia="zh-CN"/>
              </w:rPr>
              <w:t>，</w:t>
            </w:r>
            <w:r>
              <w:rPr>
                <w:rFonts w:hint="eastAsia"/>
                <w:color w:val="auto"/>
                <w:highlight w:val="none"/>
              </w:rPr>
              <w:t>灌装过程会有V</w:t>
            </w:r>
            <w:r>
              <w:rPr>
                <w:color w:val="auto"/>
                <w:highlight w:val="none"/>
              </w:rPr>
              <w:t>OC</w:t>
            </w:r>
            <w:r>
              <w:rPr>
                <w:rFonts w:hint="eastAsia"/>
                <w:color w:val="auto"/>
                <w:highlight w:val="none"/>
              </w:rPr>
              <w:t>s产生</w:t>
            </w:r>
            <w:r>
              <w:rPr>
                <w:rFonts w:hint="eastAsia"/>
                <w:color w:val="auto"/>
                <w:highlight w:val="none"/>
                <w:lang w:eastAsia="zh-CN"/>
              </w:rPr>
              <w:t>，</w:t>
            </w:r>
            <w:r>
              <w:rPr>
                <w:rFonts w:hint="eastAsia"/>
                <w:color w:val="auto"/>
                <w:highlight w:val="none"/>
              </w:rPr>
              <w:t>V</w:t>
            </w:r>
            <w:r>
              <w:rPr>
                <w:color w:val="auto"/>
                <w:highlight w:val="none"/>
              </w:rPr>
              <w:t>OC</w:t>
            </w:r>
            <w:r>
              <w:rPr>
                <w:rFonts w:hint="eastAsia"/>
                <w:color w:val="auto"/>
                <w:highlight w:val="none"/>
              </w:rPr>
              <w:t>s产生量参照《工业源挥发性有机物通用源项核算系数手册》中有机液体装载的产生量计算公式进行核算</w:t>
            </w:r>
            <w:r>
              <w:rPr>
                <w:rFonts w:hint="eastAsia"/>
                <w:color w:val="auto"/>
                <w:highlight w:val="none"/>
                <w:lang w:eastAsia="zh-CN"/>
              </w:rPr>
              <w:t>，</w:t>
            </w:r>
            <w:r>
              <w:rPr>
                <w:rFonts w:hint="eastAsia"/>
                <w:color w:val="auto"/>
                <w:highlight w:val="none"/>
              </w:rPr>
              <w:t>计算公式如下：</w:t>
            </w:r>
          </w:p>
          <w:p w14:paraId="1096955D">
            <w:pPr>
              <w:pStyle w:val="101"/>
              <w:ind w:firstLine="420" w:firstLineChars="200"/>
              <w:jc w:val="center"/>
              <w:rPr>
                <w:color w:val="auto"/>
                <w:highlight w:val="none"/>
              </w:rPr>
            </w:pPr>
            <w:r>
              <w:rPr>
                <w:color w:val="auto"/>
                <w:highlight w:val="none"/>
              </w:rPr>
              <w:drawing>
                <wp:inline distT="0" distB="0" distL="0" distR="0">
                  <wp:extent cx="1257300" cy="416560"/>
                  <wp:effectExtent l="0" t="0" r="0" b="2540"/>
                  <wp:docPr id="2"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pic:cNvPicPr>
                            <a:picLocks noChangeAspect="1"/>
                          </pic:cNvPicPr>
                        </pic:nvPicPr>
                        <pic:blipFill>
                          <a:blip r:embed="rId18"/>
                          <a:stretch>
                            <a:fillRect/>
                          </a:stretch>
                        </pic:blipFill>
                        <pic:spPr>
                          <a:xfrm>
                            <a:off x="0" y="0"/>
                            <a:ext cx="1279964" cy="424298"/>
                          </a:xfrm>
                          <a:prstGeom prst="rect">
                            <a:avLst/>
                          </a:prstGeom>
                        </pic:spPr>
                      </pic:pic>
                    </a:graphicData>
                  </a:graphic>
                </wp:inline>
              </w:drawing>
            </w:r>
          </w:p>
          <w:p w14:paraId="13C28E6A">
            <w:pPr>
              <w:pStyle w:val="102"/>
              <w:ind w:firstLine="480"/>
              <w:rPr>
                <w:color w:val="auto"/>
                <w:highlight w:val="none"/>
              </w:rPr>
            </w:pPr>
            <w:r>
              <w:rPr>
                <w:rFonts w:hint="eastAsia"/>
                <w:color w:val="auto"/>
                <w:highlight w:val="none"/>
              </w:rPr>
              <w:t>式中：</w:t>
            </w:r>
          </w:p>
          <w:p w14:paraId="35275EAD">
            <w:pPr>
              <w:pStyle w:val="102"/>
              <w:ind w:firstLine="480"/>
              <w:rPr>
                <w:color w:val="auto"/>
                <w:highlight w:val="none"/>
              </w:rPr>
            </w:pPr>
            <w:r>
              <w:rPr>
                <w:rFonts w:hint="eastAsia"/>
                <w:color w:val="auto"/>
                <w:highlight w:val="none"/>
              </w:rPr>
              <w:t>D——挥发性有机物年产生量</w:t>
            </w:r>
            <w:r>
              <w:rPr>
                <w:rFonts w:hint="eastAsia"/>
                <w:color w:val="auto"/>
                <w:highlight w:val="none"/>
                <w:lang w:eastAsia="zh-CN"/>
              </w:rPr>
              <w:t>，</w:t>
            </w:r>
            <w:r>
              <w:rPr>
                <w:rFonts w:hint="eastAsia"/>
                <w:color w:val="auto"/>
                <w:highlight w:val="none"/>
              </w:rPr>
              <w:t>千克/年；</w:t>
            </w:r>
          </w:p>
          <w:p w14:paraId="335C7D1E">
            <w:pPr>
              <w:pStyle w:val="102"/>
              <w:ind w:firstLine="480"/>
              <w:rPr>
                <w:color w:val="auto"/>
                <w:highlight w:val="none"/>
              </w:rPr>
            </w:pPr>
            <w:r>
              <w:rPr>
                <w:rFonts w:hint="eastAsia"/>
                <w:color w:val="auto"/>
                <w:highlight w:val="none"/>
              </w:rPr>
              <w:t>k——装载系数</w:t>
            </w:r>
            <w:r>
              <w:rPr>
                <w:rFonts w:hint="eastAsia"/>
                <w:color w:val="auto"/>
                <w:highlight w:val="none"/>
                <w:lang w:eastAsia="zh-CN"/>
              </w:rPr>
              <w:t>，</w:t>
            </w:r>
            <w:r>
              <w:rPr>
                <w:rFonts w:hint="eastAsia"/>
                <w:color w:val="auto"/>
                <w:highlight w:val="none"/>
              </w:rPr>
              <w:t>千克/吨-装载量</w:t>
            </w:r>
            <w:r>
              <w:rPr>
                <w:rFonts w:hint="eastAsia"/>
                <w:color w:val="auto"/>
                <w:highlight w:val="none"/>
                <w:lang w:eastAsia="zh-CN"/>
              </w:rPr>
              <w:t>，</w:t>
            </w:r>
            <w:r>
              <w:rPr>
                <w:rFonts w:hint="eastAsia"/>
                <w:color w:val="auto"/>
                <w:highlight w:val="none"/>
              </w:rPr>
              <w:t>取0</w:t>
            </w:r>
            <w:r>
              <w:rPr>
                <w:color w:val="auto"/>
                <w:highlight w:val="none"/>
              </w:rPr>
              <w:t>.277</w:t>
            </w:r>
            <w:r>
              <w:rPr>
                <w:rFonts w:hint="eastAsia"/>
                <w:color w:val="auto"/>
                <w:highlight w:val="none"/>
              </w:rPr>
              <w:t>；</w:t>
            </w:r>
          </w:p>
          <w:p w14:paraId="34C11A39">
            <w:pPr>
              <w:pStyle w:val="102"/>
              <w:ind w:firstLine="480"/>
              <w:rPr>
                <w:color w:val="auto"/>
                <w:highlight w:val="none"/>
              </w:rPr>
            </w:pPr>
            <w:r>
              <w:rPr>
                <w:rFonts w:hint="eastAsia"/>
                <w:color w:val="auto"/>
                <w:highlight w:val="none"/>
              </w:rPr>
              <w:t>Qi——物料的年装载量</w:t>
            </w:r>
            <w:r>
              <w:rPr>
                <w:rFonts w:hint="eastAsia"/>
                <w:color w:val="auto"/>
                <w:highlight w:val="none"/>
                <w:lang w:eastAsia="zh-CN"/>
              </w:rPr>
              <w:t>，</w:t>
            </w:r>
            <w:r>
              <w:rPr>
                <w:rFonts w:hint="eastAsia"/>
                <w:color w:val="auto"/>
                <w:highlight w:val="none"/>
              </w:rPr>
              <w:t>吨/年</w:t>
            </w:r>
            <w:r>
              <w:rPr>
                <w:rFonts w:hint="eastAsia"/>
                <w:color w:val="auto"/>
                <w:highlight w:val="none"/>
                <w:lang w:eastAsia="zh-CN"/>
              </w:rPr>
              <w:t>，</w:t>
            </w:r>
            <w:r>
              <w:rPr>
                <w:rFonts w:hint="eastAsia"/>
                <w:color w:val="auto"/>
                <w:highlight w:val="none"/>
              </w:rPr>
              <w:t>取</w:t>
            </w:r>
            <w:r>
              <w:rPr>
                <w:rFonts w:hint="eastAsia"/>
                <w:color w:val="auto"/>
                <w:highlight w:val="none"/>
                <w:lang w:eastAsia="zh-CN"/>
              </w:rPr>
              <w:t>3000</w:t>
            </w:r>
            <w:r>
              <w:rPr>
                <w:rFonts w:hint="eastAsia"/>
                <w:color w:val="auto"/>
                <w:highlight w:val="none"/>
              </w:rPr>
              <w:t>t</w:t>
            </w:r>
            <w:r>
              <w:rPr>
                <w:color w:val="auto"/>
                <w:highlight w:val="none"/>
              </w:rPr>
              <w:t>/</w:t>
            </w:r>
            <w:r>
              <w:rPr>
                <w:rFonts w:hint="eastAsia"/>
                <w:color w:val="auto"/>
                <w:highlight w:val="none"/>
              </w:rPr>
              <w:t>a；</w:t>
            </w:r>
          </w:p>
          <w:p w14:paraId="56AF348B">
            <w:pPr>
              <w:pStyle w:val="102"/>
              <w:ind w:firstLine="480"/>
              <w:rPr>
                <w:color w:val="auto"/>
                <w:szCs w:val="24"/>
                <w:highlight w:val="none"/>
              </w:rPr>
            </w:pPr>
            <w:r>
              <w:rPr>
                <w:rFonts w:hint="eastAsia"/>
                <w:color w:val="auto"/>
                <w:highlight w:val="none"/>
              </w:rPr>
              <w:t>经计算</w:t>
            </w:r>
            <w:r>
              <w:rPr>
                <w:rFonts w:hint="eastAsia"/>
                <w:color w:val="auto"/>
                <w:highlight w:val="none"/>
                <w:lang w:eastAsia="zh-CN"/>
              </w:rPr>
              <w:t>，</w:t>
            </w:r>
            <w:r>
              <w:rPr>
                <w:rFonts w:hint="eastAsia"/>
                <w:color w:val="auto"/>
                <w:highlight w:val="none"/>
              </w:rPr>
              <w:t>本项目灌装过程V</w:t>
            </w:r>
            <w:r>
              <w:rPr>
                <w:color w:val="auto"/>
                <w:highlight w:val="none"/>
              </w:rPr>
              <w:t>OC</w:t>
            </w:r>
            <w:r>
              <w:rPr>
                <w:rFonts w:hint="eastAsia"/>
                <w:color w:val="auto"/>
                <w:highlight w:val="none"/>
              </w:rPr>
              <w:t>s产生量为0</w:t>
            </w:r>
            <w:r>
              <w:rPr>
                <w:color w:val="auto"/>
                <w:highlight w:val="none"/>
              </w:rPr>
              <w:t>.</w:t>
            </w:r>
            <w:r>
              <w:rPr>
                <w:rFonts w:hint="eastAsia"/>
                <w:color w:val="auto"/>
                <w:highlight w:val="none"/>
                <w:lang w:val="en-US" w:eastAsia="zh-CN"/>
              </w:rPr>
              <w:t>831</w:t>
            </w:r>
            <w:r>
              <w:rPr>
                <w:rFonts w:hint="eastAsia"/>
                <w:color w:val="auto"/>
                <w:highlight w:val="none"/>
              </w:rPr>
              <w:t>t</w:t>
            </w:r>
            <w:r>
              <w:rPr>
                <w:color w:val="auto"/>
                <w:highlight w:val="none"/>
              </w:rPr>
              <w:t>/</w:t>
            </w:r>
            <w:r>
              <w:rPr>
                <w:rFonts w:hint="eastAsia"/>
                <w:color w:val="auto"/>
                <w:highlight w:val="none"/>
              </w:rPr>
              <w:t>a</w:t>
            </w:r>
            <w:r>
              <w:rPr>
                <w:rFonts w:hint="eastAsia"/>
                <w:color w:val="auto"/>
                <w:highlight w:val="none"/>
                <w:lang w:eastAsia="zh-CN"/>
              </w:rPr>
              <w:t>，</w:t>
            </w:r>
            <w:r>
              <w:rPr>
                <w:rFonts w:hint="eastAsia"/>
                <w:color w:val="auto"/>
                <w:highlight w:val="none"/>
              </w:rPr>
              <w:t>产生速率为</w:t>
            </w:r>
            <w:r>
              <w:rPr>
                <w:color w:val="auto"/>
                <w:highlight w:val="none"/>
              </w:rPr>
              <w:t>0.1</w:t>
            </w:r>
            <w:r>
              <w:rPr>
                <w:rFonts w:hint="eastAsia"/>
                <w:color w:val="auto"/>
                <w:highlight w:val="none"/>
                <w:lang w:val="en-US" w:eastAsia="zh-CN"/>
              </w:rPr>
              <w:t>15</w:t>
            </w:r>
            <w:r>
              <w:rPr>
                <w:rFonts w:hint="eastAsia"/>
                <w:color w:val="auto"/>
                <w:highlight w:val="none"/>
              </w:rPr>
              <w:t>kg</w:t>
            </w:r>
            <w:r>
              <w:rPr>
                <w:color w:val="auto"/>
                <w:highlight w:val="none"/>
              </w:rPr>
              <w:t>/</w:t>
            </w:r>
            <w:r>
              <w:rPr>
                <w:rFonts w:hint="eastAsia"/>
                <w:color w:val="auto"/>
                <w:highlight w:val="none"/>
                <w:lang w:val="en-US" w:eastAsia="zh-CN"/>
              </w:rPr>
              <w:t>h</w:t>
            </w:r>
            <w:r>
              <w:rPr>
                <w:rFonts w:hint="eastAsia"/>
                <w:color w:val="auto"/>
                <w:highlight w:val="none"/>
                <w:lang w:eastAsia="zh-CN"/>
              </w:rPr>
              <w:t>，</w:t>
            </w:r>
            <w:r>
              <w:rPr>
                <w:rFonts w:hint="eastAsia"/>
                <w:bCs/>
                <w:color w:val="auto"/>
                <w:highlight w:val="none"/>
              </w:rPr>
              <w:t>包装机灌装区设有密闭罩壳</w:t>
            </w:r>
            <w:r>
              <w:rPr>
                <w:rFonts w:hint="eastAsia"/>
                <w:bCs/>
                <w:color w:val="auto"/>
                <w:highlight w:val="none"/>
                <w:lang w:eastAsia="zh-CN"/>
              </w:rPr>
              <w:t>，</w:t>
            </w:r>
            <w:r>
              <w:rPr>
                <w:rFonts w:hint="eastAsia"/>
                <w:bCs/>
                <w:color w:val="auto"/>
                <w:highlight w:val="none"/>
              </w:rPr>
              <w:t>罩壳内部设置集气管收集灌装过程产生的废气</w:t>
            </w:r>
            <w:r>
              <w:rPr>
                <w:rFonts w:hint="eastAsia"/>
                <w:bCs/>
                <w:color w:val="auto"/>
                <w:highlight w:val="none"/>
                <w:lang w:eastAsia="zh-CN"/>
              </w:rPr>
              <w:t>，</w:t>
            </w:r>
            <w:r>
              <w:rPr>
                <w:rFonts w:hint="eastAsia"/>
                <w:bCs/>
                <w:color w:val="auto"/>
                <w:highlight w:val="none"/>
              </w:rPr>
              <w:t>收集的废气</w:t>
            </w:r>
            <w:r>
              <w:rPr>
                <w:rFonts w:hint="eastAsia"/>
                <w:color w:val="auto"/>
                <w:highlight w:val="none"/>
              </w:rPr>
              <w:t>全部送厂区活性炭吸附装置进行处理</w:t>
            </w:r>
            <w:r>
              <w:rPr>
                <w:rFonts w:hint="eastAsia"/>
                <w:color w:val="auto"/>
                <w:highlight w:val="none"/>
                <w:lang w:eastAsia="zh-CN"/>
              </w:rPr>
              <w:t>，</w:t>
            </w:r>
            <w:r>
              <w:rPr>
                <w:rFonts w:hint="eastAsia"/>
                <w:color w:val="auto"/>
                <w:highlight w:val="none"/>
              </w:rPr>
              <w:t>处理后经1</w:t>
            </w:r>
            <w:r>
              <w:rPr>
                <w:color w:val="auto"/>
                <w:highlight w:val="none"/>
              </w:rPr>
              <w:t>5</w:t>
            </w:r>
            <w:r>
              <w:rPr>
                <w:rFonts w:hint="eastAsia"/>
                <w:color w:val="auto"/>
                <w:highlight w:val="none"/>
              </w:rPr>
              <w:t>m高排气筒（D</w:t>
            </w:r>
            <w:r>
              <w:rPr>
                <w:color w:val="auto"/>
                <w:highlight w:val="none"/>
              </w:rPr>
              <w:t>A001</w:t>
            </w:r>
            <w:r>
              <w:rPr>
                <w:rFonts w:hint="eastAsia"/>
                <w:color w:val="auto"/>
                <w:highlight w:val="none"/>
              </w:rPr>
              <w:t>）排放</w:t>
            </w:r>
            <w:r>
              <w:rPr>
                <w:rFonts w:hint="eastAsia"/>
                <w:color w:val="auto"/>
                <w:highlight w:val="none"/>
                <w:lang w:eastAsia="zh-CN"/>
              </w:rPr>
              <w:t>，</w:t>
            </w:r>
            <w:r>
              <w:rPr>
                <w:rFonts w:hint="eastAsia"/>
                <w:color w:val="auto"/>
                <w:highlight w:val="none"/>
              </w:rPr>
              <w:t>风机风量</w:t>
            </w:r>
            <w:r>
              <w:rPr>
                <w:rFonts w:hint="eastAsia"/>
                <w:color w:val="auto"/>
                <w:highlight w:val="none"/>
                <w:lang w:val="en-US" w:eastAsia="zh-CN"/>
              </w:rPr>
              <w:t>2</w:t>
            </w:r>
            <w:r>
              <w:rPr>
                <w:color w:val="auto"/>
                <w:highlight w:val="none"/>
              </w:rPr>
              <w:t>000</w:t>
            </w:r>
            <w:r>
              <w:rPr>
                <w:rFonts w:hint="eastAsia"/>
                <w:color w:val="auto"/>
                <w:highlight w:val="none"/>
              </w:rPr>
              <w:t>m</w:t>
            </w:r>
            <w:r>
              <w:rPr>
                <w:color w:val="auto"/>
                <w:highlight w:val="none"/>
                <w:vertAlign w:val="superscript"/>
              </w:rPr>
              <w:t>3</w:t>
            </w:r>
            <w:r>
              <w:rPr>
                <w:color w:val="auto"/>
                <w:highlight w:val="none"/>
              </w:rPr>
              <w:t>/</w:t>
            </w:r>
            <w:r>
              <w:rPr>
                <w:rFonts w:hint="eastAsia"/>
                <w:color w:val="auto"/>
                <w:highlight w:val="none"/>
              </w:rPr>
              <w:t>h</w:t>
            </w:r>
            <w:r>
              <w:rPr>
                <w:rFonts w:hint="eastAsia"/>
                <w:color w:val="auto"/>
                <w:highlight w:val="none"/>
                <w:lang w:eastAsia="zh-CN"/>
              </w:rPr>
              <w:t>，</w:t>
            </w:r>
            <w:r>
              <w:rPr>
                <w:rFonts w:hint="eastAsia"/>
                <w:color w:val="auto"/>
                <w:highlight w:val="none"/>
              </w:rPr>
              <w:t>废气收集效率按</w:t>
            </w:r>
            <w:r>
              <w:rPr>
                <w:color w:val="auto"/>
                <w:highlight w:val="none"/>
              </w:rPr>
              <w:t>95</w:t>
            </w:r>
            <w:r>
              <w:rPr>
                <w:rFonts w:hint="eastAsia"/>
                <w:color w:val="auto"/>
                <w:highlight w:val="none"/>
              </w:rPr>
              <w:t>%计</w:t>
            </w:r>
            <w:r>
              <w:rPr>
                <w:rFonts w:hint="eastAsia"/>
                <w:color w:val="auto"/>
                <w:highlight w:val="none"/>
                <w:lang w:eastAsia="zh-CN"/>
              </w:rPr>
              <w:t>，</w:t>
            </w:r>
            <w:r>
              <w:rPr>
                <w:rFonts w:hint="eastAsia"/>
                <w:color w:val="auto"/>
                <w:highlight w:val="none"/>
              </w:rPr>
              <w:t>处理效率按8</w:t>
            </w:r>
            <w:r>
              <w:rPr>
                <w:color w:val="auto"/>
                <w:highlight w:val="none"/>
              </w:rPr>
              <w:t>0</w:t>
            </w:r>
            <w:r>
              <w:rPr>
                <w:rFonts w:hint="eastAsia"/>
                <w:color w:val="auto"/>
                <w:highlight w:val="none"/>
              </w:rPr>
              <w:t>%计算</w:t>
            </w:r>
            <w:r>
              <w:rPr>
                <w:rFonts w:hint="eastAsia"/>
                <w:color w:val="auto"/>
                <w:highlight w:val="none"/>
                <w:lang w:eastAsia="zh-CN"/>
              </w:rPr>
              <w:t>，</w:t>
            </w:r>
            <w:r>
              <w:rPr>
                <w:rFonts w:hint="eastAsia"/>
                <w:color w:val="auto"/>
                <w:highlight w:val="none"/>
              </w:rPr>
              <w:t>VOCs有组织排放量为</w:t>
            </w:r>
            <w:r>
              <w:rPr>
                <w:rFonts w:hint="eastAsia"/>
                <w:color w:val="auto"/>
                <w:highlight w:val="none"/>
                <w:lang w:val="en-US" w:eastAsia="zh-CN"/>
              </w:rPr>
              <w:t>0.16</w:t>
            </w:r>
            <w:r>
              <w:rPr>
                <w:rFonts w:hint="eastAsia"/>
                <w:color w:val="auto"/>
                <w:highlight w:val="none"/>
              </w:rPr>
              <w:t>t</w:t>
            </w:r>
            <w:r>
              <w:rPr>
                <w:color w:val="auto"/>
                <w:highlight w:val="none"/>
              </w:rPr>
              <w:t>/</w:t>
            </w:r>
            <w:r>
              <w:rPr>
                <w:rFonts w:hint="eastAsia"/>
                <w:color w:val="auto"/>
                <w:highlight w:val="none"/>
              </w:rPr>
              <w:t>a</w:t>
            </w:r>
            <w:r>
              <w:rPr>
                <w:rFonts w:hint="eastAsia"/>
                <w:color w:val="auto"/>
                <w:highlight w:val="none"/>
                <w:lang w:eastAsia="zh-CN"/>
              </w:rPr>
              <w:t>，</w:t>
            </w:r>
            <w:r>
              <w:rPr>
                <w:rFonts w:hint="eastAsia"/>
                <w:color w:val="auto"/>
                <w:highlight w:val="none"/>
              </w:rPr>
              <w:t>排放速率为</w:t>
            </w:r>
            <w:r>
              <w:rPr>
                <w:rFonts w:hint="eastAsia"/>
                <w:color w:val="auto"/>
                <w:highlight w:val="none"/>
                <w:lang w:val="en-US" w:eastAsia="zh-CN"/>
              </w:rPr>
              <w:t>0.07</w:t>
            </w:r>
            <w:r>
              <w:rPr>
                <w:rFonts w:hint="eastAsia"/>
                <w:color w:val="auto"/>
                <w:highlight w:val="none"/>
              </w:rPr>
              <w:t>kg</w:t>
            </w:r>
            <w:r>
              <w:rPr>
                <w:color w:val="auto"/>
                <w:highlight w:val="none"/>
              </w:rPr>
              <w:t>/</w:t>
            </w:r>
            <w:r>
              <w:rPr>
                <w:rFonts w:hint="eastAsia"/>
                <w:color w:val="auto"/>
                <w:highlight w:val="none"/>
              </w:rPr>
              <w:t>h</w:t>
            </w:r>
            <w:r>
              <w:rPr>
                <w:rFonts w:hint="eastAsia"/>
                <w:color w:val="auto"/>
                <w:highlight w:val="none"/>
                <w:lang w:eastAsia="zh-CN"/>
              </w:rPr>
              <w:t>，</w:t>
            </w:r>
            <w:r>
              <w:rPr>
                <w:rFonts w:hint="eastAsia"/>
                <w:color w:val="auto"/>
                <w:highlight w:val="none"/>
              </w:rPr>
              <w:t>排放浓度为</w:t>
            </w:r>
            <w:r>
              <w:rPr>
                <w:rFonts w:hint="eastAsia"/>
                <w:color w:val="auto"/>
                <w:highlight w:val="none"/>
                <w:lang w:val="en-US" w:eastAsia="zh-CN"/>
              </w:rPr>
              <w:t>16.45</w:t>
            </w:r>
            <w:r>
              <w:rPr>
                <w:rFonts w:hint="eastAsia"/>
                <w:color w:val="auto"/>
                <w:highlight w:val="none"/>
              </w:rPr>
              <w:t>mg</w:t>
            </w:r>
            <w:r>
              <w:rPr>
                <w:color w:val="auto"/>
                <w:highlight w:val="none"/>
              </w:rPr>
              <w:t>/</w:t>
            </w:r>
            <w:r>
              <w:rPr>
                <w:rFonts w:hint="eastAsia"/>
                <w:color w:val="auto"/>
                <w:highlight w:val="none"/>
              </w:rPr>
              <w:t>m</w:t>
            </w:r>
            <w:r>
              <w:rPr>
                <w:color w:val="auto"/>
                <w:highlight w:val="none"/>
                <w:vertAlign w:val="superscript"/>
              </w:rPr>
              <w:t>3</w:t>
            </w:r>
            <w:r>
              <w:rPr>
                <w:rFonts w:hint="eastAsia"/>
                <w:color w:val="auto"/>
                <w:highlight w:val="none"/>
                <w:lang w:eastAsia="zh-CN"/>
              </w:rPr>
              <w:t>，</w:t>
            </w:r>
            <w:r>
              <w:rPr>
                <w:rFonts w:hint="eastAsia"/>
                <w:color w:val="auto"/>
                <w:highlight w:val="none"/>
              </w:rPr>
              <w:t>满足</w:t>
            </w:r>
            <w:r>
              <w:rPr>
                <w:color w:val="auto"/>
                <w:highlight w:val="none"/>
              </w:rPr>
              <w:t>《大气污染物综合排放标准》（GB16297-1996）</w:t>
            </w:r>
            <w:r>
              <w:rPr>
                <w:rFonts w:hint="eastAsia"/>
                <w:color w:val="auto"/>
                <w:highlight w:val="none"/>
              </w:rPr>
              <w:t>表2</w:t>
            </w:r>
            <w:r>
              <w:rPr>
                <w:color w:val="auto"/>
                <w:highlight w:val="none"/>
              </w:rPr>
              <w:t>中</w:t>
            </w:r>
            <w:r>
              <w:rPr>
                <w:rFonts w:hint="eastAsia"/>
                <w:color w:val="auto"/>
                <w:highlight w:val="none"/>
              </w:rPr>
              <w:t>二级标准限值要求</w:t>
            </w:r>
            <w:r>
              <w:rPr>
                <w:rFonts w:hint="eastAsia"/>
                <w:color w:val="auto"/>
                <w:szCs w:val="24"/>
                <w:highlight w:val="none"/>
              </w:rPr>
              <w:t>。</w:t>
            </w:r>
          </w:p>
          <w:p w14:paraId="156E75A9">
            <w:pPr>
              <w:pStyle w:val="102"/>
              <w:ind w:firstLine="480"/>
              <w:rPr>
                <w:color w:val="auto"/>
                <w:highlight w:val="none"/>
              </w:rPr>
            </w:pPr>
            <w:r>
              <w:rPr>
                <w:rFonts w:hint="eastAsia"/>
                <w:color w:val="auto"/>
                <w:szCs w:val="24"/>
                <w:highlight w:val="none"/>
              </w:rPr>
              <w:t>无组织V</w:t>
            </w:r>
            <w:r>
              <w:rPr>
                <w:color w:val="auto"/>
                <w:szCs w:val="24"/>
                <w:highlight w:val="none"/>
              </w:rPr>
              <w:t>OC</w:t>
            </w:r>
            <w:r>
              <w:rPr>
                <w:rFonts w:hint="eastAsia"/>
                <w:color w:val="auto"/>
                <w:szCs w:val="24"/>
                <w:highlight w:val="none"/>
              </w:rPr>
              <w:t>s</w:t>
            </w:r>
            <w:r>
              <w:rPr>
                <w:rFonts w:hint="eastAsia"/>
                <w:color w:val="auto"/>
                <w:highlight w:val="none"/>
              </w:rPr>
              <w:t>排放量为</w:t>
            </w:r>
            <w:r>
              <w:rPr>
                <w:rFonts w:hint="eastAsia"/>
                <w:color w:val="auto"/>
                <w:highlight w:val="none"/>
                <w:lang w:val="en-US" w:eastAsia="zh-CN"/>
              </w:rPr>
              <w:t>0.04</w:t>
            </w:r>
            <w:r>
              <w:rPr>
                <w:rFonts w:hint="eastAsia"/>
                <w:color w:val="auto"/>
                <w:highlight w:val="none"/>
              </w:rPr>
              <w:t>t</w:t>
            </w:r>
            <w:r>
              <w:rPr>
                <w:color w:val="auto"/>
                <w:highlight w:val="none"/>
              </w:rPr>
              <w:t>/</w:t>
            </w:r>
            <w:r>
              <w:rPr>
                <w:rFonts w:hint="eastAsia"/>
                <w:color w:val="auto"/>
                <w:highlight w:val="none"/>
              </w:rPr>
              <w:t>a</w:t>
            </w:r>
            <w:r>
              <w:rPr>
                <w:rFonts w:hint="eastAsia"/>
                <w:color w:val="auto"/>
                <w:highlight w:val="none"/>
                <w:lang w:eastAsia="zh-CN"/>
              </w:rPr>
              <w:t>，</w:t>
            </w:r>
            <w:r>
              <w:rPr>
                <w:rFonts w:hint="eastAsia"/>
                <w:color w:val="auto"/>
                <w:highlight w:val="none"/>
              </w:rPr>
              <w:t>排放速率为0.</w:t>
            </w:r>
            <w:r>
              <w:rPr>
                <w:color w:val="auto"/>
                <w:highlight w:val="none"/>
              </w:rPr>
              <w:t>0</w:t>
            </w:r>
            <w:r>
              <w:rPr>
                <w:rFonts w:hint="eastAsia"/>
                <w:color w:val="auto"/>
                <w:highlight w:val="none"/>
                <w:lang w:val="en-US" w:eastAsia="zh-CN"/>
              </w:rPr>
              <w:t>2</w:t>
            </w:r>
            <w:r>
              <w:rPr>
                <w:rFonts w:hint="eastAsia"/>
                <w:color w:val="auto"/>
                <w:highlight w:val="none"/>
              </w:rPr>
              <w:t>kg</w:t>
            </w:r>
            <w:r>
              <w:rPr>
                <w:color w:val="auto"/>
                <w:highlight w:val="none"/>
              </w:rPr>
              <w:t>/</w:t>
            </w:r>
            <w:r>
              <w:rPr>
                <w:rFonts w:hint="eastAsia"/>
                <w:color w:val="auto"/>
                <w:highlight w:val="none"/>
              </w:rPr>
              <w:t>h</w:t>
            </w:r>
            <w:r>
              <w:rPr>
                <w:rFonts w:hint="eastAsia"/>
                <w:color w:val="auto"/>
                <w:highlight w:val="none"/>
                <w:lang w:eastAsia="zh-CN"/>
              </w:rPr>
              <w:t>，</w:t>
            </w:r>
            <w:r>
              <w:rPr>
                <w:rFonts w:hint="eastAsia"/>
                <w:color w:val="auto"/>
                <w:highlight w:val="none"/>
              </w:rPr>
              <w:t>厂区内V</w:t>
            </w:r>
            <w:r>
              <w:rPr>
                <w:color w:val="auto"/>
                <w:highlight w:val="none"/>
              </w:rPr>
              <w:t>OC</w:t>
            </w:r>
            <w:r>
              <w:rPr>
                <w:rFonts w:hint="eastAsia"/>
                <w:color w:val="auto"/>
                <w:highlight w:val="none"/>
              </w:rPr>
              <w:t>s满足</w:t>
            </w:r>
            <w:r>
              <w:rPr>
                <w:color w:val="auto"/>
                <w:highlight w:val="none"/>
              </w:rPr>
              <w:t>《</w:t>
            </w:r>
            <w:r>
              <w:rPr>
                <w:rFonts w:hint="eastAsia"/>
                <w:color w:val="auto"/>
                <w:highlight w:val="none"/>
              </w:rPr>
              <w:t>挥发性</w:t>
            </w:r>
            <w:r>
              <w:rPr>
                <w:color w:val="auto"/>
                <w:highlight w:val="none"/>
              </w:rPr>
              <w:t>有机物无组织排放控制标准》</w:t>
            </w:r>
            <w:r>
              <w:rPr>
                <w:rFonts w:hint="eastAsia"/>
                <w:color w:val="auto"/>
                <w:highlight w:val="none"/>
              </w:rPr>
              <w:t>（GB37822-2019</w:t>
            </w:r>
            <w:r>
              <w:rPr>
                <w:color w:val="auto"/>
                <w:highlight w:val="none"/>
              </w:rPr>
              <w:t>）</w:t>
            </w:r>
            <w:r>
              <w:rPr>
                <w:rFonts w:hint="eastAsia"/>
                <w:color w:val="auto"/>
                <w:highlight w:val="none"/>
              </w:rPr>
              <w:t>附录A厂区</w:t>
            </w:r>
            <w:r>
              <w:rPr>
                <w:color w:val="auto"/>
                <w:highlight w:val="none"/>
              </w:rPr>
              <w:t>内</w:t>
            </w:r>
            <w:r>
              <w:rPr>
                <w:rFonts w:hint="eastAsia"/>
                <w:color w:val="auto"/>
                <w:highlight w:val="none"/>
              </w:rPr>
              <w:t>VOC</w:t>
            </w:r>
            <w:r>
              <w:rPr>
                <w:color w:val="auto"/>
                <w:highlight w:val="none"/>
              </w:rPr>
              <w:t>s无组织排放限值</w:t>
            </w:r>
            <w:r>
              <w:rPr>
                <w:rFonts w:hint="eastAsia"/>
                <w:color w:val="auto"/>
                <w:highlight w:val="none"/>
                <w:lang w:eastAsia="zh-CN"/>
              </w:rPr>
              <w:t>，</w:t>
            </w:r>
            <w:r>
              <w:rPr>
                <w:rFonts w:hint="eastAsia"/>
                <w:color w:val="auto"/>
                <w:highlight w:val="none"/>
              </w:rPr>
              <w:t>厂界V</w:t>
            </w:r>
            <w:r>
              <w:rPr>
                <w:color w:val="auto"/>
                <w:highlight w:val="none"/>
              </w:rPr>
              <w:t>OC</w:t>
            </w:r>
            <w:r>
              <w:rPr>
                <w:rFonts w:hint="eastAsia"/>
                <w:color w:val="auto"/>
                <w:highlight w:val="none"/>
              </w:rPr>
              <w:t>s满足</w:t>
            </w:r>
            <w:r>
              <w:rPr>
                <w:color w:val="auto"/>
                <w:highlight w:val="none"/>
              </w:rPr>
              <w:t>《大气污染物综合排放标准》（GB16297-1996）</w:t>
            </w:r>
            <w:r>
              <w:rPr>
                <w:rFonts w:hint="eastAsia"/>
                <w:color w:val="auto"/>
                <w:highlight w:val="none"/>
              </w:rPr>
              <w:t>表2</w:t>
            </w:r>
            <w:r>
              <w:rPr>
                <w:color w:val="auto"/>
                <w:highlight w:val="none"/>
              </w:rPr>
              <w:t>中</w:t>
            </w:r>
            <w:r>
              <w:rPr>
                <w:rFonts w:hint="eastAsia"/>
                <w:color w:val="auto"/>
                <w:highlight w:val="none"/>
              </w:rPr>
              <w:t>无组织排放标准要求。</w:t>
            </w:r>
          </w:p>
          <w:p w14:paraId="49F3695A">
            <w:pPr>
              <w:pStyle w:val="102"/>
              <w:ind w:firstLine="480"/>
              <w:rPr>
                <w:color w:val="auto"/>
              </w:rPr>
            </w:pPr>
            <w:r>
              <w:rPr>
                <w:rFonts w:hint="eastAsia" w:ascii="宋体" w:hAnsi="宋体" w:cs="宋体"/>
                <w:color w:val="auto"/>
              </w:rPr>
              <w:t>③</w:t>
            </w:r>
            <w:r>
              <w:rPr>
                <w:rFonts w:hint="eastAsia"/>
                <w:color w:val="auto"/>
              </w:rPr>
              <w:t>非正常工况污染物</w:t>
            </w:r>
          </w:p>
          <w:p w14:paraId="088D7918">
            <w:pPr>
              <w:pStyle w:val="102"/>
              <w:ind w:firstLine="480"/>
              <w:rPr>
                <w:color w:val="auto"/>
              </w:rPr>
            </w:pPr>
            <w:r>
              <w:rPr>
                <w:rFonts w:hint="eastAsia"/>
                <w:color w:val="auto"/>
              </w:rPr>
              <w:t>本项目非正常工况按活性炭失效计算</w:t>
            </w:r>
            <w:r>
              <w:rPr>
                <w:rFonts w:hint="eastAsia"/>
                <w:color w:val="auto"/>
                <w:lang w:eastAsia="zh-CN"/>
              </w:rPr>
              <w:t>，</w:t>
            </w:r>
            <w:r>
              <w:rPr>
                <w:rFonts w:hint="eastAsia"/>
                <w:color w:val="auto"/>
                <w:lang w:val="en-US" w:eastAsia="zh-CN"/>
              </w:rPr>
              <w:t>去除</w:t>
            </w:r>
            <w:r>
              <w:rPr>
                <w:rFonts w:hint="eastAsia"/>
                <w:color w:val="auto"/>
              </w:rPr>
              <w:t>效率</w:t>
            </w:r>
            <w:r>
              <w:rPr>
                <w:rFonts w:hint="eastAsia"/>
                <w:color w:val="auto"/>
                <w:lang w:val="en-US" w:eastAsia="zh-CN"/>
              </w:rPr>
              <w:t>为</w:t>
            </w:r>
            <w:r>
              <w:rPr>
                <w:rFonts w:hint="eastAsia"/>
                <w:color w:val="auto"/>
              </w:rPr>
              <w:t>0</w:t>
            </w:r>
            <w:r>
              <w:rPr>
                <w:rFonts w:hint="eastAsia"/>
                <w:color w:val="auto"/>
                <w:lang w:eastAsia="zh-CN"/>
              </w:rPr>
              <w:t>，</w:t>
            </w:r>
            <w:r>
              <w:rPr>
                <w:rFonts w:hint="eastAsia"/>
                <w:color w:val="auto"/>
              </w:rPr>
              <w:t>经计算</w:t>
            </w:r>
            <w:r>
              <w:rPr>
                <w:color w:val="auto"/>
              </w:rPr>
              <w:t>得出非正常工况下污染物排放情况见下表。</w:t>
            </w:r>
          </w:p>
          <w:p w14:paraId="52A2373B">
            <w:pPr>
              <w:pStyle w:val="114"/>
              <w:rPr>
                <w:color w:val="auto"/>
              </w:rPr>
            </w:pPr>
            <w:r>
              <w:rPr>
                <w:color w:val="auto"/>
              </w:rPr>
              <w:t>表</w:t>
            </w:r>
            <w:r>
              <w:rPr>
                <w:rFonts w:hint="eastAsia"/>
                <w:color w:val="auto"/>
              </w:rPr>
              <w:t>4-</w:t>
            </w:r>
            <w:r>
              <w:rPr>
                <w:color w:val="auto"/>
              </w:rPr>
              <w:t xml:space="preserve">5 </w:t>
            </w:r>
            <w:r>
              <w:rPr>
                <w:rFonts w:hint="eastAsia"/>
                <w:color w:val="auto"/>
                <w:lang w:val="en-US" w:eastAsia="zh-CN"/>
              </w:rPr>
              <w:t xml:space="preserve"> </w:t>
            </w:r>
            <w:r>
              <w:rPr>
                <w:color w:val="auto"/>
              </w:rPr>
              <w:t>非正常排放参数表</w:t>
            </w:r>
          </w:p>
          <w:tbl>
            <w:tblPr>
              <w:tblStyle w:val="43"/>
              <w:tblW w:w="0" w:type="auto"/>
              <w:jc w:val="center"/>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091"/>
              <w:gridCol w:w="783"/>
              <w:gridCol w:w="1512"/>
              <w:gridCol w:w="1781"/>
              <w:gridCol w:w="910"/>
              <w:gridCol w:w="868"/>
              <w:gridCol w:w="1474"/>
            </w:tblGrid>
            <w:tr w14:paraId="2BF0BC39">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vAlign w:val="center"/>
                </w:tcPr>
                <w:p w14:paraId="388B7EED">
                  <w:pPr>
                    <w:pStyle w:val="112"/>
                    <w:spacing w:line="240" w:lineRule="auto"/>
                    <w:ind w:firstLine="0" w:firstLineChars="0"/>
                    <w:jc w:val="center"/>
                    <w:rPr>
                      <w:color w:val="auto"/>
                      <w:sz w:val="21"/>
                      <w:szCs w:val="21"/>
                    </w:rPr>
                  </w:pPr>
                  <w:r>
                    <w:rPr>
                      <w:color w:val="auto"/>
                      <w:sz w:val="21"/>
                      <w:szCs w:val="21"/>
                    </w:rPr>
                    <w:t>非正常排放源</w:t>
                  </w:r>
                </w:p>
              </w:tc>
              <w:tc>
                <w:tcPr>
                  <w:tcW w:w="0" w:type="auto"/>
                  <w:vAlign w:val="center"/>
                </w:tcPr>
                <w:p w14:paraId="421EBFAD">
                  <w:pPr>
                    <w:pStyle w:val="112"/>
                    <w:spacing w:line="240" w:lineRule="auto"/>
                    <w:ind w:firstLine="0" w:firstLineChars="0"/>
                    <w:jc w:val="center"/>
                    <w:rPr>
                      <w:color w:val="auto"/>
                      <w:sz w:val="21"/>
                      <w:szCs w:val="21"/>
                    </w:rPr>
                  </w:pPr>
                  <w:r>
                    <w:rPr>
                      <w:color w:val="auto"/>
                      <w:sz w:val="21"/>
                      <w:szCs w:val="21"/>
                    </w:rPr>
                    <w:t>污染物</w:t>
                  </w:r>
                </w:p>
              </w:tc>
              <w:tc>
                <w:tcPr>
                  <w:tcW w:w="0" w:type="auto"/>
                  <w:vAlign w:val="center"/>
                </w:tcPr>
                <w:p w14:paraId="2F41432D">
                  <w:pPr>
                    <w:pStyle w:val="112"/>
                    <w:spacing w:line="240" w:lineRule="auto"/>
                    <w:ind w:firstLine="0" w:firstLineChars="0"/>
                    <w:jc w:val="center"/>
                    <w:rPr>
                      <w:color w:val="auto"/>
                      <w:sz w:val="21"/>
                      <w:szCs w:val="21"/>
                    </w:rPr>
                  </w:pPr>
                  <w:r>
                    <w:rPr>
                      <w:color w:val="auto"/>
                      <w:sz w:val="21"/>
                      <w:szCs w:val="21"/>
                    </w:rPr>
                    <w:t>非正常排放</w:t>
                  </w:r>
                  <w:r>
                    <w:rPr>
                      <w:rFonts w:hint="eastAsia"/>
                      <w:color w:val="auto"/>
                      <w:sz w:val="21"/>
                      <w:szCs w:val="21"/>
                    </w:rPr>
                    <w:t>量</w:t>
                  </w:r>
                  <w:r>
                    <w:rPr>
                      <w:color w:val="auto"/>
                      <w:sz w:val="21"/>
                      <w:szCs w:val="21"/>
                    </w:rPr>
                    <w:t>（kg/h）</w:t>
                  </w:r>
                </w:p>
              </w:tc>
              <w:tc>
                <w:tcPr>
                  <w:tcW w:w="0" w:type="auto"/>
                  <w:vAlign w:val="center"/>
                </w:tcPr>
                <w:p w14:paraId="76D65A7F">
                  <w:pPr>
                    <w:pStyle w:val="112"/>
                    <w:spacing w:line="240" w:lineRule="auto"/>
                    <w:ind w:firstLine="0" w:firstLineChars="0"/>
                    <w:jc w:val="center"/>
                    <w:rPr>
                      <w:color w:val="auto"/>
                      <w:sz w:val="21"/>
                      <w:szCs w:val="21"/>
                    </w:rPr>
                  </w:pPr>
                  <w:r>
                    <w:rPr>
                      <w:color w:val="auto"/>
                      <w:sz w:val="21"/>
                      <w:szCs w:val="21"/>
                    </w:rPr>
                    <w:t>非正常排放浓度（mg</w:t>
                  </w:r>
                  <w:r>
                    <w:rPr>
                      <w:rFonts w:hint="eastAsia"/>
                      <w:color w:val="auto"/>
                      <w:sz w:val="21"/>
                      <w:szCs w:val="21"/>
                    </w:rPr>
                    <w:t>/m</w:t>
                  </w:r>
                  <w:r>
                    <w:rPr>
                      <w:rFonts w:hint="eastAsia"/>
                      <w:color w:val="auto"/>
                      <w:sz w:val="21"/>
                      <w:szCs w:val="21"/>
                      <w:vertAlign w:val="superscript"/>
                    </w:rPr>
                    <w:t>3</w:t>
                  </w:r>
                  <w:r>
                    <w:rPr>
                      <w:color w:val="auto"/>
                      <w:sz w:val="21"/>
                      <w:szCs w:val="21"/>
                    </w:rPr>
                    <w:t>）</w:t>
                  </w:r>
                </w:p>
              </w:tc>
              <w:tc>
                <w:tcPr>
                  <w:tcW w:w="0" w:type="auto"/>
                  <w:vAlign w:val="center"/>
                </w:tcPr>
                <w:p w14:paraId="35F0CE9E">
                  <w:pPr>
                    <w:pStyle w:val="112"/>
                    <w:spacing w:line="240" w:lineRule="auto"/>
                    <w:ind w:firstLine="0" w:firstLineChars="0"/>
                    <w:jc w:val="center"/>
                    <w:rPr>
                      <w:color w:val="auto"/>
                      <w:sz w:val="21"/>
                      <w:szCs w:val="21"/>
                    </w:rPr>
                  </w:pPr>
                  <w:r>
                    <w:rPr>
                      <w:color w:val="auto"/>
                      <w:sz w:val="21"/>
                      <w:szCs w:val="21"/>
                    </w:rPr>
                    <w:t>单次持续时间/h</w:t>
                  </w:r>
                </w:p>
              </w:tc>
              <w:tc>
                <w:tcPr>
                  <w:tcW w:w="0" w:type="auto"/>
                  <w:tcBorders>
                    <w:right w:val="single" w:color="auto" w:sz="4" w:space="0"/>
                  </w:tcBorders>
                  <w:vAlign w:val="center"/>
                </w:tcPr>
                <w:p w14:paraId="5D835FA8">
                  <w:pPr>
                    <w:pStyle w:val="112"/>
                    <w:spacing w:line="240" w:lineRule="auto"/>
                    <w:ind w:firstLine="0" w:firstLineChars="0"/>
                    <w:jc w:val="center"/>
                    <w:rPr>
                      <w:color w:val="auto"/>
                      <w:sz w:val="21"/>
                      <w:szCs w:val="21"/>
                    </w:rPr>
                  </w:pPr>
                  <w:r>
                    <w:rPr>
                      <w:color w:val="auto"/>
                      <w:sz w:val="21"/>
                      <w:szCs w:val="21"/>
                    </w:rPr>
                    <w:t>年发生频次/次</w:t>
                  </w:r>
                </w:p>
              </w:tc>
              <w:tc>
                <w:tcPr>
                  <w:tcW w:w="0" w:type="auto"/>
                  <w:tcBorders>
                    <w:left w:val="single" w:color="auto" w:sz="4" w:space="0"/>
                  </w:tcBorders>
                  <w:vAlign w:val="center"/>
                </w:tcPr>
                <w:p w14:paraId="74362CEF">
                  <w:pPr>
                    <w:spacing w:line="0" w:lineRule="atLeast"/>
                    <w:contextualSpacing/>
                    <w:jc w:val="center"/>
                    <w:rPr>
                      <w:color w:val="auto"/>
                      <w:kern w:val="0"/>
                      <w:szCs w:val="21"/>
                    </w:rPr>
                  </w:pPr>
                  <w:r>
                    <w:rPr>
                      <w:rFonts w:hAnsi="宋体"/>
                      <w:color w:val="auto"/>
                      <w:kern w:val="0"/>
                      <w:szCs w:val="21"/>
                    </w:rPr>
                    <w:t>应对措施</w:t>
                  </w:r>
                </w:p>
              </w:tc>
            </w:tr>
            <w:tr w14:paraId="6E582498">
              <w:tblPrEx>
                <w:tblBorders>
                  <w:top w:val="single" w:color="000000" w:sz="12" w:space="0"/>
                  <w:left w:val="none" w:color="auto" w:sz="0" w:space="0"/>
                  <w:bottom w:val="single" w:color="000000"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0" w:type="auto"/>
                  <w:vAlign w:val="center"/>
                </w:tcPr>
                <w:p w14:paraId="695B06C2">
                  <w:pPr>
                    <w:spacing w:line="0" w:lineRule="atLeast"/>
                    <w:contextualSpacing/>
                    <w:jc w:val="center"/>
                    <w:rPr>
                      <w:color w:val="auto"/>
                      <w:szCs w:val="21"/>
                    </w:rPr>
                  </w:pPr>
                  <w:r>
                    <w:rPr>
                      <w:rFonts w:hint="eastAsia"/>
                      <w:color w:val="auto"/>
                      <w:szCs w:val="21"/>
                    </w:rPr>
                    <w:t>DA001</w:t>
                  </w:r>
                </w:p>
              </w:tc>
              <w:tc>
                <w:tcPr>
                  <w:tcW w:w="0" w:type="auto"/>
                  <w:vAlign w:val="center"/>
                </w:tcPr>
                <w:p w14:paraId="3D56276B">
                  <w:pPr>
                    <w:pStyle w:val="228"/>
                    <w:spacing w:line="0" w:lineRule="atLeast"/>
                    <w:rPr>
                      <w:rFonts w:ascii="Times New Roman" w:hAnsi="Times New Roman" w:eastAsia="宋体"/>
                      <w:color w:val="auto"/>
                      <w:sz w:val="21"/>
                      <w:szCs w:val="21"/>
                    </w:rPr>
                  </w:pPr>
                  <w:r>
                    <w:rPr>
                      <w:rFonts w:hint="eastAsia" w:ascii="Times New Roman" w:hAnsi="Times New Roman" w:eastAsia="宋体"/>
                      <w:color w:val="auto"/>
                      <w:sz w:val="21"/>
                      <w:szCs w:val="21"/>
                    </w:rPr>
                    <w:t>V</w:t>
                  </w:r>
                  <w:r>
                    <w:rPr>
                      <w:rFonts w:ascii="Times New Roman" w:hAnsi="Times New Roman" w:eastAsia="宋体"/>
                      <w:color w:val="auto"/>
                      <w:sz w:val="21"/>
                      <w:szCs w:val="21"/>
                    </w:rPr>
                    <w:t>OC</w:t>
                  </w:r>
                  <w:r>
                    <w:rPr>
                      <w:rFonts w:hint="eastAsia" w:ascii="Times New Roman" w:hAnsi="Times New Roman" w:eastAsia="宋体"/>
                      <w:color w:val="auto"/>
                      <w:sz w:val="21"/>
                      <w:szCs w:val="21"/>
                    </w:rPr>
                    <w:t>s</w:t>
                  </w:r>
                </w:p>
              </w:tc>
              <w:tc>
                <w:tcPr>
                  <w:tcW w:w="0" w:type="auto"/>
                  <w:vAlign w:val="center"/>
                </w:tcPr>
                <w:p w14:paraId="36DB2FF0">
                  <w:pPr>
                    <w:pStyle w:val="228"/>
                    <w:spacing w:line="0" w:lineRule="atLeast"/>
                    <w:rPr>
                      <w:rFonts w:hint="default" w:ascii="Times New Roman" w:hAnsi="Times New Roman" w:eastAsia="宋体"/>
                      <w:color w:val="auto"/>
                      <w:sz w:val="21"/>
                      <w:szCs w:val="21"/>
                      <w:lang w:val="en-US" w:eastAsia="zh-CN"/>
                    </w:rPr>
                  </w:pPr>
                  <w:r>
                    <w:rPr>
                      <w:rFonts w:hint="eastAsia" w:ascii="Times New Roman" w:hAnsi="Times New Roman" w:eastAsia="宋体"/>
                      <w:color w:val="auto"/>
                      <w:sz w:val="21"/>
                      <w:szCs w:val="21"/>
                      <w:lang w:val="en-US" w:eastAsia="zh-CN"/>
                    </w:rPr>
                    <w:t>0.60</w:t>
                  </w:r>
                </w:p>
              </w:tc>
              <w:tc>
                <w:tcPr>
                  <w:tcW w:w="0" w:type="auto"/>
                  <w:vAlign w:val="center"/>
                </w:tcPr>
                <w:p w14:paraId="7FFA171C">
                  <w:pPr>
                    <w:jc w:val="center"/>
                    <w:rPr>
                      <w:rFonts w:hint="default" w:eastAsia="宋体"/>
                      <w:color w:val="auto"/>
                      <w:szCs w:val="21"/>
                      <w:lang w:val="en-US" w:eastAsia="zh-CN"/>
                    </w:rPr>
                  </w:pPr>
                  <w:r>
                    <w:rPr>
                      <w:rFonts w:hint="eastAsia"/>
                      <w:color w:val="auto"/>
                      <w:szCs w:val="21"/>
                      <w:lang w:val="en-US" w:eastAsia="zh-CN"/>
                    </w:rPr>
                    <w:t>150.30</w:t>
                  </w:r>
                </w:p>
              </w:tc>
              <w:tc>
                <w:tcPr>
                  <w:tcW w:w="0" w:type="auto"/>
                  <w:vAlign w:val="center"/>
                </w:tcPr>
                <w:p w14:paraId="7FE85F49">
                  <w:pPr>
                    <w:pStyle w:val="112"/>
                    <w:spacing w:line="240" w:lineRule="auto"/>
                    <w:ind w:firstLine="0" w:firstLineChars="0"/>
                    <w:jc w:val="center"/>
                    <w:rPr>
                      <w:color w:val="auto"/>
                      <w:sz w:val="21"/>
                      <w:szCs w:val="21"/>
                    </w:rPr>
                  </w:pPr>
                  <w:r>
                    <w:rPr>
                      <w:color w:val="auto"/>
                      <w:sz w:val="21"/>
                      <w:szCs w:val="21"/>
                    </w:rPr>
                    <w:t>＜1</w:t>
                  </w:r>
                </w:p>
              </w:tc>
              <w:tc>
                <w:tcPr>
                  <w:tcW w:w="0" w:type="auto"/>
                  <w:tcBorders>
                    <w:right w:val="single" w:color="auto" w:sz="4" w:space="0"/>
                  </w:tcBorders>
                  <w:vAlign w:val="center"/>
                </w:tcPr>
                <w:p w14:paraId="077DFABE">
                  <w:pPr>
                    <w:pStyle w:val="112"/>
                    <w:spacing w:line="240" w:lineRule="auto"/>
                    <w:ind w:firstLine="0" w:firstLineChars="0"/>
                    <w:jc w:val="center"/>
                    <w:rPr>
                      <w:color w:val="auto"/>
                      <w:sz w:val="21"/>
                      <w:szCs w:val="21"/>
                    </w:rPr>
                  </w:pPr>
                  <w:r>
                    <w:rPr>
                      <w:color w:val="auto"/>
                      <w:sz w:val="21"/>
                      <w:szCs w:val="21"/>
                    </w:rPr>
                    <w:t>1</w:t>
                  </w:r>
                </w:p>
              </w:tc>
              <w:tc>
                <w:tcPr>
                  <w:tcW w:w="0" w:type="auto"/>
                  <w:tcBorders>
                    <w:left w:val="single" w:color="auto" w:sz="4" w:space="0"/>
                  </w:tcBorders>
                  <w:vAlign w:val="center"/>
                </w:tcPr>
                <w:p w14:paraId="35B7A1C6">
                  <w:pPr>
                    <w:spacing w:line="0" w:lineRule="atLeast"/>
                    <w:contextualSpacing/>
                    <w:jc w:val="center"/>
                    <w:rPr>
                      <w:color w:val="auto"/>
                      <w:kern w:val="0"/>
                      <w:szCs w:val="21"/>
                    </w:rPr>
                  </w:pPr>
                  <w:r>
                    <w:rPr>
                      <w:rFonts w:hAnsi="宋体"/>
                      <w:color w:val="auto"/>
                      <w:kern w:val="0"/>
                      <w:szCs w:val="21"/>
                    </w:rPr>
                    <w:t>及时</w:t>
                  </w:r>
                  <w:r>
                    <w:rPr>
                      <w:rFonts w:hint="eastAsia" w:hAnsi="宋体"/>
                      <w:color w:val="auto"/>
                      <w:kern w:val="0"/>
                      <w:szCs w:val="21"/>
                    </w:rPr>
                    <w:t>更换活性炭</w:t>
                  </w:r>
                  <w:r>
                    <w:rPr>
                      <w:rFonts w:hint="eastAsia" w:hAnsi="宋体"/>
                      <w:color w:val="auto"/>
                      <w:kern w:val="0"/>
                      <w:szCs w:val="21"/>
                      <w:lang w:eastAsia="zh-CN"/>
                    </w:rPr>
                    <w:t>，</w:t>
                  </w:r>
                  <w:r>
                    <w:rPr>
                      <w:rFonts w:hAnsi="宋体"/>
                      <w:color w:val="auto"/>
                      <w:kern w:val="0"/>
                      <w:szCs w:val="21"/>
                    </w:rPr>
                    <w:t>加强维护</w:t>
                  </w:r>
                </w:p>
              </w:tc>
            </w:tr>
          </w:tbl>
          <w:p w14:paraId="78961A77">
            <w:pPr>
              <w:pStyle w:val="102"/>
              <w:ind w:firstLine="480"/>
              <w:rPr>
                <w:color w:val="auto"/>
              </w:rPr>
            </w:pPr>
            <w:r>
              <w:rPr>
                <w:rFonts w:hint="eastAsia"/>
                <w:color w:val="auto"/>
              </w:rPr>
              <w:t>（2）大气监测计划</w:t>
            </w:r>
          </w:p>
          <w:p w14:paraId="4FB59446">
            <w:pPr>
              <w:pStyle w:val="102"/>
              <w:ind w:firstLine="480"/>
              <w:rPr>
                <w:color w:val="auto"/>
              </w:rPr>
            </w:pPr>
            <w:r>
              <w:rPr>
                <w:rFonts w:hint="eastAsia"/>
                <w:color w:val="auto"/>
              </w:rPr>
              <w:t>根据《排污许可证申请与核发技术规范 专用化学产品制造工业》（H</w:t>
            </w:r>
            <w:r>
              <w:rPr>
                <w:color w:val="auto"/>
              </w:rPr>
              <w:t>J1103-2020</w:t>
            </w:r>
            <w:r>
              <w:rPr>
                <w:rFonts w:hint="eastAsia"/>
                <w:color w:val="auto"/>
              </w:rPr>
              <w:t>）</w:t>
            </w:r>
            <w:r>
              <w:rPr>
                <w:rFonts w:hint="eastAsia"/>
                <w:color w:val="auto"/>
                <w:lang w:eastAsia="zh-CN"/>
              </w:rPr>
              <w:t>，</w:t>
            </w:r>
            <w:r>
              <w:rPr>
                <w:rFonts w:hint="eastAsia"/>
                <w:color w:val="auto"/>
              </w:rPr>
              <w:t>本项目大气监测计划如下</w:t>
            </w:r>
            <w:r>
              <w:rPr>
                <w:color w:val="auto"/>
              </w:rPr>
              <w:t>。</w:t>
            </w:r>
          </w:p>
          <w:p w14:paraId="498122D9">
            <w:pPr>
              <w:pStyle w:val="114"/>
              <w:rPr>
                <w:color w:val="auto"/>
              </w:rPr>
            </w:pPr>
            <w:r>
              <w:rPr>
                <w:color w:val="auto"/>
              </w:rPr>
              <w:t>表</w:t>
            </w:r>
            <w:r>
              <w:rPr>
                <w:rFonts w:hint="eastAsia"/>
                <w:color w:val="auto"/>
              </w:rPr>
              <w:t>4-</w:t>
            </w:r>
            <w:r>
              <w:rPr>
                <w:color w:val="auto"/>
              </w:rPr>
              <w:t>6</w:t>
            </w:r>
            <w:r>
              <w:rPr>
                <w:rFonts w:hint="eastAsia"/>
                <w:color w:val="auto"/>
              </w:rPr>
              <w:t xml:space="preserve"> </w:t>
            </w:r>
            <w:r>
              <w:rPr>
                <w:rFonts w:hint="eastAsia"/>
                <w:color w:val="auto"/>
                <w:lang w:val="en-US" w:eastAsia="zh-CN"/>
              </w:rPr>
              <w:t xml:space="preserve"> </w:t>
            </w:r>
            <w:r>
              <w:rPr>
                <w:rFonts w:hint="eastAsia"/>
                <w:color w:val="auto"/>
              </w:rPr>
              <w:t>废气监测方案</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802"/>
              <w:gridCol w:w="2802"/>
              <w:gridCol w:w="2815"/>
            </w:tblGrid>
            <w:tr w14:paraId="1B8259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4" w:type="pct"/>
                  <w:shd w:val="clear" w:color="auto" w:fill="auto"/>
                  <w:vAlign w:val="center"/>
                </w:tcPr>
                <w:p w14:paraId="53A2260A">
                  <w:pPr>
                    <w:contextualSpacing/>
                    <w:jc w:val="center"/>
                    <w:rPr>
                      <w:color w:val="auto"/>
                      <w:szCs w:val="21"/>
                    </w:rPr>
                  </w:pPr>
                  <w:r>
                    <w:rPr>
                      <w:color w:val="auto"/>
                      <w:szCs w:val="21"/>
                    </w:rPr>
                    <w:t>监测点位</w:t>
                  </w:r>
                </w:p>
              </w:tc>
              <w:tc>
                <w:tcPr>
                  <w:tcW w:w="1664" w:type="pct"/>
                  <w:shd w:val="clear" w:color="auto" w:fill="auto"/>
                  <w:vAlign w:val="center"/>
                </w:tcPr>
                <w:p w14:paraId="5D46EB2B">
                  <w:pPr>
                    <w:contextualSpacing/>
                    <w:jc w:val="center"/>
                    <w:rPr>
                      <w:color w:val="auto"/>
                      <w:szCs w:val="21"/>
                    </w:rPr>
                  </w:pPr>
                  <w:r>
                    <w:rPr>
                      <w:color w:val="auto"/>
                      <w:szCs w:val="21"/>
                    </w:rPr>
                    <w:t>监测</w:t>
                  </w:r>
                  <w:r>
                    <w:rPr>
                      <w:rFonts w:hint="eastAsia"/>
                      <w:color w:val="auto"/>
                      <w:szCs w:val="21"/>
                    </w:rPr>
                    <w:t>因子</w:t>
                  </w:r>
                </w:p>
              </w:tc>
              <w:tc>
                <w:tcPr>
                  <w:tcW w:w="1672" w:type="pct"/>
                  <w:shd w:val="clear" w:color="auto" w:fill="auto"/>
                  <w:vAlign w:val="center"/>
                </w:tcPr>
                <w:p w14:paraId="79AF5A4B">
                  <w:pPr>
                    <w:contextualSpacing/>
                    <w:jc w:val="center"/>
                    <w:rPr>
                      <w:color w:val="auto"/>
                      <w:szCs w:val="21"/>
                    </w:rPr>
                  </w:pPr>
                  <w:r>
                    <w:rPr>
                      <w:color w:val="auto"/>
                      <w:szCs w:val="21"/>
                    </w:rPr>
                    <w:t>监测频次</w:t>
                  </w:r>
                </w:p>
              </w:tc>
            </w:tr>
            <w:tr w14:paraId="33EB68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4" w:type="pct"/>
                  <w:shd w:val="clear" w:color="auto" w:fill="auto"/>
                  <w:vAlign w:val="center"/>
                </w:tcPr>
                <w:p w14:paraId="26DB19A9">
                  <w:pPr>
                    <w:contextualSpacing/>
                    <w:jc w:val="center"/>
                    <w:rPr>
                      <w:color w:val="auto"/>
                      <w:szCs w:val="21"/>
                    </w:rPr>
                  </w:pPr>
                  <w:r>
                    <w:rPr>
                      <w:rFonts w:hint="eastAsia"/>
                      <w:color w:val="auto"/>
                      <w:szCs w:val="21"/>
                    </w:rPr>
                    <w:t>DA001</w:t>
                  </w:r>
                </w:p>
              </w:tc>
              <w:tc>
                <w:tcPr>
                  <w:tcW w:w="1664" w:type="pct"/>
                  <w:shd w:val="clear" w:color="auto" w:fill="auto"/>
                  <w:vAlign w:val="center"/>
                </w:tcPr>
                <w:p w14:paraId="23CA6344">
                  <w:pPr>
                    <w:contextualSpacing/>
                    <w:jc w:val="center"/>
                    <w:rPr>
                      <w:color w:val="auto"/>
                      <w:szCs w:val="21"/>
                    </w:rPr>
                  </w:pPr>
                  <w:r>
                    <w:rPr>
                      <w:rFonts w:hint="eastAsia"/>
                      <w:color w:val="auto"/>
                      <w:szCs w:val="21"/>
                    </w:rPr>
                    <w:t>V</w:t>
                  </w:r>
                  <w:r>
                    <w:rPr>
                      <w:color w:val="auto"/>
                      <w:szCs w:val="21"/>
                    </w:rPr>
                    <w:t>OC</w:t>
                  </w:r>
                  <w:r>
                    <w:rPr>
                      <w:rFonts w:hint="eastAsia"/>
                      <w:color w:val="auto"/>
                      <w:szCs w:val="21"/>
                    </w:rPr>
                    <w:t>s</w:t>
                  </w:r>
                </w:p>
              </w:tc>
              <w:tc>
                <w:tcPr>
                  <w:tcW w:w="1672" w:type="pct"/>
                  <w:shd w:val="clear" w:color="auto" w:fill="auto"/>
                  <w:vAlign w:val="center"/>
                </w:tcPr>
                <w:p w14:paraId="36F92D2E">
                  <w:pPr>
                    <w:contextualSpacing/>
                    <w:jc w:val="center"/>
                    <w:rPr>
                      <w:color w:val="auto"/>
                      <w:szCs w:val="21"/>
                    </w:rPr>
                  </w:pPr>
                  <w:r>
                    <w:rPr>
                      <w:color w:val="auto"/>
                      <w:szCs w:val="21"/>
                    </w:rPr>
                    <w:t>1次/</w:t>
                  </w:r>
                  <w:r>
                    <w:rPr>
                      <w:rFonts w:hint="eastAsia"/>
                      <w:color w:val="auto"/>
                      <w:szCs w:val="21"/>
                    </w:rPr>
                    <w:t>半</w:t>
                  </w:r>
                  <w:r>
                    <w:rPr>
                      <w:color w:val="auto"/>
                      <w:szCs w:val="21"/>
                    </w:rPr>
                    <w:t>年</w:t>
                  </w:r>
                </w:p>
              </w:tc>
            </w:tr>
            <w:tr w14:paraId="5DF5F5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664" w:type="pct"/>
                  <w:shd w:val="clear" w:color="auto" w:fill="auto"/>
                  <w:vAlign w:val="center"/>
                </w:tcPr>
                <w:p w14:paraId="65560D06">
                  <w:pPr>
                    <w:contextualSpacing/>
                    <w:jc w:val="center"/>
                    <w:rPr>
                      <w:color w:val="auto"/>
                      <w:szCs w:val="21"/>
                    </w:rPr>
                  </w:pPr>
                  <w:r>
                    <w:rPr>
                      <w:rFonts w:hint="eastAsia"/>
                      <w:color w:val="auto"/>
                      <w:szCs w:val="21"/>
                    </w:rPr>
                    <w:t>厂界</w:t>
                  </w:r>
                </w:p>
              </w:tc>
              <w:tc>
                <w:tcPr>
                  <w:tcW w:w="1664" w:type="pct"/>
                  <w:shd w:val="clear" w:color="auto" w:fill="auto"/>
                  <w:vAlign w:val="center"/>
                </w:tcPr>
                <w:p w14:paraId="6E545E54">
                  <w:pPr>
                    <w:contextualSpacing/>
                    <w:jc w:val="center"/>
                    <w:rPr>
                      <w:color w:val="auto"/>
                      <w:szCs w:val="21"/>
                    </w:rPr>
                  </w:pPr>
                  <w:r>
                    <w:rPr>
                      <w:rFonts w:hint="eastAsia"/>
                      <w:color w:val="auto"/>
                      <w:szCs w:val="21"/>
                    </w:rPr>
                    <w:t>V</w:t>
                  </w:r>
                  <w:r>
                    <w:rPr>
                      <w:color w:val="auto"/>
                      <w:szCs w:val="21"/>
                    </w:rPr>
                    <w:t>OC</w:t>
                  </w:r>
                  <w:r>
                    <w:rPr>
                      <w:rFonts w:hint="eastAsia"/>
                      <w:color w:val="auto"/>
                      <w:szCs w:val="21"/>
                    </w:rPr>
                    <w:t>s</w:t>
                  </w:r>
                </w:p>
              </w:tc>
              <w:tc>
                <w:tcPr>
                  <w:tcW w:w="1672" w:type="pct"/>
                  <w:shd w:val="clear" w:color="auto" w:fill="auto"/>
                  <w:vAlign w:val="center"/>
                </w:tcPr>
                <w:p w14:paraId="02BC03E0">
                  <w:pPr>
                    <w:contextualSpacing/>
                    <w:jc w:val="center"/>
                    <w:rPr>
                      <w:color w:val="auto"/>
                      <w:szCs w:val="21"/>
                    </w:rPr>
                  </w:pPr>
                  <w:r>
                    <w:rPr>
                      <w:color w:val="auto"/>
                      <w:szCs w:val="21"/>
                    </w:rPr>
                    <w:t>1次/</w:t>
                  </w:r>
                  <w:r>
                    <w:rPr>
                      <w:rFonts w:hint="eastAsia"/>
                      <w:color w:val="auto"/>
                      <w:szCs w:val="21"/>
                    </w:rPr>
                    <w:t>半</w:t>
                  </w:r>
                  <w:r>
                    <w:rPr>
                      <w:color w:val="auto"/>
                      <w:szCs w:val="21"/>
                    </w:rPr>
                    <w:t>年</w:t>
                  </w:r>
                </w:p>
              </w:tc>
            </w:tr>
          </w:tbl>
          <w:p w14:paraId="19F90712">
            <w:pPr>
              <w:pStyle w:val="102"/>
              <w:ind w:firstLine="480"/>
              <w:rPr>
                <w:color w:val="auto"/>
              </w:rPr>
            </w:pPr>
            <w:r>
              <w:rPr>
                <w:rFonts w:hint="eastAsia"/>
                <w:color w:val="auto"/>
              </w:rPr>
              <w:t>（3）达标排放分析及环境影响</w:t>
            </w:r>
          </w:p>
          <w:p w14:paraId="51A22DF3">
            <w:pPr>
              <w:pStyle w:val="102"/>
              <w:ind w:firstLine="480"/>
              <w:rPr>
                <w:rFonts w:hAnsi="宋体"/>
                <w:bCs/>
                <w:color w:val="auto"/>
                <w:highlight w:val="none"/>
              </w:rPr>
            </w:pPr>
            <w:r>
              <w:rPr>
                <w:rFonts w:hint="eastAsia"/>
                <w:color w:val="auto"/>
              </w:rPr>
              <w:t>本项目物料卸车、转运、输送过程</w:t>
            </w:r>
            <w:r>
              <w:rPr>
                <w:color w:val="auto"/>
              </w:rPr>
              <w:t>采用密闭管道</w:t>
            </w:r>
            <w:r>
              <w:rPr>
                <w:rFonts w:hint="eastAsia"/>
                <w:color w:val="auto"/>
              </w:rPr>
              <w:t>、</w:t>
            </w:r>
            <w:r>
              <w:rPr>
                <w:color w:val="auto"/>
              </w:rPr>
              <w:t>密闭容器</w:t>
            </w:r>
            <w:r>
              <w:rPr>
                <w:rFonts w:hint="eastAsia"/>
                <w:color w:val="auto"/>
                <w:lang w:eastAsia="zh-CN"/>
              </w:rPr>
              <w:t>，</w:t>
            </w:r>
            <w:r>
              <w:rPr>
                <w:rFonts w:hint="eastAsia"/>
                <w:color w:val="auto"/>
              </w:rPr>
              <w:t>生产区采取密闭措施</w:t>
            </w:r>
            <w:r>
              <w:rPr>
                <w:rFonts w:hint="eastAsia"/>
                <w:color w:val="auto"/>
                <w:lang w:eastAsia="zh-CN"/>
              </w:rPr>
              <w:t>，</w:t>
            </w:r>
            <w:r>
              <w:rPr>
                <w:rFonts w:hint="eastAsia"/>
                <w:color w:val="auto"/>
              </w:rPr>
              <w:t>储罐大小呼吸产生的废气经管道密闭收集后</w:t>
            </w:r>
            <w:r>
              <w:rPr>
                <w:rFonts w:hint="eastAsia"/>
                <w:color w:val="auto"/>
                <w:lang w:eastAsia="zh-CN"/>
              </w:rPr>
              <w:t>，</w:t>
            </w:r>
            <w:r>
              <w:rPr>
                <w:rFonts w:hint="eastAsia"/>
                <w:color w:val="auto"/>
              </w:rPr>
              <w:t>全部送厂区活性炭吸附装置进行处理</w:t>
            </w:r>
            <w:r>
              <w:rPr>
                <w:rFonts w:hint="eastAsia"/>
                <w:color w:val="auto"/>
                <w:lang w:eastAsia="zh-CN"/>
              </w:rPr>
              <w:t>，</w:t>
            </w:r>
            <w:r>
              <w:rPr>
                <w:rFonts w:hint="eastAsia"/>
                <w:bCs/>
                <w:color w:val="auto"/>
              </w:rPr>
              <w:t>包装机灌装区</w:t>
            </w:r>
            <w:r>
              <w:rPr>
                <w:rFonts w:hint="eastAsia"/>
                <w:bCs/>
                <w:color w:val="auto"/>
                <w:highlight w:val="none"/>
              </w:rPr>
              <w:t>设有密闭罩壳</w:t>
            </w:r>
            <w:r>
              <w:rPr>
                <w:rFonts w:hint="eastAsia"/>
                <w:bCs/>
                <w:color w:val="auto"/>
                <w:highlight w:val="none"/>
                <w:lang w:eastAsia="zh-CN"/>
              </w:rPr>
              <w:t>，</w:t>
            </w:r>
            <w:r>
              <w:rPr>
                <w:rFonts w:hint="eastAsia"/>
                <w:bCs/>
                <w:color w:val="auto"/>
                <w:highlight w:val="none"/>
              </w:rPr>
              <w:t>罩壳内部设置集气管收集灌装过程产生的废气</w:t>
            </w:r>
            <w:r>
              <w:rPr>
                <w:rFonts w:hint="eastAsia"/>
                <w:bCs/>
                <w:color w:val="auto"/>
                <w:highlight w:val="none"/>
                <w:lang w:eastAsia="zh-CN"/>
              </w:rPr>
              <w:t>，</w:t>
            </w:r>
            <w:r>
              <w:rPr>
                <w:rFonts w:hint="eastAsia"/>
                <w:bCs/>
                <w:color w:val="auto"/>
                <w:highlight w:val="none"/>
              </w:rPr>
              <w:t>收集的废气</w:t>
            </w:r>
            <w:r>
              <w:rPr>
                <w:rFonts w:hint="eastAsia"/>
                <w:color w:val="auto"/>
                <w:highlight w:val="none"/>
              </w:rPr>
              <w:t>全部送厂区活性炭吸附装置进行处理</w:t>
            </w:r>
            <w:r>
              <w:rPr>
                <w:rFonts w:hint="eastAsia"/>
                <w:color w:val="auto"/>
                <w:highlight w:val="none"/>
                <w:lang w:eastAsia="zh-CN"/>
              </w:rPr>
              <w:t>，</w:t>
            </w:r>
            <w:r>
              <w:rPr>
                <w:rFonts w:hint="eastAsia"/>
                <w:color w:val="auto"/>
                <w:highlight w:val="none"/>
              </w:rPr>
              <w:t>处理后经1</w:t>
            </w:r>
            <w:r>
              <w:rPr>
                <w:color w:val="auto"/>
                <w:highlight w:val="none"/>
              </w:rPr>
              <w:t>5</w:t>
            </w:r>
            <w:r>
              <w:rPr>
                <w:rFonts w:hint="eastAsia"/>
                <w:color w:val="auto"/>
                <w:highlight w:val="none"/>
              </w:rPr>
              <w:t>m高排气筒（</w:t>
            </w:r>
            <w:r>
              <w:rPr>
                <w:color w:val="auto"/>
                <w:highlight w:val="none"/>
              </w:rPr>
              <w:t>DA001</w:t>
            </w:r>
            <w:r>
              <w:rPr>
                <w:rFonts w:hint="eastAsia"/>
                <w:color w:val="auto"/>
                <w:highlight w:val="none"/>
              </w:rPr>
              <w:t>）排放</w:t>
            </w:r>
            <w:r>
              <w:rPr>
                <w:rFonts w:hint="eastAsia" w:ascii="宋体" w:hAnsi="宋体" w:cs="宋体"/>
                <w:color w:val="auto"/>
                <w:highlight w:val="none"/>
                <w:lang w:eastAsia="zh-CN"/>
              </w:rPr>
              <w:t>，</w:t>
            </w:r>
            <w:r>
              <w:rPr>
                <w:rFonts w:hint="eastAsia"/>
                <w:color w:val="auto"/>
                <w:highlight w:val="none"/>
              </w:rPr>
              <w:t>VOCs有组织排放量为</w:t>
            </w:r>
            <w:r>
              <w:rPr>
                <w:rFonts w:hint="eastAsia"/>
                <w:color w:val="auto"/>
                <w:highlight w:val="none"/>
                <w:lang w:val="en-US" w:eastAsia="zh-CN"/>
              </w:rPr>
              <w:t>0.29</w:t>
            </w:r>
            <w:r>
              <w:rPr>
                <w:rFonts w:hint="eastAsia"/>
                <w:color w:val="auto"/>
                <w:highlight w:val="none"/>
              </w:rPr>
              <w:t>t</w:t>
            </w:r>
            <w:r>
              <w:rPr>
                <w:color w:val="auto"/>
                <w:highlight w:val="none"/>
              </w:rPr>
              <w:t>/</w:t>
            </w:r>
            <w:r>
              <w:rPr>
                <w:rFonts w:hint="eastAsia"/>
                <w:color w:val="auto"/>
                <w:highlight w:val="none"/>
              </w:rPr>
              <w:t>a</w:t>
            </w:r>
            <w:r>
              <w:rPr>
                <w:rFonts w:hint="eastAsia"/>
                <w:color w:val="auto"/>
                <w:highlight w:val="none"/>
                <w:lang w:eastAsia="zh-CN"/>
              </w:rPr>
              <w:t>，</w:t>
            </w:r>
            <w:r>
              <w:rPr>
                <w:rFonts w:hint="eastAsia"/>
                <w:color w:val="auto"/>
                <w:highlight w:val="none"/>
              </w:rPr>
              <w:t>排放速率为</w:t>
            </w:r>
            <w:r>
              <w:rPr>
                <w:rFonts w:hint="eastAsia"/>
                <w:color w:val="auto"/>
                <w:highlight w:val="none"/>
                <w:lang w:val="en-US" w:eastAsia="zh-CN"/>
              </w:rPr>
              <w:t>0.12</w:t>
            </w:r>
            <w:r>
              <w:rPr>
                <w:rFonts w:hint="eastAsia"/>
                <w:color w:val="auto"/>
                <w:highlight w:val="none"/>
              </w:rPr>
              <w:t>kg</w:t>
            </w:r>
            <w:r>
              <w:rPr>
                <w:color w:val="auto"/>
                <w:highlight w:val="none"/>
              </w:rPr>
              <w:t>/</w:t>
            </w:r>
            <w:r>
              <w:rPr>
                <w:rFonts w:hint="eastAsia"/>
                <w:color w:val="auto"/>
                <w:highlight w:val="none"/>
              </w:rPr>
              <w:t>h</w:t>
            </w:r>
            <w:r>
              <w:rPr>
                <w:rFonts w:hint="eastAsia"/>
                <w:color w:val="auto"/>
                <w:highlight w:val="none"/>
                <w:lang w:eastAsia="zh-CN"/>
              </w:rPr>
              <w:t>，</w:t>
            </w:r>
            <w:r>
              <w:rPr>
                <w:rFonts w:hint="eastAsia"/>
                <w:color w:val="auto"/>
                <w:highlight w:val="none"/>
              </w:rPr>
              <w:t>排放浓度为</w:t>
            </w:r>
            <w:r>
              <w:rPr>
                <w:rFonts w:hint="eastAsia"/>
                <w:color w:val="auto"/>
                <w:highlight w:val="none"/>
                <w:lang w:val="en-US" w:eastAsia="zh-CN"/>
              </w:rPr>
              <w:t>30.06</w:t>
            </w:r>
            <w:r>
              <w:rPr>
                <w:rFonts w:hint="eastAsia"/>
                <w:color w:val="auto"/>
                <w:highlight w:val="none"/>
              </w:rPr>
              <w:t>mg</w:t>
            </w:r>
            <w:r>
              <w:rPr>
                <w:color w:val="auto"/>
                <w:highlight w:val="none"/>
              </w:rPr>
              <w:t>/</w:t>
            </w:r>
            <w:r>
              <w:rPr>
                <w:rFonts w:hint="eastAsia"/>
                <w:color w:val="auto"/>
                <w:highlight w:val="none"/>
              </w:rPr>
              <w:t>m</w:t>
            </w:r>
            <w:r>
              <w:rPr>
                <w:color w:val="auto"/>
                <w:highlight w:val="none"/>
                <w:vertAlign w:val="superscript"/>
              </w:rPr>
              <w:t>3</w:t>
            </w:r>
            <w:r>
              <w:rPr>
                <w:rFonts w:hint="eastAsia"/>
                <w:color w:val="auto"/>
                <w:highlight w:val="none"/>
                <w:lang w:eastAsia="zh-CN"/>
              </w:rPr>
              <w:t>，</w:t>
            </w:r>
            <w:r>
              <w:rPr>
                <w:rFonts w:hint="eastAsia"/>
                <w:color w:val="auto"/>
                <w:highlight w:val="none"/>
              </w:rPr>
              <w:t>满足</w:t>
            </w:r>
            <w:r>
              <w:rPr>
                <w:color w:val="auto"/>
                <w:highlight w:val="none"/>
              </w:rPr>
              <w:t>《大气污染物综合排放标准》（GB16297-1996）</w:t>
            </w:r>
            <w:r>
              <w:rPr>
                <w:rFonts w:hint="eastAsia"/>
                <w:color w:val="auto"/>
                <w:highlight w:val="none"/>
              </w:rPr>
              <w:t>表2</w:t>
            </w:r>
            <w:r>
              <w:rPr>
                <w:color w:val="auto"/>
                <w:highlight w:val="none"/>
              </w:rPr>
              <w:t>中</w:t>
            </w:r>
            <w:r>
              <w:rPr>
                <w:rFonts w:hint="eastAsia"/>
                <w:color w:val="auto"/>
                <w:highlight w:val="none"/>
              </w:rPr>
              <w:t>二级标准限值要求</w:t>
            </w:r>
            <w:r>
              <w:rPr>
                <w:rFonts w:hint="eastAsia"/>
                <w:color w:val="auto"/>
                <w:szCs w:val="24"/>
                <w:highlight w:val="none"/>
              </w:rPr>
              <w:t>。</w:t>
            </w:r>
          </w:p>
          <w:p w14:paraId="5F460544">
            <w:pPr>
              <w:pStyle w:val="102"/>
              <w:ind w:firstLine="480"/>
              <w:rPr>
                <w:color w:val="auto"/>
                <w:highlight w:val="none"/>
              </w:rPr>
            </w:pPr>
            <w:r>
              <w:rPr>
                <w:rFonts w:hint="eastAsia"/>
                <w:color w:val="auto"/>
                <w:szCs w:val="24"/>
                <w:highlight w:val="none"/>
              </w:rPr>
              <w:t>无组织V</w:t>
            </w:r>
            <w:r>
              <w:rPr>
                <w:color w:val="auto"/>
                <w:szCs w:val="24"/>
                <w:highlight w:val="none"/>
              </w:rPr>
              <w:t>OC</w:t>
            </w:r>
            <w:r>
              <w:rPr>
                <w:rFonts w:hint="eastAsia"/>
                <w:color w:val="auto"/>
                <w:szCs w:val="24"/>
                <w:highlight w:val="none"/>
              </w:rPr>
              <w:t>s</w:t>
            </w:r>
            <w:r>
              <w:rPr>
                <w:rFonts w:hint="eastAsia"/>
                <w:color w:val="auto"/>
                <w:highlight w:val="none"/>
              </w:rPr>
              <w:t>排放量为</w:t>
            </w:r>
            <w:r>
              <w:rPr>
                <w:rFonts w:hint="eastAsia"/>
                <w:color w:val="auto"/>
                <w:highlight w:val="none"/>
                <w:lang w:val="en-US" w:eastAsia="zh-CN"/>
              </w:rPr>
              <w:t>0.08</w:t>
            </w:r>
            <w:r>
              <w:rPr>
                <w:rFonts w:hint="eastAsia"/>
                <w:color w:val="auto"/>
                <w:highlight w:val="none"/>
              </w:rPr>
              <w:t>t</w:t>
            </w:r>
            <w:r>
              <w:rPr>
                <w:color w:val="auto"/>
                <w:highlight w:val="none"/>
              </w:rPr>
              <w:t>/</w:t>
            </w:r>
            <w:r>
              <w:rPr>
                <w:rFonts w:hint="eastAsia"/>
                <w:color w:val="auto"/>
                <w:highlight w:val="none"/>
              </w:rPr>
              <w:t>a</w:t>
            </w:r>
            <w:r>
              <w:rPr>
                <w:rFonts w:hint="eastAsia"/>
                <w:color w:val="auto"/>
                <w:highlight w:val="none"/>
                <w:lang w:eastAsia="zh-CN"/>
              </w:rPr>
              <w:t>，</w:t>
            </w:r>
            <w:r>
              <w:rPr>
                <w:rFonts w:hint="eastAsia"/>
                <w:color w:val="auto"/>
                <w:highlight w:val="none"/>
              </w:rPr>
              <w:t>排放速率为</w:t>
            </w:r>
            <w:r>
              <w:rPr>
                <w:rFonts w:hint="eastAsia"/>
                <w:color w:val="auto"/>
                <w:highlight w:val="none"/>
                <w:lang w:val="en-US" w:eastAsia="zh-CN"/>
              </w:rPr>
              <w:t>0.03</w:t>
            </w:r>
            <w:r>
              <w:rPr>
                <w:rFonts w:hint="eastAsia"/>
                <w:color w:val="auto"/>
                <w:highlight w:val="none"/>
              </w:rPr>
              <w:t>kg</w:t>
            </w:r>
            <w:r>
              <w:rPr>
                <w:color w:val="auto"/>
                <w:highlight w:val="none"/>
              </w:rPr>
              <w:t>/</w:t>
            </w:r>
            <w:r>
              <w:rPr>
                <w:rFonts w:hint="eastAsia"/>
                <w:color w:val="auto"/>
                <w:highlight w:val="none"/>
              </w:rPr>
              <w:t>h</w:t>
            </w:r>
            <w:r>
              <w:rPr>
                <w:rFonts w:hint="eastAsia"/>
                <w:color w:val="auto"/>
                <w:highlight w:val="none"/>
                <w:lang w:eastAsia="zh-CN"/>
              </w:rPr>
              <w:t>，</w:t>
            </w:r>
            <w:r>
              <w:rPr>
                <w:rFonts w:hint="eastAsia"/>
                <w:color w:val="auto"/>
                <w:highlight w:val="none"/>
              </w:rPr>
              <w:t>厂区内V</w:t>
            </w:r>
            <w:r>
              <w:rPr>
                <w:color w:val="auto"/>
                <w:highlight w:val="none"/>
              </w:rPr>
              <w:t>OC</w:t>
            </w:r>
            <w:r>
              <w:rPr>
                <w:rFonts w:hint="eastAsia"/>
                <w:color w:val="auto"/>
                <w:highlight w:val="none"/>
              </w:rPr>
              <w:t>s满足</w:t>
            </w:r>
            <w:r>
              <w:rPr>
                <w:color w:val="auto"/>
                <w:highlight w:val="none"/>
              </w:rPr>
              <w:t>《</w:t>
            </w:r>
            <w:r>
              <w:rPr>
                <w:rFonts w:hint="eastAsia"/>
                <w:color w:val="auto"/>
                <w:highlight w:val="none"/>
              </w:rPr>
              <w:t>挥发性</w:t>
            </w:r>
            <w:r>
              <w:rPr>
                <w:color w:val="auto"/>
                <w:highlight w:val="none"/>
              </w:rPr>
              <w:t>有机物无组织排放控制标准》</w:t>
            </w:r>
            <w:r>
              <w:rPr>
                <w:rFonts w:hint="eastAsia"/>
                <w:color w:val="auto"/>
                <w:highlight w:val="none"/>
              </w:rPr>
              <w:t>（GB37822-2019</w:t>
            </w:r>
            <w:r>
              <w:rPr>
                <w:color w:val="auto"/>
                <w:highlight w:val="none"/>
              </w:rPr>
              <w:t>）</w:t>
            </w:r>
            <w:r>
              <w:rPr>
                <w:rFonts w:hint="eastAsia"/>
                <w:color w:val="auto"/>
                <w:highlight w:val="none"/>
              </w:rPr>
              <w:t>附录A厂区</w:t>
            </w:r>
            <w:r>
              <w:rPr>
                <w:color w:val="auto"/>
                <w:highlight w:val="none"/>
              </w:rPr>
              <w:t>内</w:t>
            </w:r>
            <w:r>
              <w:rPr>
                <w:rFonts w:hint="eastAsia"/>
                <w:color w:val="auto"/>
                <w:highlight w:val="none"/>
              </w:rPr>
              <w:t>VOC</w:t>
            </w:r>
            <w:r>
              <w:rPr>
                <w:color w:val="auto"/>
                <w:highlight w:val="none"/>
              </w:rPr>
              <w:t>s无组织排放限值</w:t>
            </w:r>
            <w:r>
              <w:rPr>
                <w:rFonts w:hint="eastAsia"/>
                <w:color w:val="auto"/>
                <w:highlight w:val="none"/>
                <w:lang w:eastAsia="zh-CN"/>
              </w:rPr>
              <w:t>，</w:t>
            </w:r>
            <w:r>
              <w:rPr>
                <w:rFonts w:hint="eastAsia"/>
                <w:color w:val="auto"/>
                <w:highlight w:val="none"/>
              </w:rPr>
              <w:t>厂界V</w:t>
            </w:r>
            <w:r>
              <w:rPr>
                <w:color w:val="auto"/>
                <w:highlight w:val="none"/>
              </w:rPr>
              <w:t>OC</w:t>
            </w:r>
            <w:r>
              <w:rPr>
                <w:rFonts w:hint="eastAsia"/>
                <w:color w:val="auto"/>
                <w:highlight w:val="none"/>
              </w:rPr>
              <w:t>s满足</w:t>
            </w:r>
            <w:r>
              <w:rPr>
                <w:color w:val="auto"/>
                <w:highlight w:val="none"/>
              </w:rPr>
              <w:t>《大气污染物综合排放标准》（GB16297-1996）</w:t>
            </w:r>
            <w:r>
              <w:rPr>
                <w:rFonts w:hint="eastAsia"/>
                <w:color w:val="auto"/>
                <w:highlight w:val="none"/>
              </w:rPr>
              <w:t>表2</w:t>
            </w:r>
            <w:r>
              <w:rPr>
                <w:color w:val="auto"/>
                <w:highlight w:val="none"/>
              </w:rPr>
              <w:t>中</w:t>
            </w:r>
            <w:r>
              <w:rPr>
                <w:rFonts w:hint="eastAsia"/>
                <w:color w:val="auto"/>
                <w:highlight w:val="none"/>
              </w:rPr>
              <w:t>无组织排放标准要求。</w:t>
            </w:r>
          </w:p>
          <w:p w14:paraId="36CBF2C4">
            <w:pPr>
              <w:pStyle w:val="102"/>
              <w:ind w:firstLine="480"/>
              <w:rPr>
                <w:color w:val="auto"/>
              </w:rPr>
            </w:pPr>
            <w:r>
              <w:rPr>
                <w:rFonts w:hint="eastAsia"/>
                <w:color w:val="auto"/>
                <w:highlight w:val="none"/>
              </w:rPr>
              <w:t>综上所述</w:t>
            </w:r>
            <w:r>
              <w:rPr>
                <w:rFonts w:hint="eastAsia"/>
                <w:color w:val="auto"/>
                <w:highlight w:val="none"/>
                <w:lang w:eastAsia="zh-CN"/>
              </w:rPr>
              <w:t>，</w:t>
            </w:r>
            <w:r>
              <w:rPr>
                <w:rFonts w:hint="eastAsia"/>
                <w:color w:val="auto"/>
                <w:highlight w:val="none"/>
              </w:rPr>
              <w:t>本项目所在区域为环境空气质量达标区</w:t>
            </w:r>
            <w:r>
              <w:rPr>
                <w:rFonts w:hint="eastAsia"/>
                <w:color w:val="auto"/>
                <w:highlight w:val="none"/>
                <w:lang w:eastAsia="zh-CN"/>
              </w:rPr>
              <w:t>，</w:t>
            </w:r>
            <w:r>
              <w:rPr>
                <w:rFonts w:hint="eastAsia"/>
                <w:color w:val="auto"/>
                <w:highlight w:val="none"/>
              </w:rPr>
              <w:t>项目周围5</w:t>
            </w:r>
            <w:r>
              <w:rPr>
                <w:color w:val="auto"/>
                <w:highlight w:val="none"/>
              </w:rPr>
              <w:t>00</w:t>
            </w:r>
            <w:r>
              <w:rPr>
                <w:rFonts w:hint="eastAsia"/>
                <w:color w:val="auto"/>
                <w:highlight w:val="none"/>
              </w:rPr>
              <w:t>m范围内无大气环境保护目标</w:t>
            </w:r>
            <w:r>
              <w:rPr>
                <w:rFonts w:hint="eastAsia"/>
                <w:color w:val="auto"/>
                <w:highlight w:val="none"/>
                <w:lang w:eastAsia="zh-CN"/>
              </w:rPr>
              <w:t>，</w:t>
            </w:r>
            <w:r>
              <w:rPr>
                <w:rFonts w:hint="eastAsia"/>
                <w:color w:val="auto"/>
                <w:highlight w:val="none"/>
              </w:rPr>
              <w:t>通过采取以上措施</w:t>
            </w:r>
            <w:r>
              <w:rPr>
                <w:rFonts w:hint="eastAsia"/>
                <w:color w:val="auto"/>
                <w:highlight w:val="none"/>
                <w:lang w:eastAsia="zh-CN"/>
              </w:rPr>
              <w:t>，</w:t>
            </w:r>
            <w:r>
              <w:rPr>
                <w:rFonts w:hint="eastAsia"/>
                <w:color w:val="auto"/>
                <w:highlight w:val="none"/>
              </w:rPr>
              <w:t>本项目产生的</w:t>
            </w:r>
            <w:r>
              <w:rPr>
                <w:rFonts w:hint="eastAsia"/>
                <w:color w:val="auto"/>
              </w:rPr>
              <w:t>废气对周边大气环境影响较小。</w:t>
            </w:r>
          </w:p>
          <w:p w14:paraId="738BD93F">
            <w:pPr>
              <w:pStyle w:val="102"/>
              <w:ind w:firstLine="480"/>
              <w:rPr>
                <w:b/>
                <w:bCs/>
                <w:color w:val="auto"/>
              </w:rPr>
            </w:pPr>
            <w:r>
              <w:rPr>
                <w:b/>
                <w:bCs/>
                <w:color w:val="auto"/>
              </w:rPr>
              <w:t>2、废水环境影响</w:t>
            </w:r>
            <w:r>
              <w:rPr>
                <w:rFonts w:hint="eastAsia"/>
                <w:b/>
                <w:bCs/>
                <w:color w:val="auto"/>
                <w:lang w:val="en-US" w:eastAsia="zh-CN"/>
              </w:rPr>
              <w:t>分析</w:t>
            </w:r>
            <w:r>
              <w:rPr>
                <w:b/>
                <w:bCs/>
                <w:color w:val="auto"/>
              </w:rPr>
              <w:t>和保护措施</w:t>
            </w:r>
          </w:p>
          <w:p w14:paraId="4BCED819">
            <w:pPr>
              <w:pStyle w:val="102"/>
              <w:ind w:firstLine="480"/>
              <w:rPr>
                <w:color w:val="auto"/>
              </w:rPr>
            </w:pPr>
            <w:r>
              <w:rPr>
                <w:rFonts w:hint="eastAsia"/>
                <w:color w:val="auto"/>
              </w:rPr>
              <w:t>本项目废水主要为生活污水</w:t>
            </w:r>
            <w:r>
              <w:rPr>
                <w:rFonts w:hint="eastAsia"/>
                <w:color w:val="auto"/>
                <w:lang w:eastAsia="zh-CN"/>
              </w:rPr>
              <w:t>，</w:t>
            </w:r>
            <w:r>
              <w:rPr>
                <w:color w:val="auto"/>
              </w:rPr>
              <w:t>生活污水排放量按用水量的80%计算</w:t>
            </w:r>
            <w:r>
              <w:rPr>
                <w:rFonts w:hint="eastAsia"/>
                <w:color w:val="auto"/>
                <w:lang w:eastAsia="zh-CN"/>
              </w:rPr>
              <w:t>，</w:t>
            </w:r>
            <w:r>
              <w:rPr>
                <w:color w:val="auto"/>
              </w:rPr>
              <w:t>生活污水</w:t>
            </w:r>
            <w:r>
              <w:rPr>
                <w:rFonts w:hint="eastAsia"/>
                <w:color w:val="auto"/>
              </w:rPr>
              <w:t>产生</w:t>
            </w:r>
            <w:r>
              <w:rPr>
                <w:color w:val="auto"/>
              </w:rPr>
              <w:t>量为</w:t>
            </w:r>
            <w:r>
              <w:rPr>
                <w:rFonts w:hint="eastAsia"/>
                <w:color w:val="auto"/>
                <w:lang w:eastAsia="zh-CN"/>
              </w:rPr>
              <w:t>0.384</w:t>
            </w:r>
            <w:r>
              <w:rPr>
                <w:color w:val="auto"/>
              </w:rPr>
              <w:t>m</w:t>
            </w:r>
            <w:r>
              <w:rPr>
                <w:color w:val="auto"/>
                <w:vertAlign w:val="superscript"/>
              </w:rPr>
              <w:t>3</w:t>
            </w:r>
            <w:r>
              <w:rPr>
                <w:color w:val="auto"/>
              </w:rPr>
              <w:t>/d</w:t>
            </w:r>
            <w:r>
              <w:rPr>
                <w:rFonts w:hint="eastAsia"/>
                <w:color w:val="auto"/>
              </w:rPr>
              <w:t>（</w:t>
            </w:r>
            <w:r>
              <w:rPr>
                <w:rFonts w:hint="eastAsia"/>
                <w:color w:val="auto"/>
                <w:lang w:eastAsia="zh-CN"/>
              </w:rPr>
              <w:t>115.2</w:t>
            </w:r>
            <w:r>
              <w:rPr>
                <w:color w:val="auto"/>
              </w:rPr>
              <w:t>t/a）</w:t>
            </w:r>
            <w:r>
              <w:rPr>
                <w:rFonts w:hint="eastAsia"/>
                <w:color w:val="auto"/>
                <w:lang w:eastAsia="zh-CN"/>
              </w:rPr>
              <w:t>，</w:t>
            </w:r>
            <w:r>
              <w:rPr>
                <w:rFonts w:hint="eastAsia"/>
                <w:color w:val="auto"/>
              </w:rPr>
              <w:t>生活污水排入防渗旱厕</w:t>
            </w:r>
            <w:r>
              <w:rPr>
                <w:rFonts w:hint="eastAsia"/>
                <w:color w:val="auto"/>
                <w:lang w:eastAsia="zh-CN"/>
              </w:rPr>
              <w:t>，</w:t>
            </w:r>
            <w:r>
              <w:rPr>
                <w:rFonts w:hint="eastAsia"/>
                <w:color w:val="auto"/>
              </w:rPr>
              <w:t>定期清掏堆肥。</w:t>
            </w:r>
          </w:p>
          <w:p w14:paraId="2D2CD60A">
            <w:pPr>
              <w:pStyle w:val="102"/>
              <w:ind w:firstLine="480"/>
              <w:rPr>
                <w:color w:val="auto"/>
              </w:rPr>
            </w:pPr>
            <w:r>
              <w:rPr>
                <w:color w:val="auto"/>
              </w:rPr>
              <w:t>本项目废水污染源源强核算结果及相关参数见表4-7。</w:t>
            </w:r>
          </w:p>
          <w:p w14:paraId="251A9995">
            <w:pPr>
              <w:pStyle w:val="114"/>
              <w:rPr>
                <w:color w:val="auto"/>
                <w:kern w:val="2"/>
              </w:rPr>
            </w:pPr>
            <w:r>
              <w:rPr>
                <w:color w:val="auto"/>
              </w:rPr>
              <w:t>表4-7  废水污染源源强核算结果及相关参数一览表</w:t>
            </w:r>
          </w:p>
          <w:tbl>
            <w:tblPr>
              <w:tblStyle w:val="43"/>
              <w:tblW w:w="5000" w:type="pct"/>
              <w:tblInd w:w="0" w:type="dxa"/>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Layout w:type="autofit"/>
              <w:tblCellMar>
                <w:top w:w="0" w:type="dxa"/>
                <w:left w:w="108" w:type="dxa"/>
                <w:bottom w:w="0" w:type="dxa"/>
                <w:right w:w="108" w:type="dxa"/>
              </w:tblCellMar>
            </w:tblPr>
            <w:tblGrid>
              <w:gridCol w:w="396"/>
              <w:gridCol w:w="725"/>
              <w:gridCol w:w="396"/>
              <w:gridCol w:w="650"/>
              <w:gridCol w:w="630"/>
              <w:gridCol w:w="712"/>
              <w:gridCol w:w="1382"/>
              <w:gridCol w:w="546"/>
              <w:gridCol w:w="397"/>
              <w:gridCol w:w="652"/>
              <w:gridCol w:w="631"/>
              <w:gridCol w:w="711"/>
              <w:gridCol w:w="591"/>
            </w:tblGrid>
            <w:tr w14:paraId="7083701F">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PrEx>
              <w:trPr>
                <w:trHeight w:val="340" w:hRule="atLeast"/>
              </w:trPr>
              <w:tc>
                <w:tcPr>
                  <w:tcW w:w="235" w:type="pct"/>
                  <w:vMerge w:val="restart"/>
                  <w:vAlign w:val="center"/>
                </w:tcPr>
                <w:p w14:paraId="522A594D">
                  <w:pPr>
                    <w:jc w:val="center"/>
                    <w:rPr>
                      <w:color w:val="auto"/>
                      <w:sz w:val="18"/>
                      <w:szCs w:val="18"/>
                    </w:rPr>
                  </w:pPr>
                  <w:r>
                    <w:rPr>
                      <w:rFonts w:hint="eastAsia"/>
                      <w:color w:val="auto"/>
                      <w:sz w:val="18"/>
                      <w:szCs w:val="18"/>
                    </w:rPr>
                    <w:t>污染源</w:t>
                  </w:r>
                </w:p>
              </w:tc>
              <w:tc>
                <w:tcPr>
                  <w:tcW w:w="431" w:type="pct"/>
                  <w:vMerge w:val="restart"/>
                  <w:vAlign w:val="center"/>
                </w:tcPr>
                <w:p w14:paraId="16F10574">
                  <w:pPr>
                    <w:jc w:val="center"/>
                    <w:rPr>
                      <w:color w:val="auto"/>
                      <w:sz w:val="18"/>
                      <w:szCs w:val="18"/>
                    </w:rPr>
                  </w:pPr>
                  <w:r>
                    <w:rPr>
                      <w:color w:val="auto"/>
                      <w:sz w:val="18"/>
                      <w:szCs w:val="18"/>
                    </w:rPr>
                    <w:t>污染物</w:t>
                  </w:r>
                </w:p>
              </w:tc>
              <w:tc>
                <w:tcPr>
                  <w:tcW w:w="1418" w:type="pct"/>
                  <w:gridSpan w:val="4"/>
                  <w:vAlign w:val="center"/>
                </w:tcPr>
                <w:p w14:paraId="57A74036">
                  <w:pPr>
                    <w:jc w:val="center"/>
                    <w:rPr>
                      <w:color w:val="auto"/>
                      <w:sz w:val="18"/>
                      <w:szCs w:val="18"/>
                    </w:rPr>
                  </w:pPr>
                  <w:r>
                    <w:rPr>
                      <w:color w:val="auto"/>
                      <w:sz w:val="18"/>
                      <w:szCs w:val="18"/>
                    </w:rPr>
                    <w:t>污染物产生</w:t>
                  </w:r>
                </w:p>
              </w:tc>
              <w:tc>
                <w:tcPr>
                  <w:tcW w:w="1145" w:type="pct"/>
                  <w:gridSpan w:val="2"/>
                  <w:vAlign w:val="center"/>
                </w:tcPr>
                <w:p w14:paraId="32322190">
                  <w:pPr>
                    <w:jc w:val="center"/>
                    <w:rPr>
                      <w:color w:val="auto"/>
                      <w:sz w:val="18"/>
                      <w:szCs w:val="18"/>
                    </w:rPr>
                  </w:pPr>
                  <w:r>
                    <w:rPr>
                      <w:color w:val="auto"/>
                      <w:sz w:val="18"/>
                      <w:szCs w:val="18"/>
                    </w:rPr>
                    <w:t>治理措施</w:t>
                  </w:r>
                </w:p>
              </w:tc>
              <w:tc>
                <w:tcPr>
                  <w:tcW w:w="1420" w:type="pct"/>
                  <w:gridSpan w:val="4"/>
                  <w:vAlign w:val="center"/>
                </w:tcPr>
                <w:p w14:paraId="4C7D3077">
                  <w:pPr>
                    <w:jc w:val="center"/>
                    <w:rPr>
                      <w:color w:val="auto"/>
                      <w:sz w:val="18"/>
                      <w:szCs w:val="18"/>
                    </w:rPr>
                  </w:pPr>
                  <w:r>
                    <w:rPr>
                      <w:color w:val="auto"/>
                      <w:sz w:val="18"/>
                      <w:szCs w:val="18"/>
                    </w:rPr>
                    <w:t>污染物排放</w:t>
                  </w:r>
                </w:p>
              </w:tc>
              <w:tc>
                <w:tcPr>
                  <w:tcW w:w="351" w:type="pct"/>
                  <w:vMerge w:val="restart"/>
                  <w:vAlign w:val="center"/>
                </w:tcPr>
                <w:p w14:paraId="7206D0A5">
                  <w:pPr>
                    <w:jc w:val="center"/>
                    <w:rPr>
                      <w:color w:val="auto"/>
                      <w:sz w:val="18"/>
                      <w:szCs w:val="18"/>
                    </w:rPr>
                  </w:pPr>
                  <w:r>
                    <w:rPr>
                      <w:color w:val="auto"/>
                      <w:sz w:val="18"/>
                      <w:szCs w:val="18"/>
                    </w:rPr>
                    <w:t>排放时间(</w:t>
                  </w:r>
                  <w:r>
                    <w:rPr>
                      <w:rFonts w:hint="eastAsia"/>
                      <w:color w:val="auto"/>
                      <w:sz w:val="18"/>
                      <w:szCs w:val="18"/>
                    </w:rPr>
                    <w:t>d</w:t>
                  </w:r>
                  <w:r>
                    <w:rPr>
                      <w:color w:val="auto"/>
                      <w:sz w:val="18"/>
                      <w:szCs w:val="18"/>
                    </w:rPr>
                    <w:t>)</w:t>
                  </w:r>
                </w:p>
              </w:tc>
            </w:tr>
            <w:tr w14:paraId="4A74E085">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235" w:type="pct"/>
                  <w:vMerge w:val="continue"/>
                  <w:vAlign w:val="center"/>
                </w:tcPr>
                <w:p w14:paraId="3253C948">
                  <w:pPr>
                    <w:jc w:val="center"/>
                    <w:rPr>
                      <w:color w:val="auto"/>
                      <w:sz w:val="18"/>
                      <w:szCs w:val="18"/>
                    </w:rPr>
                  </w:pPr>
                </w:p>
              </w:tc>
              <w:tc>
                <w:tcPr>
                  <w:tcW w:w="431" w:type="pct"/>
                  <w:vMerge w:val="continue"/>
                  <w:vAlign w:val="center"/>
                </w:tcPr>
                <w:p w14:paraId="4A4DF477">
                  <w:pPr>
                    <w:jc w:val="center"/>
                    <w:rPr>
                      <w:color w:val="auto"/>
                      <w:sz w:val="18"/>
                      <w:szCs w:val="18"/>
                    </w:rPr>
                  </w:pPr>
                </w:p>
              </w:tc>
              <w:tc>
                <w:tcPr>
                  <w:tcW w:w="235" w:type="pct"/>
                  <w:vAlign w:val="center"/>
                </w:tcPr>
                <w:p w14:paraId="61BCDF82">
                  <w:pPr>
                    <w:jc w:val="center"/>
                    <w:rPr>
                      <w:color w:val="auto"/>
                      <w:sz w:val="18"/>
                      <w:szCs w:val="18"/>
                    </w:rPr>
                  </w:pPr>
                  <w:r>
                    <w:rPr>
                      <w:color w:val="auto"/>
                      <w:sz w:val="18"/>
                      <w:szCs w:val="18"/>
                    </w:rPr>
                    <w:t>核算方法</w:t>
                  </w:r>
                </w:p>
              </w:tc>
              <w:tc>
                <w:tcPr>
                  <w:tcW w:w="386" w:type="pct"/>
                  <w:vAlign w:val="center"/>
                </w:tcPr>
                <w:p w14:paraId="057039B6">
                  <w:pPr>
                    <w:jc w:val="center"/>
                    <w:rPr>
                      <w:color w:val="auto"/>
                      <w:sz w:val="18"/>
                      <w:szCs w:val="18"/>
                    </w:rPr>
                  </w:pPr>
                  <w:r>
                    <w:rPr>
                      <w:color w:val="auto"/>
                      <w:sz w:val="18"/>
                      <w:szCs w:val="18"/>
                    </w:rPr>
                    <w:t>产生废水量</w:t>
                  </w:r>
                  <w:r>
                    <w:rPr>
                      <w:rFonts w:hint="eastAsia"/>
                      <w:color w:val="auto"/>
                      <w:sz w:val="18"/>
                      <w:szCs w:val="18"/>
                    </w:rPr>
                    <w:t>t</w:t>
                  </w:r>
                  <w:r>
                    <w:rPr>
                      <w:color w:val="auto"/>
                      <w:sz w:val="18"/>
                      <w:szCs w:val="18"/>
                    </w:rPr>
                    <w:t>/a</w:t>
                  </w:r>
                </w:p>
              </w:tc>
              <w:tc>
                <w:tcPr>
                  <w:tcW w:w="374" w:type="pct"/>
                  <w:vAlign w:val="center"/>
                </w:tcPr>
                <w:p w14:paraId="56E05472">
                  <w:pPr>
                    <w:jc w:val="center"/>
                    <w:rPr>
                      <w:color w:val="auto"/>
                      <w:sz w:val="18"/>
                      <w:szCs w:val="18"/>
                    </w:rPr>
                  </w:pPr>
                  <w:r>
                    <w:rPr>
                      <w:color w:val="auto"/>
                      <w:sz w:val="18"/>
                      <w:szCs w:val="18"/>
                    </w:rPr>
                    <w:t>产生浓度mg/L</w:t>
                  </w:r>
                </w:p>
              </w:tc>
              <w:tc>
                <w:tcPr>
                  <w:tcW w:w="422" w:type="pct"/>
                  <w:vAlign w:val="center"/>
                </w:tcPr>
                <w:p w14:paraId="2666B00A">
                  <w:pPr>
                    <w:jc w:val="center"/>
                    <w:rPr>
                      <w:color w:val="auto"/>
                      <w:sz w:val="18"/>
                      <w:szCs w:val="18"/>
                    </w:rPr>
                  </w:pPr>
                  <w:r>
                    <w:rPr>
                      <w:color w:val="auto"/>
                      <w:sz w:val="18"/>
                      <w:szCs w:val="18"/>
                    </w:rPr>
                    <w:t>产生量t/a</w:t>
                  </w:r>
                </w:p>
              </w:tc>
              <w:tc>
                <w:tcPr>
                  <w:tcW w:w="821" w:type="pct"/>
                  <w:vAlign w:val="center"/>
                </w:tcPr>
                <w:p w14:paraId="287D5557">
                  <w:pPr>
                    <w:jc w:val="center"/>
                    <w:rPr>
                      <w:color w:val="auto"/>
                      <w:sz w:val="18"/>
                      <w:szCs w:val="18"/>
                    </w:rPr>
                  </w:pPr>
                  <w:r>
                    <w:rPr>
                      <w:color w:val="auto"/>
                      <w:sz w:val="18"/>
                      <w:szCs w:val="18"/>
                    </w:rPr>
                    <w:t>工艺</w:t>
                  </w:r>
                </w:p>
              </w:tc>
              <w:tc>
                <w:tcPr>
                  <w:tcW w:w="324" w:type="pct"/>
                  <w:vAlign w:val="center"/>
                </w:tcPr>
                <w:p w14:paraId="4D091BED">
                  <w:pPr>
                    <w:jc w:val="center"/>
                    <w:rPr>
                      <w:color w:val="auto"/>
                      <w:sz w:val="18"/>
                      <w:szCs w:val="18"/>
                    </w:rPr>
                  </w:pPr>
                  <w:r>
                    <w:rPr>
                      <w:color w:val="auto"/>
                      <w:sz w:val="18"/>
                      <w:szCs w:val="18"/>
                    </w:rPr>
                    <w:t>效率%</w:t>
                  </w:r>
                </w:p>
              </w:tc>
              <w:tc>
                <w:tcPr>
                  <w:tcW w:w="236" w:type="pct"/>
                  <w:vAlign w:val="center"/>
                </w:tcPr>
                <w:p w14:paraId="6BA617EF">
                  <w:pPr>
                    <w:jc w:val="center"/>
                    <w:rPr>
                      <w:color w:val="auto"/>
                      <w:sz w:val="18"/>
                      <w:szCs w:val="18"/>
                    </w:rPr>
                  </w:pPr>
                  <w:r>
                    <w:rPr>
                      <w:color w:val="auto"/>
                      <w:sz w:val="18"/>
                      <w:szCs w:val="18"/>
                    </w:rPr>
                    <w:t>核算方法</w:t>
                  </w:r>
                </w:p>
              </w:tc>
              <w:tc>
                <w:tcPr>
                  <w:tcW w:w="387" w:type="pct"/>
                  <w:vAlign w:val="center"/>
                </w:tcPr>
                <w:p w14:paraId="72847905">
                  <w:pPr>
                    <w:jc w:val="center"/>
                    <w:rPr>
                      <w:color w:val="auto"/>
                      <w:sz w:val="18"/>
                      <w:szCs w:val="18"/>
                    </w:rPr>
                  </w:pPr>
                  <w:r>
                    <w:rPr>
                      <w:color w:val="auto"/>
                      <w:sz w:val="18"/>
                      <w:szCs w:val="18"/>
                    </w:rPr>
                    <w:t>排放废水量</w:t>
                  </w:r>
                  <w:r>
                    <w:rPr>
                      <w:rFonts w:hint="eastAsia"/>
                      <w:color w:val="auto"/>
                      <w:sz w:val="18"/>
                      <w:szCs w:val="18"/>
                    </w:rPr>
                    <w:t>t</w:t>
                  </w:r>
                  <w:r>
                    <w:rPr>
                      <w:color w:val="auto"/>
                      <w:sz w:val="18"/>
                      <w:szCs w:val="18"/>
                    </w:rPr>
                    <w:t>/a</w:t>
                  </w:r>
                </w:p>
              </w:tc>
              <w:tc>
                <w:tcPr>
                  <w:tcW w:w="375" w:type="pct"/>
                  <w:vAlign w:val="center"/>
                </w:tcPr>
                <w:p w14:paraId="0A610DF2">
                  <w:pPr>
                    <w:jc w:val="center"/>
                    <w:rPr>
                      <w:color w:val="auto"/>
                      <w:sz w:val="18"/>
                      <w:szCs w:val="18"/>
                    </w:rPr>
                  </w:pPr>
                  <w:r>
                    <w:rPr>
                      <w:color w:val="auto"/>
                      <w:sz w:val="18"/>
                      <w:szCs w:val="18"/>
                    </w:rPr>
                    <w:t>排放浓度mg/L</w:t>
                  </w:r>
                </w:p>
              </w:tc>
              <w:tc>
                <w:tcPr>
                  <w:tcW w:w="422" w:type="pct"/>
                  <w:vAlign w:val="center"/>
                </w:tcPr>
                <w:p w14:paraId="0E969D0F">
                  <w:pPr>
                    <w:jc w:val="center"/>
                    <w:rPr>
                      <w:color w:val="auto"/>
                      <w:sz w:val="18"/>
                      <w:szCs w:val="18"/>
                    </w:rPr>
                  </w:pPr>
                  <w:r>
                    <w:rPr>
                      <w:color w:val="auto"/>
                      <w:sz w:val="18"/>
                      <w:szCs w:val="18"/>
                    </w:rPr>
                    <w:t>排放量t/a</w:t>
                  </w:r>
                </w:p>
              </w:tc>
              <w:tc>
                <w:tcPr>
                  <w:tcW w:w="351" w:type="pct"/>
                  <w:vMerge w:val="continue"/>
                  <w:vAlign w:val="center"/>
                </w:tcPr>
                <w:p w14:paraId="171DDBBE">
                  <w:pPr>
                    <w:jc w:val="center"/>
                    <w:rPr>
                      <w:color w:val="auto"/>
                      <w:sz w:val="18"/>
                      <w:szCs w:val="18"/>
                    </w:rPr>
                  </w:pPr>
                </w:p>
              </w:tc>
            </w:tr>
            <w:tr w14:paraId="0E450683">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235" w:type="pct"/>
                  <w:vMerge w:val="restart"/>
                  <w:vAlign w:val="center"/>
                </w:tcPr>
                <w:p w14:paraId="7F4A1B64">
                  <w:pPr>
                    <w:jc w:val="center"/>
                    <w:rPr>
                      <w:color w:val="auto"/>
                      <w:sz w:val="18"/>
                      <w:szCs w:val="18"/>
                    </w:rPr>
                  </w:pPr>
                  <w:r>
                    <w:rPr>
                      <w:color w:val="auto"/>
                      <w:sz w:val="18"/>
                      <w:szCs w:val="18"/>
                    </w:rPr>
                    <w:t>生活</w:t>
                  </w:r>
                </w:p>
                <w:p w14:paraId="6A6E49D6">
                  <w:pPr>
                    <w:jc w:val="center"/>
                    <w:rPr>
                      <w:color w:val="auto"/>
                      <w:sz w:val="18"/>
                      <w:szCs w:val="18"/>
                    </w:rPr>
                  </w:pPr>
                  <w:r>
                    <w:rPr>
                      <w:color w:val="auto"/>
                      <w:sz w:val="18"/>
                      <w:szCs w:val="18"/>
                    </w:rPr>
                    <w:t>污水</w:t>
                  </w:r>
                </w:p>
              </w:tc>
              <w:tc>
                <w:tcPr>
                  <w:tcW w:w="431" w:type="pct"/>
                  <w:vAlign w:val="center"/>
                </w:tcPr>
                <w:p w14:paraId="25310878">
                  <w:pPr>
                    <w:jc w:val="center"/>
                    <w:rPr>
                      <w:color w:val="auto"/>
                      <w:sz w:val="18"/>
                      <w:szCs w:val="18"/>
                    </w:rPr>
                  </w:pPr>
                  <w:r>
                    <w:rPr>
                      <w:color w:val="auto"/>
                      <w:sz w:val="18"/>
                      <w:szCs w:val="18"/>
                    </w:rPr>
                    <w:t>COD</w:t>
                  </w:r>
                </w:p>
              </w:tc>
              <w:tc>
                <w:tcPr>
                  <w:tcW w:w="235" w:type="pct"/>
                  <w:vMerge w:val="restart"/>
                  <w:vAlign w:val="center"/>
                </w:tcPr>
                <w:p w14:paraId="2D81F80C">
                  <w:pPr>
                    <w:jc w:val="center"/>
                    <w:rPr>
                      <w:color w:val="auto"/>
                      <w:sz w:val="18"/>
                      <w:szCs w:val="18"/>
                    </w:rPr>
                  </w:pPr>
                  <w:r>
                    <w:rPr>
                      <w:color w:val="auto"/>
                      <w:sz w:val="18"/>
                      <w:szCs w:val="18"/>
                    </w:rPr>
                    <w:t>类比法</w:t>
                  </w:r>
                </w:p>
              </w:tc>
              <w:tc>
                <w:tcPr>
                  <w:tcW w:w="386" w:type="pct"/>
                  <w:vMerge w:val="restart"/>
                  <w:vAlign w:val="center"/>
                </w:tcPr>
                <w:p w14:paraId="0017248F">
                  <w:pPr>
                    <w:jc w:val="center"/>
                    <w:rPr>
                      <w:rFonts w:hint="eastAsia" w:eastAsia="宋体"/>
                      <w:color w:val="auto"/>
                      <w:sz w:val="18"/>
                      <w:szCs w:val="18"/>
                      <w:lang w:eastAsia="zh-CN"/>
                    </w:rPr>
                  </w:pPr>
                  <w:r>
                    <w:rPr>
                      <w:rFonts w:hint="eastAsia"/>
                      <w:color w:val="auto"/>
                      <w:sz w:val="18"/>
                      <w:szCs w:val="18"/>
                      <w:lang w:eastAsia="zh-CN"/>
                    </w:rPr>
                    <w:t>115.2</w:t>
                  </w:r>
                </w:p>
              </w:tc>
              <w:tc>
                <w:tcPr>
                  <w:tcW w:w="374" w:type="pct"/>
                  <w:vAlign w:val="center"/>
                </w:tcPr>
                <w:p w14:paraId="4CDB9DC5">
                  <w:pPr>
                    <w:jc w:val="center"/>
                    <w:rPr>
                      <w:color w:val="auto"/>
                      <w:sz w:val="18"/>
                      <w:szCs w:val="18"/>
                    </w:rPr>
                  </w:pPr>
                  <w:r>
                    <w:rPr>
                      <w:rFonts w:hint="eastAsia"/>
                      <w:color w:val="auto"/>
                      <w:sz w:val="18"/>
                      <w:szCs w:val="18"/>
                    </w:rPr>
                    <w:t>3</w:t>
                  </w:r>
                  <w:r>
                    <w:rPr>
                      <w:color w:val="auto"/>
                      <w:sz w:val="18"/>
                      <w:szCs w:val="18"/>
                    </w:rPr>
                    <w:t>0</w:t>
                  </w:r>
                  <w:r>
                    <w:rPr>
                      <w:rFonts w:hint="eastAsia"/>
                      <w:color w:val="auto"/>
                      <w:sz w:val="18"/>
                      <w:szCs w:val="18"/>
                    </w:rPr>
                    <w:t>0</w:t>
                  </w:r>
                </w:p>
              </w:tc>
              <w:tc>
                <w:tcPr>
                  <w:tcW w:w="422" w:type="pct"/>
                  <w:vAlign w:val="center"/>
                </w:tcPr>
                <w:p w14:paraId="55C1C7CE">
                  <w:pPr>
                    <w:jc w:val="center"/>
                    <w:rPr>
                      <w:rFonts w:hint="default" w:eastAsia="宋体"/>
                      <w:color w:val="auto"/>
                      <w:sz w:val="18"/>
                      <w:szCs w:val="18"/>
                      <w:lang w:val="en-US" w:eastAsia="zh-CN"/>
                    </w:rPr>
                  </w:pPr>
                  <w:r>
                    <w:rPr>
                      <w:color w:val="auto"/>
                      <w:sz w:val="18"/>
                      <w:szCs w:val="18"/>
                    </w:rPr>
                    <w:t>0.0</w:t>
                  </w:r>
                  <w:r>
                    <w:rPr>
                      <w:rFonts w:hint="eastAsia"/>
                      <w:color w:val="auto"/>
                      <w:sz w:val="18"/>
                      <w:szCs w:val="18"/>
                      <w:lang w:val="en-US" w:eastAsia="zh-CN"/>
                    </w:rPr>
                    <w:t>35</w:t>
                  </w:r>
                </w:p>
              </w:tc>
              <w:tc>
                <w:tcPr>
                  <w:tcW w:w="821" w:type="pct"/>
                  <w:vMerge w:val="restart"/>
                  <w:vAlign w:val="center"/>
                </w:tcPr>
                <w:p w14:paraId="71534D89">
                  <w:pPr>
                    <w:jc w:val="center"/>
                    <w:rPr>
                      <w:color w:val="auto"/>
                      <w:sz w:val="18"/>
                      <w:szCs w:val="18"/>
                    </w:rPr>
                  </w:pPr>
                  <w:r>
                    <w:rPr>
                      <w:rFonts w:hint="eastAsia"/>
                      <w:color w:val="auto"/>
                      <w:sz w:val="18"/>
                    </w:rPr>
                    <w:t>排入防渗旱厕</w:t>
                  </w:r>
                  <w:r>
                    <w:rPr>
                      <w:rFonts w:hint="eastAsia"/>
                      <w:color w:val="auto"/>
                      <w:sz w:val="18"/>
                      <w:lang w:eastAsia="zh-CN"/>
                    </w:rPr>
                    <w:t>，</w:t>
                  </w:r>
                  <w:r>
                    <w:rPr>
                      <w:rFonts w:hint="eastAsia"/>
                      <w:color w:val="auto"/>
                      <w:sz w:val="18"/>
                    </w:rPr>
                    <w:t>定期清掏堆肥</w:t>
                  </w:r>
                </w:p>
              </w:tc>
              <w:tc>
                <w:tcPr>
                  <w:tcW w:w="324" w:type="pct"/>
                  <w:vAlign w:val="center"/>
                </w:tcPr>
                <w:p w14:paraId="52412A61">
                  <w:pPr>
                    <w:jc w:val="center"/>
                    <w:rPr>
                      <w:color w:val="auto"/>
                      <w:sz w:val="18"/>
                      <w:szCs w:val="18"/>
                    </w:rPr>
                  </w:pPr>
                  <w:r>
                    <w:rPr>
                      <w:color w:val="auto"/>
                      <w:sz w:val="18"/>
                      <w:szCs w:val="18"/>
                    </w:rPr>
                    <w:t>/</w:t>
                  </w:r>
                </w:p>
              </w:tc>
              <w:tc>
                <w:tcPr>
                  <w:tcW w:w="236" w:type="pct"/>
                  <w:vMerge w:val="restart"/>
                  <w:vAlign w:val="center"/>
                </w:tcPr>
                <w:p w14:paraId="74BDBEA7">
                  <w:pPr>
                    <w:jc w:val="center"/>
                    <w:rPr>
                      <w:color w:val="auto"/>
                      <w:sz w:val="18"/>
                      <w:szCs w:val="18"/>
                    </w:rPr>
                  </w:pPr>
                  <w:r>
                    <w:rPr>
                      <w:color w:val="auto"/>
                      <w:sz w:val="18"/>
                      <w:szCs w:val="18"/>
                    </w:rPr>
                    <w:t>类比法</w:t>
                  </w:r>
                </w:p>
              </w:tc>
              <w:tc>
                <w:tcPr>
                  <w:tcW w:w="387" w:type="pct"/>
                  <w:vMerge w:val="restart"/>
                  <w:vAlign w:val="center"/>
                </w:tcPr>
                <w:p w14:paraId="0A1A66A5">
                  <w:pPr>
                    <w:jc w:val="center"/>
                    <w:rPr>
                      <w:color w:val="auto"/>
                      <w:sz w:val="18"/>
                      <w:szCs w:val="18"/>
                    </w:rPr>
                  </w:pPr>
                  <w:r>
                    <w:rPr>
                      <w:color w:val="auto"/>
                      <w:sz w:val="18"/>
                      <w:szCs w:val="18"/>
                    </w:rPr>
                    <w:t>0</w:t>
                  </w:r>
                </w:p>
              </w:tc>
              <w:tc>
                <w:tcPr>
                  <w:tcW w:w="375" w:type="pct"/>
                  <w:vAlign w:val="center"/>
                </w:tcPr>
                <w:p w14:paraId="3AAC0AB1">
                  <w:pPr>
                    <w:jc w:val="center"/>
                    <w:rPr>
                      <w:color w:val="auto"/>
                      <w:sz w:val="18"/>
                      <w:szCs w:val="18"/>
                    </w:rPr>
                  </w:pPr>
                  <w:r>
                    <w:rPr>
                      <w:color w:val="auto"/>
                      <w:sz w:val="18"/>
                      <w:szCs w:val="18"/>
                    </w:rPr>
                    <w:t>0</w:t>
                  </w:r>
                </w:p>
              </w:tc>
              <w:tc>
                <w:tcPr>
                  <w:tcW w:w="422" w:type="pct"/>
                  <w:vAlign w:val="center"/>
                </w:tcPr>
                <w:p w14:paraId="5A392242">
                  <w:pPr>
                    <w:jc w:val="center"/>
                    <w:rPr>
                      <w:color w:val="auto"/>
                      <w:sz w:val="18"/>
                      <w:szCs w:val="18"/>
                    </w:rPr>
                  </w:pPr>
                  <w:r>
                    <w:rPr>
                      <w:color w:val="auto"/>
                      <w:sz w:val="18"/>
                      <w:szCs w:val="18"/>
                    </w:rPr>
                    <w:t>0</w:t>
                  </w:r>
                </w:p>
              </w:tc>
              <w:tc>
                <w:tcPr>
                  <w:tcW w:w="351" w:type="pct"/>
                  <w:vMerge w:val="restart"/>
                  <w:vAlign w:val="center"/>
                </w:tcPr>
                <w:p w14:paraId="0041D4E4">
                  <w:pPr>
                    <w:jc w:val="center"/>
                    <w:rPr>
                      <w:color w:val="auto"/>
                      <w:sz w:val="18"/>
                      <w:szCs w:val="18"/>
                    </w:rPr>
                  </w:pPr>
                  <w:r>
                    <w:rPr>
                      <w:color w:val="auto"/>
                      <w:sz w:val="18"/>
                      <w:szCs w:val="18"/>
                    </w:rPr>
                    <w:t>300</w:t>
                  </w:r>
                </w:p>
              </w:tc>
            </w:tr>
            <w:tr w14:paraId="593A60AD">
              <w:tblPrEx>
                <w:tblBorders>
                  <w:top w:val="single" w:color="000000" w:sz="12" w:space="0"/>
                  <w:left w:val="none" w:color="auto" w:sz="0" w:space="0"/>
                  <w:bottom w:val="single" w:color="000000" w:sz="12" w:space="0"/>
                  <w:right w:val="none" w:color="auto" w:sz="0" w:space="0"/>
                  <w:insideH w:val="single" w:color="000000" w:sz="6" w:space="0"/>
                  <w:insideV w:val="single" w:color="000000" w:sz="6" w:space="0"/>
                </w:tblBorders>
                <w:tblCellMar>
                  <w:top w:w="0" w:type="dxa"/>
                  <w:left w:w="108" w:type="dxa"/>
                  <w:bottom w:w="0" w:type="dxa"/>
                  <w:right w:w="108" w:type="dxa"/>
                </w:tblCellMar>
              </w:tblPrEx>
              <w:trPr>
                <w:trHeight w:val="340" w:hRule="atLeast"/>
              </w:trPr>
              <w:tc>
                <w:tcPr>
                  <w:tcW w:w="235" w:type="pct"/>
                  <w:vMerge w:val="continue"/>
                  <w:vAlign w:val="center"/>
                </w:tcPr>
                <w:p w14:paraId="236307E1">
                  <w:pPr>
                    <w:jc w:val="center"/>
                    <w:rPr>
                      <w:color w:val="auto"/>
                      <w:sz w:val="18"/>
                      <w:szCs w:val="18"/>
                    </w:rPr>
                  </w:pPr>
                </w:p>
              </w:tc>
              <w:tc>
                <w:tcPr>
                  <w:tcW w:w="431" w:type="pct"/>
                  <w:vAlign w:val="center"/>
                </w:tcPr>
                <w:p w14:paraId="4CF226BE">
                  <w:pPr>
                    <w:jc w:val="center"/>
                    <w:rPr>
                      <w:color w:val="auto"/>
                      <w:sz w:val="18"/>
                      <w:szCs w:val="18"/>
                    </w:rPr>
                  </w:pPr>
                  <w:r>
                    <w:rPr>
                      <w:color w:val="auto"/>
                      <w:sz w:val="18"/>
                      <w:szCs w:val="18"/>
                    </w:rPr>
                    <w:t>NH</w:t>
                  </w:r>
                  <w:r>
                    <w:rPr>
                      <w:color w:val="auto"/>
                      <w:sz w:val="18"/>
                      <w:szCs w:val="18"/>
                      <w:vertAlign w:val="subscript"/>
                    </w:rPr>
                    <w:t>3</w:t>
                  </w:r>
                  <w:r>
                    <w:rPr>
                      <w:color w:val="auto"/>
                      <w:sz w:val="18"/>
                      <w:szCs w:val="18"/>
                    </w:rPr>
                    <w:t>-N</w:t>
                  </w:r>
                </w:p>
              </w:tc>
              <w:tc>
                <w:tcPr>
                  <w:tcW w:w="235" w:type="pct"/>
                  <w:vMerge w:val="continue"/>
                  <w:vAlign w:val="center"/>
                </w:tcPr>
                <w:p w14:paraId="7DB60122">
                  <w:pPr>
                    <w:jc w:val="center"/>
                    <w:rPr>
                      <w:color w:val="auto"/>
                      <w:sz w:val="18"/>
                      <w:szCs w:val="18"/>
                    </w:rPr>
                  </w:pPr>
                </w:p>
              </w:tc>
              <w:tc>
                <w:tcPr>
                  <w:tcW w:w="386" w:type="pct"/>
                  <w:vMerge w:val="continue"/>
                  <w:vAlign w:val="center"/>
                </w:tcPr>
                <w:p w14:paraId="5A97C0CB">
                  <w:pPr>
                    <w:jc w:val="center"/>
                    <w:rPr>
                      <w:color w:val="auto"/>
                      <w:sz w:val="18"/>
                      <w:szCs w:val="18"/>
                    </w:rPr>
                  </w:pPr>
                </w:p>
              </w:tc>
              <w:tc>
                <w:tcPr>
                  <w:tcW w:w="374" w:type="pct"/>
                  <w:vAlign w:val="center"/>
                </w:tcPr>
                <w:p w14:paraId="1070C334">
                  <w:pPr>
                    <w:jc w:val="center"/>
                    <w:rPr>
                      <w:rFonts w:hint="default" w:eastAsia="宋体"/>
                      <w:color w:val="auto"/>
                      <w:sz w:val="18"/>
                      <w:szCs w:val="18"/>
                      <w:lang w:val="en-US" w:eastAsia="zh-CN"/>
                    </w:rPr>
                  </w:pPr>
                  <w:r>
                    <w:rPr>
                      <w:rFonts w:hint="eastAsia"/>
                      <w:color w:val="auto"/>
                      <w:sz w:val="18"/>
                      <w:szCs w:val="18"/>
                      <w:lang w:val="en-US" w:eastAsia="zh-CN"/>
                    </w:rPr>
                    <w:t>30</w:t>
                  </w:r>
                </w:p>
              </w:tc>
              <w:tc>
                <w:tcPr>
                  <w:tcW w:w="422" w:type="pct"/>
                  <w:vAlign w:val="center"/>
                </w:tcPr>
                <w:p w14:paraId="3275B433">
                  <w:pPr>
                    <w:jc w:val="center"/>
                    <w:rPr>
                      <w:color w:val="auto"/>
                      <w:sz w:val="18"/>
                      <w:szCs w:val="18"/>
                    </w:rPr>
                  </w:pPr>
                  <w:r>
                    <w:rPr>
                      <w:color w:val="auto"/>
                      <w:sz w:val="18"/>
                      <w:szCs w:val="18"/>
                    </w:rPr>
                    <w:t>0.004</w:t>
                  </w:r>
                </w:p>
              </w:tc>
              <w:tc>
                <w:tcPr>
                  <w:tcW w:w="821" w:type="pct"/>
                  <w:vMerge w:val="continue"/>
                  <w:vAlign w:val="center"/>
                </w:tcPr>
                <w:p w14:paraId="3FC56045">
                  <w:pPr>
                    <w:jc w:val="center"/>
                    <w:rPr>
                      <w:color w:val="auto"/>
                      <w:sz w:val="18"/>
                      <w:szCs w:val="18"/>
                    </w:rPr>
                  </w:pPr>
                </w:p>
              </w:tc>
              <w:tc>
                <w:tcPr>
                  <w:tcW w:w="324" w:type="pct"/>
                  <w:vAlign w:val="center"/>
                </w:tcPr>
                <w:p w14:paraId="1251BA60">
                  <w:pPr>
                    <w:jc w:val="center"/>
                    <w:rPr>
                      <w:color w:val="auto"/>
                      <w:sz w:val="18"/>
                      <w:szCs w:val="18"/>
                    </w:rPr>
                  </w:pPr>
                  <w:r>
                    <w:rPr>
                      <w:color w:val="auto"/>
                      <w:sz w:val="18"/>
                      <w:szCs w:val="18"/>
                    </w:rPr>
                    <w:t>/</w:t>
                  </w:r>
                </w:p>
              </w:tc>
              <w:tc>
                <w:tcPr>
                  <w:tcW w:w="236" w:type="pct"/>
                  <w:vMerge w:val="continue"/>
                  <w:vAlign w:val="center"/>
                </w:tcPr>
                <w:p w14:paraId="601F4F87">
                  <w:pPr>
                    <w:jc w:val="center"/>
                    <w:rPr>
                      <w:color w:val="auto"/>
                      <w:sz w:val="18"/>
                      <w:szCs w:val="18"/>
                    </w:rPr>
                  </w:pPr>
                </w:p>
              </w:tc>
              <w:tc>
                <w:tcPr>
                  <w:tcW w:w="387" w:type="pct"/>
                  <w:vMerge w:val="continue"/>
                  <w:vAlign w:val="center"/>
                </w:tcPr>
                <w:p w14:paraId="1B5F37EC">
                  <w:pPr>
                    <w:jc w:val="center"/>
                    <w:rPr>
                      <w:color w:val="auto"/>
                      <w:sz w:val="18"/>
                      <w:szCs w:val="18"/>
                    </w:rPr>
                  </w:pPr>
                </w:p>
              </w:tc>
              <w:tc>
                <w:tcPr>
                  <w:tcW w:w="375" w:type="pct"/>
                  <w:vAlign w:val="center"/>
                </w:tcPr>
                <w:p w14:paraId="79F75FC8">
                  <w:pPr>
                    <w:jc w:val="center"/>
                    <w:rPr>
                      <w:color w:val="auto"/>
                      <w:sz w:val="18"/>
                      <w:szCs w:val="18"/>
                    </w:rPr>
                  </w:pPr>
                  <w:r>
                    <w:rPr>
                      <w:color w:val="auto"/>
                      <w:sz w:val="18"/>
                      <w:szCs w:val="18"/>
                    </w:rPr>
                    <w:t>0</w:t>
                  </w:r>
                </w:p>
              </w:tc>
              <w:tc>
                <w:tcPr>
                  <w:tcW w:w="422" w:type="pct"/>
                  <w:vAlign w:val="center"/>
                </w:tcPr>
                <w:p w14:paraId="78C8CDAE">
                  <w:pPr>
                    <w:jc w:val="center"/>
                    <w:rPr>
                      <w:color w:val="auto"/>
                      <w:sz w:val="18"/>
                      <w:szCs w:val="18"/>
                    </w:rPr>
                  </w:pPr>
                  <w:r>
                    <w:rPr>
                      <w:color w:val="auto"/>
                      <w:sz w:val="18"/>
                      <w:szCs w:val="18"/>
                    </w:rPr>
                    <w:t>0</w:t>
                  </w:r>
                </w:p>
              </w:tc>
              <w:tc>
                <w:tcPr>
                  <w:tcW w:w="351" w:type="pct"/>
                  <w:vMerge w:val="continue"/>
                  <w:vAlign w:val="center"/>
                </w:tcPr>
                <w:p w14:paraId="0C8BC86C">
                  <w:pPr>
                    <w:jc w:val="center"/>
                    <w:rPr>
                      <w:color w:val="auto"/>
                      <w:sz w:val="18"/>
                      <w:szCs w:val="18"/>
                    </w:rPr>
                  </w:pPr>
                </w:p>
              </w:tc>
            </w:tr>
          </w:tbl>
          <w:p w14:paraId="7DD63146">
            <w:pPr>
              <w:pStyle w:val="102"/>
              <w:ind w:firstLine="480"/>
              <w:rPr>
                <w:b/>
                <w:bCs/>
                <w:color w:val="auto"/>
              </w:rPr>
            </w:pPr>
            <w:r>
              <w:rPr>
                <w:b/>
                <w:bCs/>
                <w:color w:val="auto"/>
              </w:rPr>
              <w:t>3、噪声环境影响</w:t>
            </w:r>
            <w:r>
              <w:rPr>
                <w:rFonts w:hint="eastAsia"/>
                <w:b/>
                <w:bCs/>
                <w:color w:val="auto"/>
                <w:lang w:val="en-US" w:eastAsia="zh-CN"/>
              </w:rPr>
              <w:t>分析</w:t>
            </w:r>
            <w:r>
              <w:rPr>
                <w:b/>
                <w:bCs/>
                <w:color w:val="auto"/>
              </w:rPr>
              <w:t>和保护措施</w:t>
            </w:r>
          </w:p>
          <w:p w14:paraId="27D91FB8">
            <w:pPr>
              <w:pStyle w:val="102"/>
              <w:ind w:firstLine="480"/>
              <w:rPr>
                <w:color w:val="auto"/>
              </w:rPr>
            </w:pPr>
            <w:r>
              <w:rPr>
                <w:color w:val="auto"/>
              </w:rPr>
              <w:t>本项目</w:t>
            </w:r>
            <w:r>
              <w:rPr>
                <w:rFonts w:hint="eastAsia"/>
                <w:color w:val="auto"/>
              </w:rPr>
              <w:t>产噪设备主要为风机、供料泵、出料泵</w:t>
            </w:r>
            <w:r>
              <w:rPr>
                <w:rFonts w:hint="eastAsia"/>
                <w:color w:val="auto"/>
                <w:lang w:eastAsia="zh-CN"/>
              </w:rPr>
              <w:t>，</w:t>
            </w:r>
            <w:r>
              <w:rPr>
                <w:color w:val="auto"/>
              </w:rPr>
              <w:t>其噪声值约在</w:t>
            </w:r>
            <w:r>
              <w:rPr>
                <w:rFonts w:hint="eastAsia"/>
                <w:color w:val="auto"/>
                <w:lang w:val="en-US" w:eastAsia="zh-CN"/>
              </w:rPr>
              <w:t>75</w:t>
            </w:r>
            <w:r>
              <w:rPr>
                <w:color w:val="auto"/>
              </w:rPr>
              <w:t>～</w:t>
            </w:r>
            <w:r>
              <w:rPr>
                <w:rFonts w:hint="eastAsia"/>
                <w:color w:val="auto"/>
                <w:lang w:val="en-US" w:eastAsia="zh-CN"/>
              </w:rPr>
              <w:t>90</w:t>
            </w:r>
            <w:r>
              <w:rPr>
                <w:color w:val="auto"/>
              </w:rPr>
              <w:t>dB(A)之间</w:t>
            </w:r>
            <w:r>
              <w:rPr>
                <w:rFonts w:hint="eastAsia"/>
                <w:color w:val="auto"/>
                <w:lang w:eastAsia="zh-CN"/>
              </w:rPr>
              <w:t>，</w:t>
            </w:r>
            <w:r>
              <w:rPr>
                <w:color w:val="auto"/>
                <w:szCs w:val="24"/>
              </w:rPr>
              <w:t>项目</w:t>
            </w:r>
            <w:r>
              <w:rPr>
                <w:color w:val="auto"/>
              </w:rPr>
              <w:t>噪声污染源源强核算结果及相关参数见表4-8</w:t>
            </w:r>
            <w:r>
              <w:rPr>
                <w:rFonts w:hint="eastAsia"/>
                <w:color w:val="auto"/>
                <w:lang w:eastAsia="zh-CN"/>
              </w:rPr>
              <w:t>，</w:t>
            </w:r>
            <w:r>
              <w:rPr>
                <w:color w:val="auto"/>
              </w:rPr>
              <w:t>运营期噪声监测要求见表4-9</w:t>
            </w:r>
            <w:r>
              <w:rPr>
                <w:color w:val="auto"/>
                <w:szCs w:val="24"/>
              </w:rPr>
              <w:t>。</w:t>
            </w:r>
          </w:p>
          <w:p w14:paraId="115AB8A4">
            <w:pPr>
              <w:pStyle w:val="114"/>
              <w:rPr>
                <w:color w:val="auto"/>
              </w:rPr>
            </w:pPr>
            <w:r>
              <w:rPr>
                <w:color w:val="auto"/>
              </w:rPr>
              <w:t>表4-</w:t>
            </w:r>
            <w:r>
              <w:rPr>
                <w:rFonts w:hint="eastAsia"/>
                <w:color w:val="auto"/>
                <w:lang w:val="en-US" w:eastAsia="zh-CN"/>
              </w:rPr>
              <w:t>8</w:t>
            </w:r>
            <w:r>
              <w:rPr>
                <w:color w:val="auto"/>
              </w:rPr>
              <w:t xml:space="preserve">  噪声污染源源强核算结果及相关参数一览表</w:t>
            </w:r>
          </w:p>
          <w:tbl>
            <w:tblPr>
              <w:tblStyle w:val="43"/>
              <w:tblW w:w="5000" w:type="pct"/>
              <w:tblInd w:w="5"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396"/>
              <w:gridCol w:w="396"/>
              <w:gridCol w:w="426"/>
              <w:gridCol w:w="756"/>
              <w:gridCol w:w="706"/>
              <w:gridCol w:w="576"/>
              <w:gridCol w:w="456"/>
              <w:gridCol w:w="366"/>
              <w:gridCol w:w="711"/>
              <w:gridCol w:w="396"/>
              <w:gridCol w:w="706"/>
              <w:gridCol w:w="666"/>
              <w:gridCol w:w="707"/>
              <w:gridCol w:w="707"/>
              <w:gridCol w:w="448"/>
            </w:tblGrid>
            <w:tr w14:paraId="68EEB6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7" w:hRule="atLeast"/>
              </w:trPr>
              <w:tc>
                <w:tcPr>
                  <w:tcW w:w="235" w:type="pct"/>
                  <w:vMerge w:val="restart"/>
                  <w:tcBorders>
                    <w:tl2br w:val="nil"/>
                    <w:tr2bl w:val="nil"/>
                  </w:tcBorders>
                  <w:noWrap w:val="0"/>
                  <w:vAlign w:val="center"/>
                </w:tcPr>
                <w:p w14:paraId="3ABE6EAE">
                  <w:pPr>
                    <w:jc w:val="center"/>
                    <w:rPr>
                      <w:color w:val="auto"/>
                      <w:sz w:val="18"/>
                      <w:szCs w:val="18"/>
                    </w:rPr>
                  </w:pPr>
                  <w:r>
                    <w:rPr>
                      <w:color w:val="auto"/>
                      <w:sz w:val="18"/>
                      <w:szCs w:val="18"/>
                    </w:rPr>
                    <w:t>序号</w:t>
                  </w:r>
                </w:p>
              </w:tc>
              <w:tc>
                <w:tcPr>
                  <w:tcW w:w="235" w:type="pct"/>
                  <w:vMerge w:val="restart"/>
                  <w:tcBorders>
                    <w:tl2br w:val="nil"/>
                    <w:tr2bl w:val="nil"/>
                  </w:tcBorders>
                  <w:noWrap w:val="0"/>
                  <w:vAlign w:val="center"/>
                </w:tcPr>
                <w:p w14:paraId="211B5229">
                  <w:pPr>
                    <w:jc w:val="center"/>
                    <w:rPr>
                      <w:color w:val="auto"/>
                      <w:sz w:val="18"/>
                      <w:szCs w:val="18"/>
                    </w:rPr>
                  </w:pPr>
                  <w:r>
                    <w:rPr>
                      <w:color w:val="auto"/>
                      <w:sz w:val="18"/>
                      <w:szCs w:val="18"/>
                    </w:rPr>
                    <w:t>建筑物名称</w:t>
                  </w:r>
                </w:p>
              </w:tc>
              <w:tc>
                <w:tcPr>
                  <w:tcW w:w="244" w:type="pct"/>
                  <w:vMerge w:val="restart"/>
                  <w:tcBorders>
                    <w:tl2br w:val="nil"/>
                    <w:tr2bl w:val="nil"/>
                  </w:tcBorders>
                  <w:noWrap w:val="0"/>
                  <w:vAlign w:val="center"/>
                </w:tcPr>
                <w:p w14:paraId="074C3FF5">
                  <w:pPr>
                    <w:jc w:val="center"/>
                    <w:rPr>
                      <w:color w:val="auto"/>
                      <w:sz w:val="18"/>
                      <w:szCs w:val="18"/>
                    </w:rPr>
                  </w:pPr>
                  <w:r>
                    <w:rPr>
                      <w:color w:val="auto"/>
                      <w:sz w:val="18"/>
                      <w:szCs w:val="18"/>
                    </w:rPr>
                    <w:t>声源名称</w:t>
                  </w:r>
                </w:p>
              </w:tc>
              <w:tc>
                <w:tcPr>
                  <w:tcW w:w="449" w:type="pct"/>
                  <w:vMerge w:val="restart"/>
                  <w:tcBorders>
                    <w:tl2br w:val="nil"/>
                    <w:tr2bl w:val="nil"/>
                  </w:tcBorders>
                  <w:noWrap w:val="0"/>
                  <w:vAlign w:val="center"/>
                </w:tcPr>
                <w:p w14:paraId="62619EB3">
                  <w:pPr>
                    <w:jc w:val="center"/>
                    <w:rPr>
                      <w:color w:val="auto"/>
                      <w:sz w:val="18"/>
                      <w:szCs w:val="18"/>
                    </w:rPr>
                  </w:pPr>
                  <w:r>
                    <w:rPr>
                      <w:color w:val="auto"/>
                      <w:sz w:val="18"/>
                      <w:szCs w:val="18"/>
                    </w:rPr>
                    <w:t>数量</w:t>
                  </w:r>
                </w:p>
                <w:p w14:paraId="05E0781E">
                  <w:pPr>
                    <w:jc w:val="center"/>
                    <w:rPr>
                      <w:color w:val="auto"/>
                      <w:sz w:val="18"/>
                      <w:szCs w:val="18"/>
                    </w:rPr>
                  </w:pPr>
                  <w:r>
                    <w:rPr>
                      <w:color w:val="auto"/>
                      <w:sz w:val="18"/>
                      <w:szCs w:val="18"/>
                    </w:rPr>
                    <w:t>（台）</w:t>
                  </w:r>
                </w:p>
              </w:tc>
              <w:tc>
                <w:tcPr>
                  <w:tcW w:w="419" w:type="pct"/>
                  <w:vMerge w:val="restart"/>
                  <w:tcBorders>
                    <w:tl2br w:val="nil"/>
                    <w:tr2bl w:val="nil"/>
                  </w:tcBorders>
                  <w:noWrap w:val="0"/>
                  <w:vAlign w:val="center"/>
                </w:tcPr>
                <w:p w14:paraId="29AE6C01">
                  <w:pPr>
                    <w:jc w:val="center"/>
                    <w:rPr>
                      <w:color w:val="auto"/>
                      <w:sz w:val="18"/>
                      <w:szCs w:val="18"/>
                    </w:rPr>
                  </w:pPr>
                  <w:r>
                    <w:rPr>
                      <w:color w:val="auto"/>
                      <w:sz w:val="18"/>
                      <w:szCs w:val="18"/>
                    </w:rPr>
                    <w:t>声功率级</w:t>
                  </w:r>
                </w:p>
                <w:p w14:paraId="781F2E62">
                  <w:pPr>
                    <w:jc w:val="center"/>
                    <w:rPr>
                      <w:rFonts w:hint="eastAsia"/>
                      <w:color w:val="auto"/>
                      <w:sz w:val="18"/>
                      <w:szCs w:val="18"/>
                    </w:rPr>
                  </w:pPr>
                  <w:r>
                    <w:rPr>
                      <w:color w:val="auto"/>
                      <w:sz w:val="18"/>
                      <w:szCs w:val="18"/>
                    </w:rPr>
                    <w:t>dB</w:t>
                  </w:r>
                  <w:r>
                    <w:rPr>
                      <w:rFonts w:hint="eastAsia"/>
                      <w:color w:val="auto"/>
                      <w:sz w:val="18"/>
                      <w:szCs w:val="18"/>
                    </w:rPr>
                    <w:t>（</w:t>
                  </w:r>
                  <w:r>
                    <w:rPr>
                      <w:color w:val="auto"/>
                      <w:sz w:val="18"/>
                      <w:szCs w:val="18"/>
                    </w:rPr>
                    <w:t>A</w:t>
                  </w:r>
                  <w:r>
                    <w:rPr>
                      <w:rFonts w:hint="eastAsia"/>
                      <w:color w:val="auto"/>
                      <w:sz w:val="18"/>
                      <w:szCs w:val="18"/>
                    </w:rPr>
                    <w:t>）</w:t>
                  </w:r>
                </w:p>
              </w:tc>
              <w:tc>
                <w:tcPr>
                  <w:tcW w:w="342" w:type="pct"/>
                  <w:vMerge w:val="restart"/>
                  <w:tcBorders>
                    <w:tl2br w:val="nil"/>
                    <w:tr2bl w:val="nil"/>
                  </w:tcBorders>
                  <w:noWrap w:val="0"/>
                  <w:vAlign w:val="center"/>
                </w:tcPr>
                <w:p w14:paraId="0C20E6F1">
                  <w:pPr>
                    <w:jc w:val="center"/>
                    <w:rPr>
                      <w:color w:val="auto"/>
                      <w:sz w:val="18"/>
                      <w:szCs w:val="18"/>
                    </w:rPr>
                  </w:pPr>
                  <w:r>
                    <w:rPr>
                      <w:color w:val="auto"/>
                      <w:sz w:val="18"/>
                      <w:szCs w:val="18"/>
                    </w:rPr>
                    <w:t>声控制措施</w:t>
                  </w:r>
                </w:p>
              </w:tc>
              <w:tc>
                <w:tcPr>
                  <w:tcW w:w="912" w:type="pct"/>
                  <w:gridSpan w:val="3"/>
                  <w:tcBorders>
                    <w:tl2br w:val="nil"/>
                    <w:tr2bl w:val="nil"/>
                  </w:tcBorders>
                  <w:noWrap w:val="0"/>
                  <w:vAlign w:val="center"/>
                </w:tcPr>
                <w:p w14:paraId="7B1F504F">
                  <w:pPr>
                    <w:jc w:val="center"/>
                    <w:rPr>
                      <w:color w:val="auto"/>
                      <w:sz w:val="18"/>
                      <w:szCs w:val="18"/>
                    </w:rPr>
                  </w:pPr>
                  <w:r>
                    <w:rPr>
                      <w:color w:val="auto"/>
                      <w:sz w:val="18"/>
                      <w:szCs w:val="18"/>
                    </w:rPr>
                    <w:t>空间相对位置</w:t>
                  </w:r>
                </w:p>
              </w:tc>
              <w:tc>
                <w:tcPr>
                  <w:tcW w:w="236" w:type="pct"/>
                  <w:vMerge w:val="restart"/>
                  <w:tcBorders>
                    <w:tl2br w:val="nil"/>
                    <w:tr2bl w:val="nil"/>
                  </w:tcBorders>
                  <w:noWrap w:val="0"/>
                  <w:vAlign w:val="center"/>
                </w:tcPr>
                <w:p w14:paraId="08143939">
                  <w:pPr>
                    <w:jc w:val="center"/>
                    <w:rPr>
                      <w:color w:val="auto"/>
                      <w:sz w:val="18"/>
                      <w:szCs w:val="18"/>
                    </w:rPr>
                  </w:pPr>
                  <w:r>
                    <w:rPr>
                      <w:color w:val="auto"/>
                      <w:sz w:val="18"/>
                      <w:szCs w:val="18"/>
                    </w:rPr>
                    <w:t>距室内边界距离m</w:t>
                  </w:r>
                </w:p>
              </w:tc>
              <w:tc>
                <w:tcPr>
                  <w:tcW w:w="420" w:type="pct"/>
                  <w:vMerge w:val="restart"/>
                  <w:tcBorders>
                    <w:tl2br w:val="nil"/>
                    <w:tr2bl w:val="nil"/>
                  </w:tcBorders>
                  <w:noWrap w:val="0"/>
                  <w:vAlign w:val="center"/>
                </w:tcPr>
                <w:p w14:paraId="03F92C3A">
                  <w:pPr>
                    <w:jc w:val="center"/>
                    <w:rPr>
                      <w:rFonts w:hint="eastAsia"/>
                      <w:color w:val="auto"/>
                      <w:sz w:val="18"/>
                      <w:szCs w:val="18"/>
                    </w:rPr>
                  </w:pPr>
                  <w:r>
                    <w:rPr>
                      <w:color w:val="auto"/>
                      <w:sz w:val="18"/>
                      <w:szCs w:val="18"/>
                    </w:rPr>
                    <w:t>室内边界声级dB</w:t>
                  </w:r>
                  <w:r>
                    <w:rPr>
                      <w:rFonts w:hint="eastAsia"/>
                      <w:color w:val="auto"/>
                      <w:sz w:val="18"/>
                      <w:szCs w:val="18"/>
                    </w:rPr>
                    <w:t>（</w:t>
                  </w:r>
                  <w:r>
                    <w:rPr>
                      <w:color w:val="auto"/>
                      <w:sz w:val="18"/>
                      <w:szCs w:val="18"/>
                    </w:rPr>
                    <w:t>A</w:t>
                  </w:r>
                  <w:r>
                    <w:rPr>
                      <w:rFonts w:hint="eastAsia"/>
                      <w:color w:val="auto"/>
                      <w:sz w:val="18"/>
                      <w:szCs w:val="18"/>
                    </w:rPr>
                    <w:t>）</w:t>
                  </w:r>
                </w:p>
              </w:tc>
              <w:tc>
                <w:tcPr>
                  <w:tcW w:w="396" w:type="pct"/>
                  <w:vMerge w:val="restart"/>
                  <w:tcBorders>
                    <w:tl2br w:val="nil"/>
                    <w:tr2bl w:val="nil"/>
                  </w:tcBorders>
                  <w:noWrap w:val="0"/>
                  <w:vAlign w:val="center"/>
                </w:tcPr>
                <w:p w14:paraId="563F6DAB">
                  <w:pPr>
                    <w:jc w:val="center"/>
                    <w:rPr>
                      <w:color w:val="auto"/>
                      <w:sz w:val="18"/>
                      <w:szCs w:val="18"/>
                    </w:rPr>
                  </w:pPr>
                  <w:r>
                    <w:rPr>
                      <w:color w:val="auto"/>
                      <w:sz w:val="18"/>
                      <w:szCs w:val="18"/>
                    </w:rPr>
                    <w:t>运行时段</w:t>
                  </w:r>
                </w:p>
              </w:tc>
              <w:tc>
                <w:tcPr>
                  <w:tcW w:w="420" w:type="pct"/>
                  <w:vMerge w:val="restart"/>
                  <w:tcBorders>
                    <w:tl2br w:val="nil"/>
                    <w:tr2bl w:val="nil"/>
                  </w:tcBorders>
                  <w:noWrap w:val="0"/>
                  <w:vAlign w:val="center"/>
                </w:tcPr>
                <w:p w14:paraId="5B6EDE3F">
                  <w:pPr>
                    <w:jc w:val="center"/>
                    <w:rPr>
                      <w:color w:val="auto"/>
                      <w:sz w:val="18"/>
                      <w:szCs w:val="18"/>
                    </w:rPr>
                  </w:pPr>
                  <w:r>
                    <w:rPr>
                      <w:color w:val="auto"/>
                      <w:sz w:val="18"/>
                      <w:szCs w:val="18"/>
                    </w:rPr>
                    <w:t>建筑物插入损</w:t>
                  </w:r>
                </w:p>
                <w:p w14:paraId="2C59F916">
                  <w:pPr>
                    <w:jc w:val="center"/>
                    <w:rPr>
                      <w:color w:val="auto"/>
                      <w:sz w:val="18"/>
                      <w:szCs w:val="18"/>
                    </w:rPr>
                  </w:pPr>
                  <w:r>
                    <w:rPr>
                      <w:color w:val="auto"/>
                      <w:sz w:val="18"/>
                      <w:szCs w:val="18"/>
                    </w:rPr>
                    <w:t>失</w:t>
                  </w:r>
                </w:p>
                <w:p w14:paraId="602932A1">
                  <w:pPr>
                    <w:jc w:val="center"/>
                    <w:rPr>
                      <w:rFonts w:hint="eastAsia"/>
                      <w:color w:val="auto"/>
                      <w:sz w:val="18"/>
                      <w:szCs w:val="18"/>
                    </w:rPr>
                  </w:pPr>
                  <w:r>
                    <w:rPr>
                      <w:color w:val="auto"/>
                      <w:sz w:val="18"/>
                      <w:szCs w:val="18"/>
                    </w:rPr>
                    <w:t>dB</w:t>
                  </w:r>
                  <w:r>
                    <w:rPr>
                      <w:rFonts w:hint="eastAsia"/>
                      <w:color w:val="auto"/>
                      <w:sz w:val="18"/>
                      <w:szCs w:val="18"/>
                    </w:rPr>
                    <w:t>（</w:t>
                  </w:r>
                  <w:r>
                    <w:rPr>
                      <w:color w:val="auto"/>
                      <w:sz w:val="18"/>
                      <w:szCs w:val="18"/>
                    </w:rPr>
                    <w:t>A</w:t>
                  </w:r>
                  <w:r>
                    <w:rPr>
                      <w:rFonts w:hint="eastAsia"/>
                      <w:color w:val="auto"/>
                      <w:sz w:val="18"/>
                      <w:szCs w:val="18"/>
                    </w:rPr>
                    <w:t>）</w:t>
                  </w:r>
                </w:p>
              </w:tc>
              <w:tc>
                <w:tcPr>
                  <w:tcW w:w="686" w:type="pct"/>
                  <w:gridSpan w:val="2"/>
                  <w:tcBorders>
                    <w:tl2br w:val="nil"/>
                    <w:tr2bl w:val="nil"/>
                  </w:tcBorders>
                  <w:noWrap w:val="0"/>
                  <w:vAlign w:val="center"/>
                </w:tcPr>
                <w:p w14:paraId="322C7BE4">
                  <w:pPr>
                    <w:jc w:val="center"/>
                    <w:rPr>
                      <w:color w:val="auto"/>
                      <w:sz w:val="18"/>
                      <w:szCs w:val="18"/>
                    </w:rPr>
                  </w:pPr>
                  <w:r>
                    <w:rPr>
                      <w:color w:val="auto"/>
                      <w:sz w:val="18"/>
                      <w:szCs w:val="18"/>
                    </w:rPr>
                    <w:t>建筑物外噪声</w:t>
                  </w:r>
                </w:p>
              </w:tc>
            </w:tr>
            <w:tr w14:paraId="0653D5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57" w:hRule="atLeast"/>
              </w:trPr>
              <w:tc>
                <w:tcPr>
                  <w:tcW w:w="235" w:type="pct"/>
                  <w:vMerge w:val="continue"/>
                  <w:tcBorders>
                    <w:tl2br w:val="nil"/>
                    <w:tr2bl w:val="nil"/>
                  </w:tcBorders>
                  <w:noWrap w:val="0"/>
                  <w:vAlign w:val="center"/>
                </w:tcPr>
                <w:p w14:paraId="4AA8E5B4">
                  <w:pPr>
                    <w:jc w:val="center"/>
                    <w:rPr>
                      <w:color w:val="auto"/>
                      <w:sz w:val="18"/>
                      <w:szCs w:val="18"/>
                    </w:rPr>
                  </w:pPr>
                </w:p>
              </w:tc>
              <w:tc>
                <w:tcPr>
                  <w:tcW w:w="235" w:type="pct"/>
                  <w:vMerge w:val="continue"/>
                  <w:tcBorders>
                    <w:tl2br w:val="nil"/>
                    <w:tr2bl w:val="nil"/>
                  </w:tcBorders>
                  <w:noWrap w:val="0"/>
                  <w:vAlign w:val="center"/>
                </w:tcPr>
                <w:p w14:paraId="04700C91">
                  <w:pPr>
                    <w:jc w:val="center"/>
                    <w:rPr>
                      <w:color w:val="auto"/>
                      <w:sz w:val="18"/>
                      <w:szCs w:val="18"/>
                    </w:rPr>
                  </w:pPr>
                </w:p>
              </w:tc>
              <w:tc>
                <w:tcPr>
                  <w:tcW w:w="244" w:type="pct"/>
                  <w:vMerge w:val="continue"/>
                  <w:tcBorders>
                    <w:tl2br w:val="nil"/>
                    <w:tr2bl w:val="nil"/>
                  </w:tcBorders>
                  <w:noWrap w:val="0"/>
                  <w:vAlign w:val="center"/>
                </w:tcPr>
                <w:p w14:paraId="4C0F8646">
                  <w:pPr>
                    <w:jc w:val="center"/>
                    <w:rPr>
                      <w:color w:val="auto"/>
                      <w:sz w:val="18"/>
                      <w:szCs w:val="18"/>
                    </w:rPr>
                  </w:pPr>
                </w:p>
              </w:tc>
              <w:tc>
                <w:tcPr>
                  <w:tcW w:w="449" w:type="pct"/>
                  <w:vMerge w:val="continue"/>
                  <w:tcBorders>
                    <w:tl2br w:val="nil"/>
                    <w:tr2bl w:val="nil"/>
                  </w:tcBorders>
                  <w:noWrap w:val="0"/>
                  <w:vAlign w:val="center"/>
                </w:tcPr>
                <w:p w14:paraId="51C60C6B">
                  <w:pPr>
                    <w:jc w:val="center"/>
                    <w:rPr>
                      <w:color w:val="auto"/>
                      <w:sz w:val="18"/>
                      <w:szCs w:val="18"/>
                    </w:rPr>
                  </w:pPr>
                </w:p>
              </w:tc>
              <w:tc>
                <w:tcPr>
                  <w:tcW w:w="419" w:type="pct"/>
                  <w:vMerge w:val="continue"/>
                  <w:tcBorders>
                    <w:tl2br w:val="nil"/>
                    <w:tr2bl w:val="nil"/>
                  </w:tcBorders>
                  <w:noWrap w:val="0"/>
                  <w:vAlign w:val="center"/>
                </w:tcPr>
                <w:p w14:paraId="6D64978D">
                  <w:pPr>
                    <w:jc w:val="center"/>
                    <w:rPr>
                      <w:color w:val="auto"/>
                      <w:sz w:val="18"/>
                      <w:szCs w:val="18"/>
                    </w:rPr>
                  </w:pPr>
                </w:p>
              </w:tc>
              <w:tc>
                <w:tcPr>
                  <w:tcW w:w="342" w:type="pct"/>
                  <w:vMerge w:val="continue"/>
                  <w:tcBorders>
                    <w:tl2br w:val="nil"/>
                    <w:tr2bl w:val="nil"/>
                  </w:tcBorders>
                  <w:noWrap w:val="0"/>
                  <w:vAlign w:val="center"/>
                </w:tcPr>
                <w:p w14:paraId="7B545879">
                  <w:pPr>
                    <w:jc w:val="center"/>
                    <w:rPr>
                      <w:color w:val="auto"/>
                      <w:sz w:val="18"/>
                      <w:szCs w:val="18"/>
                    </w:rPr>
                  </w:pPr>
                </w:p>
              </w:tc>
              <w:tc>
                <w:tcPr>
                  <w:tcW w:w="271" w:type="pct"/>
                  <w:tcBorders>
                    <w:tl2br w:val="nil"/>
                    <w:tr2bl w:val="nil"/>
                  </w:tcBorders>
                  <w:noWrap w:val="0"/>
                  <w:vAlign w:val="center"/>
                </w:tcPr>
                <w:p w14:paraId="200B6471">
                  <w:pPr>
                    <w:jc w:val="center"/>
                    <w:rPr>
                      <w:color w:val="auto"/>
                      <w:sz w:val="18"/>
                      <w:szCs w:val="18"/>
                    </w:rPr>
                  </w:pPr>
                  <w:r>
                    <w:rPr>
                      <w:color w:val="auto"/>
                      <w:sz w:val="18"/>
                      <w:szCs w:val="18"/>
                    </w:rPr>
                    <w:t>X</w:t>
                  </w:r>
                </w:p>
              </w:tc>
              <w:tc>
                <w:tcPr>
                  <w:tcW w:w="217" w:type="pct"/>
                  <w:tcBorders>
                    <w:tl2br w:val="nil"/>
                    <w:tr2bl w:val="nil"/>
                  </w:tcBorders>
                  <w:noWrap w:val="0"/>
                  <w:vAlign w:val="center"/>
                </w:tcPr>
                <w:p w14:paraId="23E08698">
                  <w:pPr>
                    <w:jc w:val="center"/>
                    <w:rPr>
                      <w:color w:val="auto"/>
                      <w:sz w:val="18"/>
                      <w:szCs w:val="18"/>
                    </w:rPr>
                  </w:pPr>
                  <w:r>
                    <w:rPr>
                      <w:color w:val="auto"/>
                      <w:sz w:val="18"/>
                      <w:szCs w:val="18"/>
                    </w:rPr>
                    <w:t>Y</w:t>
                  </w:r>
                </w:p>
              </w:tc>
              <w:tc>
                <w:tcPr>
                  <w:tcW w:w="423" w:type="pct"/>
                  <w:tcBorders>
                    <w:tl2br w:val="nil"/>
                    <w:tr2bl w:val="nil"/>
                  </w:tcBorders>
                  <w:noWrap w:val="0"/>
                  <w:vAlign w:val="center"/>
                </w:tcPr>
                <w:p w14:paraId="6D3ED521">
                  <w:pPr>
                    <w:jc w:val="center"/>
                    <w:rPr>
                      <w:color w:val="auto"/>
                      <w:sz w:val="18"/>
                      <w:szCs w:val="18"/>
                    </w:rPr>
                  </w:pPr>
                  <w:r>
                    <w:rPr>
                      <w:color w:val="auto"/>
                      <w:sz w:val="18"/>
                      <w:szCs w:val="18"/>
                    </w:rPr>
                    <w:t>Z</w:t>
                  </w:r>
                </w:p>
              </w:tc>
              <w:tc>
                <w:tcPr>
                  <w:tcW w:w="236" w:type="pct"/>
                  <w:vMerge w:val="continue"/>
                  <w:tcBorders>
                    <w:tl2br w:val="nil"/>
                    <w:tr2bl w:val="nil"/>
                  </w:tcBorders>
                  <w:noWrap w:val="0"/>
                  <w:vAlign w:val="center"/>
                </w:tcPr>
                <w:p w14:paraId="32B96875">
                  <w:pPr>
                    <w:jc w:val="center"/>
                    <w:rPr>
                      <w:color w:val="auto"/>
                      <w:sz w:val="18"/>
                      <w:szCs w:val="18"/>
                    </w:rPr>
                  </w:pPr>
                </w:p>
              </w:tc>
              <w:tc>
                <w:tcPr>
                  <w:tcW w:w="420" w:type="pct"/>
                  <w:vMerge w:val="continue"/>
                  <w:tcBorders>
                    <w:tl2br w:val="nil"/>
                    <w:tr2bl w:val="nil"/>
                  </w:tcBorders>
                  <w:noWrap w:val="0"/>
                  <w:vAlign w:val="center"/>
                </w:tcPr>
                <w:p w14:paraId="4CA03AD9">
                  <w:pPr>
                    <w:jc w:val="center"/>
                    <w:rPr>
                      <w:color w:val="auto"/>
                      <w:sz w:val="18"/>
                      <w:szCs w:val="18"/>
                    </w:rPr>
                  </w:pPr>
                </w:p>
              </w:tc>
              <w:tc>
                <w:tcPr>
                  <w:tcW w:w="396" w:type="pct"/>
                  <w:vMerge w:val="continue"/>
                  <w:tcBorders>
                    <w:tl2br w:val="nil"/>
                    <w:tr2bl w:val="nil"/>
                  </w:tcBorders>
                  <w:noWrap w:val="0"/>
                  <w:vAlign w:val="center"/>
                </w:tcPr>
                <w:p w14:paraId="0F2F460E">
                  <w:pPr>
                    <w:jc w:val="center"/>
                    <w:rPr>
                      <w:color w:val="auto"/>
                      <w:sz w:val="18"/>
                      <w:szCs w:val="18"/>
                    </w:rPr>
                  </w:pPr>
                </w:p>
              </w:tc>
              <w:tc>
                <w:tcPr>
                  <w:tcW w:w="420" w:type="pct"/>
                  <w:vMerge w:val="continue"/>
                  <w:tcBorders>
                    <w:tl2br w:val="nil"/>
                    <w:tr2bl w:val="nil"/>
                  </w:tcBorders>
                  <w:noWrap w:val="0"/>
                  <w:vAlign w:val="center"/>
                </w:tcPr>
                <w:p w14:paraId="5B63B567">
                  <w:pPr>
                    <w:jc w:val="center"/>
                    <w:rPr>
                      <w:color w:val="auto"/>
                      <w:sz w:val="18"/>
                      <w:szCs w:val="18"/>
                    </w:rPr>
                  </w:pPr>
                </w:p>
              </w:tc>
              <w:tc>
                <w:tcPr>
                  <w:tcW w:w="420" w:type="pct"/>
                  <w:tcBorders>
                    <w:tl2br w:val="nil"/>
                    <w:tr2bl w:val="nil"/>
                  </w:tcBorders>
                  <w:noWrap w:val="0"/>
                  <w:vAlign w:val="center"/>
                </w:tcPr>
                <w:p w14:paraId="0F60E239">
                  <w:pPr>
                    <w:jc w:val="center"/>
                    <w:rPr>
                      <w:color w:val="auto"/>
                      <w:sz w:val="18"/>
                      <w:szCs w:val="18"/>
                    </w:rPr>
                  </w:pPr>
                  <w:r>
                    <w:rPr>
                      <w:color w:val="auto"/>
                      <w:sz w:val="18"/>
                      <w:szCs w:val="18"/>
                    </w:rPr>
                    <w:t>声压级</w:t>
                  </w:r>
                </w:p>
                <w:p w14:paraId="253DEF05">
                  <w:pPr>
                    <w:jc w:val="center"/>
                    <w:rPr>
                      <w:rFonts w:hint="eastAsia"/>
                      <w:color w:val="auto"/>
                      <w:sz w:val="18"/>
                      <w:szCs w:val="18"/>
                    </w:rPr>
                  </w:pPr>
                  <w:r>
                    <w:rPr>
                      <w:color w:val="auto"/>
                      <w:sz w:val="18"/>
                      <w:szCs w:val="18"/>
                    </w:rPr>
                    <w:t>dB</w:t>
                  </w:r>
                  <w:r>
                    <w:rPr>
                      <w:rFonts w:hint="eastAsia"/>
                      <w:color w:val="auto"/>
                      <w:sz w:val="18"/>
                      <w:szCs w:val="18"/>
                    </w:rPr>
                    <w:t>（</w:t>
                  </w:r>
                  <w:r>
                    <w:rPr>
                      <w:color w:val="auto"/>
                      <w:sz w:val="18"/>
                      <w:szCs w:val="18"/>
                    </w:rPr>
                    <w:t>A</w:t>
                  </w:r>
                  <w:r>
                    <w:rPr>
                      <w:rFonts w:hint="eastAsia"/>
                      <w:color w:val="auto"/>
                      <w:sz w:val="18"/>
                      <w:szCs w:val="18"/>
                    </w:rPr>
                    <w:t>）</w:t>
                  </w:r>
                </w:p>
              </w:tc>
              <w:tc>
                <w:tcPr>
                  <w:tcW w:w="266" w:type="pct"/>
                  <w:tcBorders>
                    <w:tl2br w:val="nil"/>
                    <w:tr2bl w:val="nil"/>
                  </w:tcBorders>
                  <w:noWrap w:val="0"/>
                  <w:vAlign w:val="center"/>
                </w:tcPr>
                <w:p w14:paraId="53899FA0">
                  <w:pPr>
                    <w:jc w:val="center"/>
                    <w:rPr>
                      <w:color w:val="auto"/>
                      <w:sz w:val="18"/>
                      <w:szCs w:val="18"/>
                    </w:rPr>
                  </w:pPr>
                  <w:r>
                    <w:rPr>
                      <w:color w:val="auto"/>
                      <w:sz w:val="18"/>
                      <w:szCs w:val="18"/>
                    </w:rPr>
                    <w:t>建筑物外距离</w:t>
                  </w:r>
                </w:p>
              </w:tc>
            </w:tr>
            <w:tr w14:paraId="1B63C32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832" w:hRule="atLeast"/>
              </w:trPr>
              <w:tc>
                <w:tcPr>
                  <w:tcW w:w="235" w:type="pct"/>
                  <w:vMerge w:val="restart"/>
                  <w:tcBorders>
                    <w:tl2br w:val="nil"/>
                    <w:tr2bl w:val="nil"/>
                  </w:tcBorders>
                  <w:noWrap w:val="0"/>
                  <w:vAlign w:val="center"/>
                </w:tcPr>
                <w:p w14:paraId="6B201A84">
                  <w:pPr>
                    <w:jc w:val="center"/>
                    <w:rPr>
                      <w:color w:val="auto"/>
                      <w:sz w:val="18"/>
                      <w:szCs w:val="18"/>
                    </w:rPr>
                  </w:pPr>
                  <w:r>
                    <w:rPr>
                      <w:color w:val="auto"/>
                      <w:sz w:val="18"/>
                      <w:szCs w:val="18"/>
                    </w:rPr>
                    <w:t>1</w:t>
                  </w:r>
                </w:p>
              </w:tc>
              <w:tc>
                <w:tcPr>
                  <w:tcW w:w="235" w:type="pct"/>
                  <w:vMerge w:val="restart"/>
                  <w:tcBorders>
                    <w:tl2br w:val="nil"/>
                    <w:tr2bl w:val="nil"/>
                  </w:tcBorders>
                  <w:noWrap w:val="0"/>
                  <w:vAlign w:val="center"/>
                </w:tcPr>
                <w:p w14:paraId="726A5570">
                  <w:pPr>
                    <w:jc w:val="center"/>
                    <w:rPr>
                      <w:color w:val="auto"/>
                      <w:sz w:val="18"/>
                      <w:szCs w:val="18"/>
                    </w:rPr>
                  </w:pPr>
                  <w:r>
                    <w:rPr>
                      <w:color w:val="auto"/>
                      <w:sz w:val="18"/>
                      <w:szCs w:val="18"/>
                    </w:rPr>
                    <w:t>车间</w:t>
                  </w:r>
                </w:p>
              </w:tc>
              <w:tc>
                <w:tcPr>
                  <w:tcW w:w="244" w:type="pct"/>
                  <w:tcBorders>
                    <w:tl2br w:val="nil"/>
                    <w:tr2bl w:val="nil"/>
                  </w:tcBorders>
                  <w:noWrap w:val="0"/>
                  <w:vAlign w:val="center"/>
                </w:tcPr>
                <w:p w14:paraId="196CC7A5">
                  <w:pPr>
                    <w:widowControl/>
                    <w:jc w:val="center"/>
                    <w:textAlignment w:val="center"/>
                    <w:rPr>
                      <w:rFonts w:hint="eastAsia" w:eastAsia="宋体"/>
                      <w:color w:val="auto"/>
                      <w:sz w:val="21"/>
                      <w:szCs w:val="21"/>
                      <w:highlight w:val="none"/>
                      <w:lang w:eastAsia="zh-CN"/>
                    </w:rPr>
                  </w:pPr>
                  <w:r>
                    <w:rPr>
                      <w:rFonts w:hint="eastAsia"/>
                      <w:color w:val="auto"/>
                      <w:sz w:val="21"/>
                      <w:szCs w:val="21"/>
                      <w:highlight w:val="none"/>
                      <w:lang w:val="en-US" w:eastAsia="zh-CN"/>
                    </w:rPr>
                    <w:t>包装机</w:t>
                  </w:r>
                </w:p>
              </w:tc>
              <w:tc>
                <w:tcPr>
                  <w:tcW w:w="449" w:type="pct"/>
                  <w:tcBorders>
                    <w:tl2br w:val="nil"/>
                    <w:tr2bl w:val="nil"/>
                  </w:tcBorders>
                  <w:noWrap w:val="0"/>
                  <w:vAlign w:val="center"/>
                </w:tcPr>
                <w:p w14:paraId="7FB0958F">
                  <w:pPr>
                    <w:pStyle w:val="25"/>
                    <w:adjustRightInd w:val="0"/>
                    <w:snapToGrid w:val="0"/>
                    <w:jc w:val="center"/>
                    <w:rPr>
                      <w:rFonts w:hint="eastAsia" w:eastAsia="宋体"/>
                      <w:color w:val="auto"/>
                      <w:sz w:val="21"/>
                      <w:szCs w:val="21"/>
                      <w:highlight w:val="none"/>
                      <w:lang w:eastAsia="zh-CN"/>
                    </w:rPr>
                  </w:pPr>
                  <w:r>
                    <w:rPr>
                      <w:rFonts w:hint="eastAsia" w:ascii="Times New Roman" w:hAnsi="Times New Roman"/>
                      <w:bCs/>
                      <w:color w:val="auto"/>
                      <w:sz w:val="21"/>
                      <w:szCs w:val="21"/>
                      <w:highlight w:val="none"/>
                      <w:lang w:val="en-US" w:eastAsia="zh-CN"/>
                    </w:rPr>
                    <w:t>2</w:t>
                  </w:r>
                </w:p>
              </w:tc>
              <w:tc>
                <w:tcPr>
                  <w:tcW w:w="419" w:type="pct"/>
                  <w:tcBorders>
                    <w:tl2br w:val="nil"/>
                    <w:tr2bl w:val="nil"/>
                  </w:tcBorders>
                  <w:noWrap w:val="0"/>
                  <w:vAlign w:val="center"/>
                </w:tcPr>
                <w:p w14:paraId="36BBA6C1">
                  <w:pPr>
                    <w:jc w:val="center"/>
                    <w:rPr>
                      <w:color w:val="auto"/>
                      <w:sz w:val="18"/>
                      <w:szCs w:val="18"/>
                    </w:rPr>
                  </w:pPr>
                  <w:r>
                    <w:rPr>
                      <w:rFonts w:hint="eastAsia"/>
                      <w:color w:val="auto"/>
                      <w:sz w:val="18"/>
                      <w:szCs w:val="18"/>
                    </w:rPr>
                    <w:t>75</w:t>
                  </w:r>
                </w:p>
              </w:tc>
              <w:tc>
                <w:tcPr>
                  <w:tcW w:w="342" w:type="pct"/>
                  <w:vMerge w:val="restart"/>
                  <w:tcBorders>
                    <w:tl2br w:val="nil"/>
                    <w:tr2bl w:val="nil"/>
                  </w:tcBorders>
                  <w:noWrap w:val="0"/>
                  <w:vAlign w:val="center"/>
                </w:tcPr>
                <w:p w14:paraId="64407A16">
                  <w:pPr>
                    <w:jc w:val="center"/>
                    <w:rPr>
                      <w:color w:val="auto"/>
                      <w:sz w:val="18"/>
                      <w:szCs w:val="18"/>
                    </w:rPr>
                  </w:pPr>
                  <w:r>
                    <w:rPr>
                      <w:color w:val="auto"/>
                      <w:sz w:val="18"/>
                      <w:szCs w:val="18"/>
                    </w:rPr>
                    <w:t>选用低噪声设备</w:t>
                  </w:r>
                  <w:r>
                    <w:rPr>
                      <w:rFonts w:hint="eastAsia"/>
                      <w:color w:val="auto"/>
                      <w:sz w:val="18"/>
                      <w:szCs w:val="18"/>
                      <w:lang w:eastAsia="zh-CN"/>
                    </w:rPr>
                    <w:t>，</w:t>
                  </w:r>
                  <w:r>
                    <w:rPr>
                      <w:color w:val="auto"/>
                      <w:sz w:val="18"/>
                      <w:szCs w:val="18"/>
                    </w:rPr>
                    <w:t>厂房封闭、加装减震、隔声设施</w:t>
                  </w:r>
                </w:p>
              </w:tc>
              <w:tc>
                <w:tcPr>
                  <w:tcW w:w="271" w:type="pct"/>
                  <w:tcBorders>
                    <w:tl2br w:val="nil"/>
                    <w:tr2bl w:val="nil"/>
                  </w:tcBorders>
                  <w:noWrap w:val="0"/>
                  <w:vAlign w:val="center"/>
                </w:tcPr>
                <w:p w14:paraId="41BD55E3">
                  <w:pPr>
                    <w:jc w:val="center"/>
                    <w:rPr>
                      <w:color w:val="auto"/>
                      <w:sz w:val="18"/>
                      <w:szCs w:val="18"/>
                    </w:rPr>
                  </w:pPr>
                  <w:r>
                    <w:rPr>
                      <w:color w:val="auto"/>
                      <w:sz w:val="18"/>
                      <w:szCs w:val="18"/>
                    </w:rPr>
                    <w:t>-4</w:t>
                  </w:r>
                </w:p>
              </w:tc>
              <w:tc>
                <w:tcPr>
                  <w:tcW w:w="217" w:type="pct"/>
                  <w:tcBorders>
                    <w:tl2br w:val="nil"/>
                    <w:tr2bl w:val="nil"/>
                  </w:tcBorders>
                  <w:noWrap w:val="0"/>
                  <w:vAlign w:val="center"/>
                </w:tcPr>
                <w:p w14:paraId="54EC5AC9">
                  <w:pPr>
                    <w:jc w:val="center"/>
                    <w:rPr>
                      <w:color w:val="auto"/>
                      <w:sz w:val="18"/>
                      <w:szCs w:val="18"/>
                    </w:rPr>
                  </w:pPr>
                  <w:r>
                    <w:rPr>
                      <w:color w:val="auto"/>
                      <w:sz w:val="18"/>
                      <w:szCs w:val="18"/>
                    </w:rPr>
                    <w:t>-1</w:t>
                  </w:r>
                </w:p>
              </w:tc>
              <w:tc>
                <w:tcPr>
                  <w:tcW w:w="423" w:type="pct"/>
                  <w:tcBorders>
                    <w:tl2br w:val="nil"/>
                    <w:tr2bl w:val="nil"/>
                  </w:tcBorders>
                  <w:noWrap w:val="0"/>
                  <w:vAlign w:val="center"/>
                </w:tcPr>
                <w:p w14:paraId="6529C7E8">
                  <w:pPr>
                    <w:jc w:val="center"/>
                    <w:rPr>
                      <w:color w:val="auto"/>
                      <w:sz w:val="18"/>
                      <w:szCs w:val="18"/>
                    </w:rPr>
                  </w:pPr>
                  <w:r>
                    <w:rPr>
                      <w:rFonts w:hint="eastAsia"/>
                      <w:color w:val="auto"/>
                      <w:sz w:val="18"/>
                      <w:szCs w:val="18"/>
                    </w:rPr>
                    <w:t>188.69</w:t>
                  </w:r>
                </w:p>
              </w:tc>
              <w:tc>
                <w:tcPr>
                  <w:tcW w:w="236" w:type="pct"/>
                  <w:tcBorders>
                    <w:tl2br w:val="nil"/>
                    <w:tr2bl w:val="nil"/>
                  </w:tcBorders>
                  <w:noWrap w:val="0"/>
                  <w:vAlign w:val="center"/>
                </w:tcPr>
                <w:p w14:paraId="5C8BD843">
                  <w:pPr>
                    <w:jc w:val="center"/>
                    <w:rPr>
                      <w:color w:val="auto"/>
                      <w:sz w:val="18"/>
                      <w:szCs w:val="18"/>
                    </w:rPr>
                  </w:pPr>
                  <w:r>
                    <w:rPr>
                      <w:color w:val="auto"/>
                      <w:sz w:val="18"/>
                      <w:szCs w:val="18"/>
                    </w:rPr>
                    <w:t>4</w:t>
                  </w:r>
                </w:p>
                <w:p w14:paraId="35693BF8">
                  <w:pPr>
                    <w:jc w:val="center"/>
                    <w:rPr>
                      <w:color w:val="auto"/>
                      <w:sz w:val="18"/>
                      <w:szCs w:val="18"/>
                    </w:rPr>
                  </w:pPr>
                  <w:r>
                    <w:rPr>
                      <w:color w:val="auto"/>
                      <w:sz w:val="18"/>
                      <w:szCs w:val="18"/>
                    </w:rPr>
                    <w:t>21</w:t>
                  </w:r>
                </w:p>
                <w:p w14:paraId="4CDAA454">
                  <w:pPr>
                    <w:jc w:val="center"/>
                    <w:rPr>
                      <w:color w:val="auto"/>
                      <w:sz w:val="18"/>
                      <w:szCs w:val="18"/>
                    </w:rPr>
                  </w:pPr>
                  <w:r>
                    <w:rPr>
                      <w:color w:val="auto"/>
                      <w:sz w:val="18"/>
                      <w:szCs w:val="18"/>
                    </w:rPr>
                    <w:t>31</w:t>
                  </w:r>
                </w:p>
                <w:p w14:paraId="33A98484">
                  <w:pPr>
                    <w:jc w:val="center"/>
                    <w:rPr>
                      <w:color w:val="auto"/>
                      <w:sz w:val="18"/>
                      <w:szCs w:val="18"/>
                    </w:rPr>
                  </w:pPr>
                  <w:r>
                    <w:rPr>
                      <w:color w:val="auto"/>
                      <w:sz w:val="18"/>
                      <w:szCs w:val="18"/>
                    </w:rPr>
                    <w:t>1</w:t>
                  </w:r>
                </w:p>
              </w:tc>
              <w:tc>
                <w:tcPr>
                  <w:tcW w:w="420" w:type="pct"/>
                  <w:tcBorders>
                    <w:tl2br w:val="nil"/>
                    <w:tr2bl w:val="nil"/>
                  </w:tcBorders>
                  <w:noWrap w:val="0"/>
                  <w:vAlign w:val="center"/>
                </w:tcPr>
                <w:p w14:paraId="23FDF834">
                  <w:pPr>
                    <w:jc w:val="center"/>
                    <w:rPr>
                      <w:color w:val="auto"/>
                      <w:sz w:val="18"/>
                      <w:szCs w:val="18"/>
                    </w:rPr>
                  </w:pPr>
                  <w:r>
                    <w:rPr>
                      <w:color w:val="auto"/>
                      <w:sz w:val="18"/>
                      <w:szCs w:val="18"/>
                    </w:rPr>
                    <w:t>61.7</w:t>
                  </w:r>
                </w:p>
                <w:p w14:paraId="53FDC6E3">
                  <w:pPr>
                    <w:jc w:val="center"/>
                    <w:rPr>
                      <w:color w:val="auto"/>
                      <w:sz w:val="18"/>
                      <w:szCs w:val="18"/>
                    </w:rPr>
                  </w:pPr>
                  <w:r>
                    <w:rPr>
                      <w:color w:val="auto"/>
                      <w:sz w:val="18"/>
                      <w:szCs w:val="18"/>
                    </w:rPr>
                    <w:t>47.3</w:t>
                  </w:r>
                </w:p>
                <w:p w14:paraId="77E491B5">
                  <w:pPr>
                    <w:jc w:val="center"/>
                    <w:rPr>
                      <w:color w:val="auto"/>
                      <w:sz w:val="18"/>
                      <w:szCs w:val="18"/>
                    </w:rPr>
                  </w:pPr>
                  <w:r>
                    <w:rPr>
                      <w:color w:val="auto"/>
                      <w:sz w:val="18"/>
                      <w:szCs w:val="18"/>
                    </w:rPr>
                    <w:t>43.9</w:t>
                  </w:r>
                </w:p>
                <w:p w14:paraId="1F2B18E0">
                  <w:pPr>
                    <w:jc w:val="center"/>
                    <w:rPr>
                      <w:color w:val="auto"/>
                      <w:sz w:val="18"/>
                      <w:szCs w:val="18"/>
                    </w:rPr>
                  </w:pPr>
                  <w:r>
                    <w:rPr>
                      <w:color w:val="auto"/>
                      <w:sz w:val="18"/>
                      <w:szCs w:val="18"/>
                    </w:rPr>
                    <w:t>73.6</w:t>
                  </w:r>
                </w:p>
              </w:tc>
              <w:tc>
                <w:tcPr>
                  <w:tcW w:w="396" w:type="pct"/>
                  <w:vMerge w:val="restart"/>
                  <w:tcBorders>
                    <w:tl2br w:val="nil"/>
                    <w:tr2bl w:val="nil"/>
                  </w:tcBorders>
                  <w:noWrap w:val="0"/>
                  <w:vAlign w:val="center"/>
                </w:tcPr>
                <w:p w14:paraId="6CAED43A">
                  <w:pPr>
                    <w:jc w:val="center"/>
                    <w:rPr>
                      <w:color w:val="auto"/>
                      <w:sz w:val="18"/>
                      <w:szCs w:val="18"/>
                    </w:rPr>
                  </w:pPr>
                  <w:r>
                    <w:rPr>
                      <w:rFonts w:hint="eastAsia"/>
                      <w:color w:val="auto"/>
                      <w:sz w:val="18"/>
                      <w:szCs w:val="18"/>
                    </w:rPr>
                    <w:t>2</w:t>
                  </w:r>
                  <w:r>
                    <w:rPr>
                      <w:rFonts w:hint="eastAsia"/>
                      <w:color w:val="auto"/>
                      <w:sz w:val="18"/>
                      <w:szCs w:val="18"/>
                      <w:lang w:val="en-US" w:eastAsia="zh-CN"/>
                    </w:rPr>
                    <w:t>4</w:t>
                  </w:r>
                  <w:r>
                    <w:rPr>
                      <w:rFonts w:hint="eastAsia"/>
                      <w:color w:val="auto"/>
                      <w:sz w:val="18"/>
                      <w:szCs w:val="18"/>
                    </w:rPr>
                    <w:t>0</w:t>
                  </w:r>
                  <w:r>
                    <w:rPr>
                      <w:color w:val="auto"/>
                      <w:sz w:val="18"/>
                      <w:szCs w:val="18"/>
                    </w:rPr>
                    <w:t>0h</w:t>
                  </w:r>
                </w:p>
              </w:tc>
              <w:tc>
                <w:tcPr>
                  <w:tcW w:w="420" w:type="pct"/>
                  <w:tcBorders>
                    <w:tl2br w:val="nil"/>
                    <w:tr2bl w:val="nil"/>
                  </w:tcBorders>
                  <w:noWrap w:val="0"/>
                  <w:vAlign w:val="center"/>
                </w:tcPr>
                <w:p w14:paraId="48CEFC16">
                  <w:pPr>
                    <w:jc w:val="center"/>
                    <w:rPr>
                      <w:color w:val="auto"/>
                      <w:sz w:val="18"/>
                      <w:szCs w:val="18"/>
                    </w:rPr>
                  </w:pPr>
                  <w:r>
                    <w:rPr>
                      <w:color w:val="auto"/>
                      <w:sz w:val="18"/>
                      <w:szCs w:val="18"/>
                    </w:rPr>
                    <w:t>20</w:t>
                  </w:r>
                </w:p>
              </w:tc>
              <w:tc>
                <w:tcPr>
                  <w:tcW w:w="420" w:type="pct"/>
                  <w:tcBorders>
                    <w:tl2br w:val="nil"/>
                    <w:tr2bl w:val="nil"/>
                  </w:tcBorders>
                  <w:noWrap w:val="0"/>
                  <w:vAlign w:val="center"/>
                </w:tcPr>
                <w:p w14:paraId="7C235C5F">
                  <w:pPr>
                    <w:jc w:val="center"/>
                    <w:rPr>
                      <w:color w:val="auto"/>
                      <w:sz w:val="18"/>
                      <w:szCs w:val="18"/>
                    </w:rPr>
                  </w:pPr>
                  <w:r>
                    <w:rPr>
                      <w:color w:val="auto"/>
                      <w:sz w:val="18"/>
                      <w:szCs w:val="18"/>
                    </w:rPr>
                    <w:t>41.7</w:t>
                  </w:r>
                </w:p>
                <w:p w14:paraId="4F0EFD66">
                  <w:pPr>
                    <w:jc w:val="center"/>
                    <w:rPr>
                      <w:color w:val="auto"/>
                      <w:sz w:val="18"/>
                      <w:szCs w:val="18"/>
                    </w:rPr>
                  </w:pPr>
                  <w:r>
                    <w:rPr>
                      <w:color w:val="auto"/>
                      <w:sz w:val="18"/>
                      <w:szCs w:val="18"/>
                    </w:rPr>
                    <w:t>27.3</w:t>
                  </w:r>
                </w:p>
                <w:p w14:paraId="762B3A7B">
                  <w:pPr>
                    <w:jc w:val="center"/>
                    <w:rPr>
                      <w:color w:val="auto"/>
                      <w:sz w:val="18"/>
                      <w:szCs w:val="18"/>
                    </w:rPr>
                  </w:pPr>
                  <w:r>
                    <w:rPr>
                      <w:color w:val="auto"/>
                      <w:sz w:val="18"/>
                      <w:szCs w:val="18"/>
                    </w:rPr>
                    <w:t>23.9</w:t>
                  </w:r>
                </w:p>
                <w:p w14:paraId="15936E2D">
                  <w:pPr>
                    <w:jc w:val="center"/>
                    <w:rPr>
                      <w:color w:val="auto"/>
                      <w:sz w:val="18"/>
                      <w:szCs w:val="18"/>
                    </w:rPr>
                  </w:pPr>
                  <w:r>
                    <w:rPr>
                      <w:color w:val="auto"/>
                      <w:sz w:val="18"/>
                      <w:szCs w:val="18"/>
                    </w:rPr>
                    <w:t>53.6</w:t>
                  </w:r>
                </w:p>
              </w:tc>
              <w:tc>
                <w:tcPr>
                  <w:tcW w:w="266" w:type="pct"/>
                  <w:tcBorders>
                    <w:tl2br w:val="nil"/>
                    <w:tr2bl w:val="nil"/>
                  </w:tcBorders>
                  <w:noWrap w:val="0"/>
                  <w:vAlign w:val="center"/>
                </w:tcPr>
                <w:p w14:paraId="0F8CEC6F">
                  <w:pPr>
                    <w:pStyle w:val="101"/>
                    <w:rPr>
                      <w:color w:val="auto"/>
                      <w:sz w:val="18"/>
                      <w:szCs w:val="18"/>
                    </w:rPr>
                  </w:pPr>
                  <w:r>
                    <w:rPr>
                      <w:color w:val="auto"/>
                      <w:sz w:val="18"/>
                      <w:szCs w:val="18"/>
                    </w:rPr>
                    <w:t>1m</w:t>
                  </w:r>
                </w:p>
              </w:tc>
            </w:tr>
            <w:tr w14:paraId="5DE452F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61" w:hRule="atLeast"/>
              </w:trPr>
              <w:tc>
                <w:tcPr>
                  <w:tcW w:w="235" w:type="pct"/>
                  <w:vMerge w:val="continue"/>
                  <w:tcBorders>
                    <w:tl2br w:val="nil"/>
                    <w:tr2bl w:val="nil"/>
                  </w:tcBorders>
                  <w:noWrap w:val="0"/>
                  <w:vAlign w:val="center"/>
                </w:tcPr>
                <w:p w14:paraId="5EFF7C48">
                  <w:pPr>
                    <w:jc w:val="center"/>
                    <w:rPr>
                      <w:color w:val="auto"/>
                      <w:sz w:val="18"/>
                      <w:szCs w:val="18"/>
                    </w:rPr>
                  </w:pPr>
                </w:p>
              </w:tc>
              <w:tc>
                <w:tcPr>
                  <w:tcW w:w="235" w:type="pct"/>
                  <w:vMerge w:val="continue"/>
                  <w:tcBorders>
                    <w:tl2br w:val="nil"/>
                    <w:tr2bl w:val="nil"/>
                  </w:tcBorders>
                  <w:noWrap w:val="0"/>
                  <w:vAlign w:val="center"/>
                </w:tcPr>
                <w:p w14:paraId="1EFE7DC1">
                  <w:pPr>
                    <w:jc w:val="center"/>
                    <w:rPr>
                      <w:color w:val="auto"/>
                      <w:sz w:val="18"/>
                      <w:szCs w:val="18"/>
                    </w:rPr>
                  </w:pPr>
                </w:p>
              </w:tc>
              <w:tc>
                <w:tcPr>
                  <w:tcW w:w="244" w:type="pct"/>
                  <w:tcBorders>
                    <w:tl2br w:val="nil"/>
                    <w:tr2bl w:val="nil"/>
                  </w:tcBorders>
                  <w:noWrap w:val="0"/>
                  <w:vAlign w:val="center"/>
                </w:tcPr>
                <w:p w14:paraId="39441648">
                  <w:pPr>
                    <w:widowControl/>
                    <w:jc w:val="center"/>
                    <w:textAlignment w:val="center"/>
                    <w:rPr>
                      <w:color w:val="auto"/>
                      <w:sz w:val="21"/>
                      <w:szCs w:val="21"/>
                    </w:rPr>
                  </w:pPr>
                  <w:r>
                    <w:rPr>
                      <w:rFonts w:hint="eastAsia"/>
                      <w:color w:val="auto"/>
                      <w:sz w:val="21"/>
                      <w:szCs w:val="21"/>
                      <w:lang w:val="en-US" w:eastAsia="zh-CN"/>
                    </w:rPr>
                    <w:t>供料泵</w:t>
                  </w:r>
                </w:p>
              </w:tc>
              <w:tc>
                <w:tcPr>
                  <w:tcW w:w="449" w:type="pct"/>
                  <w:tcBorders>
                    <w:tl2br w:val="nil"/>
                    <w:tr2bl w:val="nil"/>
                  </w:tcBorders>
                  <w:noWrap w:val="0"/>
                  <w:vAlign w:val="center"/>
                </w:tcPr>
                <w:p w14:paraId="1C850A62">
                  <w:pPr>
                    <w:pStyle w:val="25"/>
                    <w:adjustRightInd w:val="0"/>
                    <w:snapToGrid w:val="0"/>
                    <w:jc w:val="center"/>
                    <w:rPr>
                      <w:rFonts w:hint="eastAsia" w:eastAsia="宋体"/>
                      <w:color w:val="auto"/>
                      <w:sz w:val="21"/>
                      <w:szCs w:val="21"/>
                      <w:lang w:eastAsia="zh-CN"/>
                    </w:rPr>
                  </w:pPr>
                  <w:r>
                    <w:rPr>
                      <w:rFonts w:hint="eastAsia" w:ascii="Times New Roman" w:hAnsi="Times New Roman"/>
                      <w:bCs/>
                      <w:color w:val="auto"/>
                      <w:sz w:val="21"/>
                      <w:szCs w:val="21"/>
                      <w:lang w:val="en-US" w:eastAsia="zh-CN"/>
                    </w:rPr>
                    <w:t>6</w:t>
                  </w:r>
                </w:p>
              </w:tc>
              <w:tc>
                <w:tcPr>
                  <w:tcW w:w="419" w:type="pct"/>
                  <w:tcBorders>
                    <w:tl2br w:val="nil"/>
                    <w:tr2bl w:val="nil"/>
                  </w:tcBorders>
                  <w:noWrap w:val="0"/>
                  <w:vAlign w:val="center"/>
                </w:tcPr>
                <w:p w14:paraId="71537B09">
                  <w:pPr>
                    <w:jc w:val="center"/>
                    <w:rPr>
                      <w:color w:val="auto"/>
                      <w:sz w:val="18"/>
                      <w:szCs w:val="18"/>
                    </w:rPr>
                  </w:pPr>
                  <w:r>
                    <w:rPr>
                      <w:rFonts w:hint="eastAsia"/>
                      <w:color w:val="auto"/>
                      <w:sz w:val="18"/>
                      <w:szCs w:val="18"/>
                    </w:rPr>
                    <w:t>90</w:t>
                  </w:r>
                </w:p>
              </w:tc>
              <w:tc>
                <w:tcPr>
                  <w:tcW w:w="342" w:type="pct"/>
                  <w:vMerge w:val="continue"/>
                  <w:tcBorders>
                    <w:tl2br w:val="nil"/>
                    <w:tr2bl w:val="nil"/>
                  </w:tcBorders>
                  <w:noWrap w:val="0"/>
                  <w:vAlign w:val="center"/>
                </w:tcPr>
                <w:p w14:paraId="5B6F50BE">
                  <w:pPr>
                    <w:jc w:val="center"/>
                    <w:rPr>
                      <w:color w:val="auto"/>
                      <w:sz w:val="18"/>
                      <w:szCs w:val="18"/>
                    </w:rPr>
                  </w:pPr>
                </w:p>
              </w:tc>
              <w:tc>
                <w:tcPr>
                  <w:tcW w:w="271" w:type="pct"/>
                  <w:tcBorders>
                    <w:tl2br w:val="nil"/>
                    <w:tr2bl w:val="nil"/>
                  </w:tcBorders>
                  <w:noWrap w:val="0"/>
                  <w:vAlign w:val="center"/>
                </w:tcPr>
                <w:p w14:paraId="05BA4108">
                  <w:pPr>
                    <w:jc w:val="center"/>
                    <w:rPr>
                      <w:color w:val="auto"/>
                      <w:sz w:val="18"/>
                      <w:szCs w:val="18"/>
                    </w:rPr>
                  </w:pPr>
                  <w:r>
                    <w:rPr>
                      <w:color w:val="auto"/>
                      <w:sz w:val="18"/>
                      <w:szCs w:val="18"/>
                    </w:rPr>
                    <w:t>-6</w:t>
                  </w:r>
                </w:p>
              </w:tc>
              <w:tc>
                <w:tcPr>
                  <w:tcW w:w="217" w:type="pct"/>
                  <w:tcBorders>
                    <w:tl2br w:val="nil"/>
                    <w:tr2bl w:val="nil"/>
                  </w:tcBorders>
                  <w:noWrap w:val="0"/>
                  <w:vAlign w:val="center"/>
                </w:tcPr>
                <w:p w14:paraId="4CC89F2E">
                  <w:pPr>
                    <w:jc w:val="center"/>
                    <w:rPr>
                      <w:color w:val="auto"/>
                      <w:sz w:val="18"/>
                      <w:szCs w:val="18"/>
                    </w:rPr>
                  </w:pPr>
                  <w:r>
                    <w:rPr>
                      <w:color w:val="auto"/>
                      <w:sz w:val="18"/>
                      <w:szCs w:val="18"/>
                    </w:rPr>
                    <w:t>-1</w:t>
                  </w:r>
                </w:p>
              </w:tc>
              <w:tc>
                <w:tcPr>
                  <w:tcW w:w="423" w:type="pct"/>
                  <w:tcBorders>
                    <w:tl2br w:val="nil"/>
                    <w:tr2bl w:val="nil"/>
                  </w:tcBorders>
                  <w:noWrap w:val="0"/>
                  <w:vAlign w:val="center"/>
                </w:tcPr>
                <w:p w14:paraId="1BBF50AF">
                  <w:pPr>
                    <w:jc w:val="center"/>
                    <w:rPr>
                      <w:color w:val="auto"/>
                      <w:sz w:val="18"/>
                      <w:szCs w:val="18"/>
                    </w:rPr>
                  </w:pPr>
                  <w:r>
                    <w:rPr>
                      <w:rFonts w:hint="eastAsia"/>
                      <w:color w:val="auto"/>
                      <w:sz w:val="18"/>
                      <w:szCs w:val="18"/>
                    </w:rPr>
                    <w:t>188.69</w:t>
                  </w:r>
                </w:p>
              </w:tc>
              <w:tc>
                <w:tcPr>
                  <w:tcW w:w="236" w:type="pct"/>
                  <w:tcBorders>
                    <w:tl2br w:val="nil"/>
                    <w:tr2bl w:val="nil"/>
                  </w:tcBorders>
                  <w:noWrap w:val="0"/>
                  <w:vAlign w:val="center"/>
                </w:tcPr>
                <w:p w14:paraId="0567B67B">
                  <w:pPr>
                    <w:jc w:val="center"/>
                    <w:rPr>
                      <w:color w:val="auto"/>
                      <w:sz w:val="18"/>
                      <w:szCs w:val="18"/>
                    </w:rPr>
                  </w:pPr>
                  <w:r>
                    <w:rPr>
                      <w:color w:val="auto"/>
                      <w:sz w:val="18"/>
                      <w:szCs w:val="18"/>
                    </w:rPr>
                    <w:t>6</w:t>
                  </w:r>
                </w:p>
                <w:p w14:paraId="12E427B8">
                  <w:pPr>
                    <w:jc w:val="center"/>
                    <w:rPr>
                      <w:color w:val="auto"/>
                      <w:sz w:val="18"/>
                      <w:szCs w:val="18"/>
                    </w:rPr>
                  </w:pPr>
                  <w:r>
                    <w:rPr>
                      <w:color w:val="auto"/>
                      <w:sz w:val="18"/>
                      <w:szCs w:val="18"/>
                    </w:rPr>
                    <w:t>21</w:t>
                  </w:r>
                </w:p>
                <w:p w14:paraId="44698CE0">
                  <w:pPr>
                    <w:jc w:val="center"/>
                    <w:rPr>
                      <w:color w:val="auto"/>
                      <w:sz w:val="18"/>
                      <w:szCs w:val="18"/>
                    </w:rPr>
                  </w:pPr>
                  <w:r>
                    <w:rPr>
                      <w:color w:val="auto"/>
                      <w:sz w:val="18"/>
                      <w:szCs w:val="18"/>
                    </w:rPr>
                    <w:t>29</w:t>
                  </w:r>
                </w:p>
                <w:p w14:paraId="3E7A45DB">
                  <w:pPr>
                    <w:jc w:val="center"/>
                    <w:rPr>
                      <w:color w:val="auto"/>
                      <w:sz w:val="18"/>
                      <w:szCs w:val="18"/>
                    </w:rPr>
                  </w:pPr>
                  <w:r>
                    <w:rPr>
                      <w:color w:val="auto"/>
                      <w:sz w:val="18"/>
                      <w:szCs w:val="18"/>
                    </w:rPr>
                    <w:t>1</w:t>
                  </w:r>
                </w:p>
              </w:tc>
              <w:tc>
                <w:tcPr>
                  <w:tcW w:w="420" w:type="pct"/>
                  <w:tcBorders>
                    <w:tl2br w:val="nil"/>
                    <w:tr2bl w:val="nil"/>
                  </w:tcBorders>
                  <w:noWrap w:val="0"/>
                  <w:vAlign w:val="center"/>
                </w:tcPr>
                <w:p w14:paraId="7B42B19E">
                  <w:pPr>
                    <w:jc w:val="center"/>
                    <w:rPr>
                      <w:color w:val="auto"/>
                      <w:sz w:val="18"/>
                      <w:szCs w:val="18"/>
                    </w:rPr>
                  </w:pPr>
                  <w:r>
                    <w:rPr>
                      <w:rFonts w:hint="eastAsia"/>
                      <w:color w:val="auto"/>
                      <w:sz w:val="18"/>
                      <w:szCs w:val="18"/>
                    </w:rPr>
                    <w:t>7</w:t>
                  </w:r>
                  <w:r>
                    <w:rPr>
                      <w:color w:val="auto"/>
                      <w:sz w:val="18"/>
                      <w:szCs w:val="18"/>
                    </w:rPr>
                    <w:t>3.2</w:t>
                  </w:r>
                </w:p>
                <w:p w14:paraId="0D260AA4">
                  <w:pPr>
                    <w:jc w:val="center"/>
                    <w:rPr>
                      <w:color w:val="auto"/>
                      <w:sz w:val="18"/>
                      <w:szCs w:val="18"/>
                    </w:rPr>
                  </w:pPr>
                  <w:r>
                    <w:rPr>
                      <w:color w:val="auto"/>
                      <w:sz w:val="18"/>
                      <w:szCs w:val="18"/>
                    </w:rPr>
                    <w:t>52.3</w:t>
                  </w:r>
                </w:p>
                <w:p w14:paraId="166E767B">
                  <w:pPr>
                    <w:jc w:val="center"/>
                    <w:rPr>
                      <w:color w:val="auto"/>
                      <w:sz w:val="18"/>
                      <w:szCs w:val="18"/>
                    </w:rPr>
                  </w:pPr>
                  <w:r>
                    <w:rPr>
                      <w:color w:val="auto"/>
                      <w:sz w:val="18"/>
                      <w:szCs w:val="18"/>
                    </w:rPr>
                    <w:t>49.5</w:t>
                  </w:r>
                </w:p>
                <w:p w14:paraId="5EAC7EFC">
                  <w:pPr>
                    <w:jc w:val="center"/>
                    <w:rPr>
                      <w:color w:val="auto"/>
                      <w:sz w:val="18"/>
                      <w:szCs w:val="18"/>
                    </w:rPr>
                  </w:pPr>
                  <w:r>
                    <w:rPr>
                      <w:color w:val="auto"/>
                      <w:sz w:val="18"/>
                      <w:szCs w:val="18"/>
                    </w:rPr>
                    <w:t>78.7</w:t>
                  </w:r>
                </w:p>
              </w:tc>
              <w:tc>
                <w:tcPr>
                  <w:tcW w:w="396" w:type="pct"/>
                  <w:vMerge w:val="continue"/>
                  <w:tcBorders>
                    <w:tl2br w:val="nil"/>
                    <w:tr2bl w:val="nil"/>
                  </w:tcBorders>
                  <w:noWrap w:val="0"/>
                  <w:vAlign w:val="center"/>
                </w:tcPr>
                <w:p w14:paraId="66FB1E36">
                  <w:pPr>
                    <w:jc w:val="center"/>
                    <w:rPr>
                      <w:color w:val="auto"/>
                      <w:sz w:val="18"/>
                      <w:szCs w:val="18"/>
                    </w:rPr>
                  </w:pPr>
                </w:p>
              </w:tc>
              <w:tc>
                <w:tcPr>
                  <w:tcW w:w="420" w:type="pct"/>
                  <w:tcBorders>
                    <w:tl2br w:val="nil"/>
                    <w:tr2bl w:val="nil"/>
                  </w:tcBorders>
                  <w:noWrap w:val="0"/>
                  <w:vAlign w:val="center"/>
                </w:tcPr>
                <w:p w14:paraId="15B518F3">
                  <w:pPr>
                    <w:jc w:val="center"/>
                    <w:rPr>
                      <w:color w:val="auto"/>
                      <w:sz w:val="18"/>
                      <w:szCs w:val="18"/>
                    </w:rPr>
                  </w:pPr>
                  <w:r>
                    <w:rPr>
                      <w:color w:val="auto"/>
                      <w:sz w:val="18"/>
                      <w:szCs w:val="18"/>
                    </w:rPr>
                    <w:t>20</w:t>
                  </w:r>
                </w:p>
              </w:tc>
              <w:tc>
                <w:tcPr>
                  <w:tcW w:w="420" w:type="pct"/>
                  <w:tcBorders>
                    <w:tl2br w:val="nil"/>
                    <w:tr2bl w:val="nil"/>
                  </w:tcBorders>
                  <w:noWrap w:val="0"/>
                  <w:vAlign w:val="center"/>
                </w:tcPr>
                <w:p w14:paraId="4B23F202">
                  <w:pPr>
                    <w:jc w:val="center"/>
                    <w:rPr>
                      <w:color w:val="auto"/>
                      <w:sz w:val="18"/>
                      <w:szCs w:val="18"/>
                    </w:rPr>
                  </w:pPr>
                  <w:r>
                    <w:rPr>
                      <w:rFonts w:hint="eastAsia"/>
                      <w:color w:val="auto"/>
                      <w:sz w:val="18"/>
                      <w:szCs w:val="18"/>
                    </w:rPr>
                    <w:t>5</w:t>
                  </w:r>
                  <w:r>
                    <w:rPr>
                      <w:color w:val="auto"/>
                      <w:sz w:val="18"/>
                      <w:szCs w:val="18"/>
                    </w:rPr>
                    <w:t>3.2</w:t>
                  </w:r>
                </w:p>
                <w:p w14:paraId="4C2E4F1B">
                  <w:pPr>
                    <w:jc w:val="center"/>
                    <w:rPr>
                      <w:color w:val="auto"/>
                      <w:sz w:val="18"/>
                      <w:szCs w:val="18"/>
                    </w:rPr>
                  </w:pPr>
                  <w:r>
                    <w:rPr>
                      <w:color w:val="auto"/>
                      <w:sz w:val="18"/>
                      <w:szCs w:val="18"/>
                    </w:rPr>
                    <w:t>32.3</w:t>
                  </w:r>
                </w:p>
                <w:p w14:paraId="3694FD01">
                  <w:pPr>
                    <w:jc w:val="center"/>
                    <w:rPr>
                      <w:color w:val="auto"/>
                      <w:sz w:val="18"/>
                      <w:szCs w:val="18"/>
                    </w:rPr>
                  </w:pPr>
                  <w:r>
                    <w:rPr>
                      <w:color w:val="auto"/>
                      <w:sz w:val="18"/>
                      <w:szCs w:val="18"/>
                    </w:rPr>
                    <w:t>29.5</w:t>
                  </w:r>
                </w:p>
                <w:p w14:paraId="3D2F68D3">
                  <w:pPr>
                    <w:jc w:val="center"/>
                    <w:rPr>
                      <w:color w:val="auto"/>
                      <w:sz w:val="18"/>
                      <w:szCs w:val="18"/>
                    </w:rPr>
                  </w:pPr>
                  <w:r>
                    <w:rPr>
                      <w:color w:val="auto"/>
                      <w:sz w:val="18"/>
                      <w:szCs w:val="18"/>
                    </w:rPr>
                    <w:t>58.7</w:t>
                  </w:r>
                </w:p>
              </w:tc>
              <w:tc>
                <w:tcPr>
                  <w:tcW w:w="266" w:type="pct"/>
                  <w:tcBorders>
                    <w:tl2br w:val="nil"/>
                    <w:tr2bl w:val="nil"/>
                  </w:tcBorders>
                  <w:noWrap w:val="0"/>
                  <w:vAlign w:val="center"/>
                </w:tcPr>
                <w:p w14:paraId="2C5D29BC">
                  <w:pPr>
                    <w:pStyle w:val="101"/>
                    <w:rPr>
                      <w:color w:val="auto"/>
                      <w:sz w:val="18"/>
                      <w:szCs w:val="18"/>
                    </w:rPr>
                  </w:pPr>
                  <w:r>
                    <w:rPr>
                      <w:color w:val="auto"/>
                      <w:sz w:val="18"/>
                      <w:szCs w:val="18"/>
                    </w:rPr>
                    <w:t>1m</w:t>
                  </w:r>
                </w:p>
              </w:tc>
            </w:tr>
            <w:tr w14:paraId="4F24F52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571" w:hRule="atLeast"/>
              </w:trPr>
              <w:tc>
                <w:tcPr>
                  <w:tcW w:w="235" w:type="pct"/>
                  <w:vMerge w:val="continue"/>
                  <w:tcBorders>
                    <w:tl2br w:val="nil"/>
                    <w:tr2bl w:val="nil"/>
                  </w:tcBorders>
                  <w:noWrap w:val="0"/>
                  <w:vAlign w:val="center"/>
                </w:tcPr>
                <w:p w14:paraId="47D11B88">
                  <w:pPr>
                    <w:jc w:val="center"/>
                    <w:rPr>
                      <w:color w:val="auto"/>
                      <w:sz w:val="18"/>
                      <w:szCs w:val="18"/>
                    </w:rPr>
                  </w:pPr>
                </w:p>
              </w:tc>
              <w:tc>
                <w:tcPr>
                  <w:tcW w:w="235" w:type="pct"/>
                  <w:vMerge w:val="continue"/>
                  <w:tcBorders>
                    <w:tl2br w:val="nil"/>
                    <w:tr2bl w:val="nil"/>
                  </w:tcBorders>
                  <w:noWrap w:val="0"/>
                  <w:vAlign w:val="center"/>
                </w:tcPr>
                <w:p w14:paraId="0CB49714">
                  <w:pPr>
                    <w:jc w:val="center"/>
                    <w:rPr>
                      <w:color w:val="auto"/>
                      <w:sz w:val="18"/>
                      <w:szCs w:val="18"/>
                    </w:rPr>
                  </w:pPr>
                </w:p>
              </w:tc>
              <w:tc>
                <w:tcPr>
                  <w:tcW w:w="244" w:type="pct"/>
                  <w:tcBorders>
                    <w:tl2br w:val="nil"/>
                    <w:tr2bl w:val="nil"/>
                  </w:tcBorders>
                  <w:noWrap w:val="0"/>
                  <w:vAlign w:val="center"/>
                </w:tcPr>
                <w:p w14:paraId="79A7FDDC">
                  <w:pPr>
                    <w:widowControl/>
                    <w:jc w:val="center"/>
                    <w:textAlignment w:val="center"/>
                    <w:rPr>
                      <w:color w:val="auto"/>
                      <w:sz w:val="21"/>
                      <w:szCs w:val="21"/>
                    </w:rPr>
                  </w:pPr>
                  <w:r>
                    <w:rPr>
                      <w:rFonts w:hint="eastAsia"/>
                      <w:color w:val="auto"/>
                      <w:sz w:val="21"/>
                      <w:szCs w:val="21"/>
                      <w:lang w:val="en-US" w:eastAsia="zh-CN"/>
                    </w:rPr>
                    <w:t>出料</w:t>
                  </w:r>
                  <w:r>
                    <w:rPr>
                      <w:rFonts w:hint="eastAsia"/>
                      <w:color w:val="auto"/>
                      <w:sz w:val="21"/>
                      <w:szCs w:val="21"/>
                    </w:rPr>
                    <w:t>泵</w:t>
                  </w:r>
                </w:p>
              </w:tc>
              <w:tc>
                <w:tcPr>
                  <w:tcW w:w="449" w:type="pct"/>
                  <w:tcBorders>
                    <w:tl2br w:val="nil"/>
                    <w:tr2bl w:val="nil"/>
                  </w:tcBorders>
                  <w:noWrap w:val="0"/>
                  <w:vAlign w:val="center"/>
                </w:tcPr>
                <w:p w14:paraId="4AC827CA">
                  <w:pPr>
                    <w:pStyle w:val="25"/>
                    <w:adjustRightInd w:val="0"/>
                    <w:snapToGrid w:val="0"/>
                    <w:jc w:val="center"/>
                    <w:rPr>
                      <w:rFonts w:hint="eastAsia" w:eastAsia="宋体"/>
                      <w:color w:val="auto"/>
                      <w:sz w:val="21"/>
                      <w:szCs w:val="21"/>
                      <w:lang w:eastAsia="zh-CN"/>
                    </w:rPr>
                  </w:pPr>
                  <w:r>
                    <w:rPr>
                      <w:rFonts w:hint="eastAsia" w:ascii="Times New Roman" w:hAnsi="Times New Roman"/>
                      <w:bCs/>
                      <w:color w:val="auto"/>
                      <w:sz w:val="21"/>
                      <w:szCs w:val="21"/>
                      <w:lang w:val="en-US" w:eastAsia="zh-CN"/>
                    </w:rPr>
                    <w:t>2</w:t>
                  </w:r>
                </w:p>
              </w:tc>
              <w:tc>
                <w:tcPr>
                  <w:tcW w:w="419" w:type="pct"/>
                  <w:tcBorders>
                    <w:tl2br w:val="nil"/>
                    <w:tr2bl w:val="nil"/>
                  </w:tcBorders>
                  <w:noWrap w:val="0"/>
                  <w:vAlign w:val="center"/>
                </w:tcPr>
                <w:p w14:paraId="3D1ADA75">
                  <w:pPr>
                    <w:jc w:val="center"/>
                    <w:rPr>
                      <w:color w:val="auto"/>
                      <w:sz w:val="18"/>
                      <w:szCs w:val="18"/>
                    </w:rPr>
                  </w:pPr>
                  <w:r>
                    <w:rPr>
                      <w:rFonts w:hint="eastAsia"/>
                      <w:color w:val="auto"/>
                      <w:sz w:val="18"/>
                      <w:szCs w:val="18"/>
                    </w:rPr>
                    <w:t>90</w:t>
                  </w:r>
                </w:p>
              </w:tc>
              <w:tc>
                <w:tcPr>
                  <w:tcW w:w="342" w:type="pct"/>
                  <w:vMerge w:val="continue"/>
                  <w:tcBorders>
                    <w:tl2br w:val="nil"/>
                    <w:tr2bl w:val="nil"/>
                  </w:tcBorders>
                  <w:noWrap w:val="0"/>
                  <w:vAlign w:val="center"/>
                </w:tcPr>
                <w:p w14:paraId="2E5D0963">
                  <w:pPr>
                    <w:jc w:val="center"/>
                    <w:rPr>
                      <w:color w:val="auto"/>
                      <w:sz w:val="18"/>
                      <w:szCs w:val="18"/>
                    </w:rPr>
                  </w:pPr>
                </w:p>
              </w:tc>
              <w:tc>
                <w:tcPr>
                  <w:tcW w:w="271" w:type="pct"/>
                  <w:tcBorders>
                    <w:tl2br w:val="nil"/>
                    <w:tr2bl w:val="nil"/>
                  </w:tcBorders>
                  <w:noWrap w:val="0"/>
                  <w:vAlign w:val="center"/>
                </w:tcPr>
                <w:p w14:paraId="59F9026A">
                  <w:pPr>
                    <w:jc w:val="center"/>
                    <w:rPr>
                      <w:color w:val="auto"/>
                      <w:sz w:val="18"/>
                      <w:szCs w:val="18"/>
                    </w:rPr>
                  </w:pPr>
                  <w:r>
                    <w:rPr>
                      <w:color w:val="auto"/>
                      <w:sz w:val="18"/>
                      <w:szCs w:val="18"/>
                    </w:rPr>
                    <w:t>-8</w:t>
                  </w:r>
                </w:p>
              </w:tc>
              <w:tc>
                <w:tcPr>
                  <w:tcW w:w="217" w:type="pct"/>
                  <w:tcBorders>
                    <w:tl2br w:val="nil"/>
                    <w:tr2bl w:val="nil"/>
                  </w:tcBorders>
                  <w:noWrap w:val="0"/>
                  <w:vAlign w:val="center"/>
                </w:tcPr>
                <w:p w14:paraId="547E50C6">
                  <w:pPr>
                    <w:jc w:val="center"/>
                    <w:rPr>
                      <w:color w:val="auto"/>
                      <w:sz w:val="18"/>
                      <w:szCs w:val="18"/>
                    </w:rPr>
                  </w:pPr>
                  <w:r>
                    <w:rPr>
                      <w:color w:val="auto"/>
                      <w:sz w:val="18"/>
                      <w:szCs w:val="18"/>
                    </w:rPr>
                    <w:t>-1</w:t>
                  </w:r>
                </w:p>
              </w:tc>
              <w:tc>
                <w:tcPr>
                  <w:tcW w:w="423" w:type="pct"/>
                  <w:tcBorders>
                    <w:tl2br w:val="nil"/>
                    <w:tr2bl w:val="nil"/>
                  </w:tcBorders>
                  <w:noWrap w:val="0"/>
                  <w:vAlign w:val="center"/>
                </w:tcPr>
                <w:p w14:paraId="66466A19">
                  <w:pPr>
                    <w:jc w:val="center"/>
                    <w:rPr>
                      <w:color w:val="auto"/>
                      <w:sz w:val="18"/>
                      <w:szCs w:val="18"/>
                    </w:rPr>
                  </w:pPr>
                  <w:r>
                    <w:rPr>
                      <w:rFonts w:hint="eastAsia"/>
                      <w:color w:val="auto"/>
                      <w:sz w:val="18"/>
                      <w:szCs w:val="18"/>
                    </w:rPr>
                    <w:t>188.69</w:t>
                  </w:r>
                </w:p>
              </w:tc>
              <w:tc>
                <w:tcPr>
                  <w:tcW w:w="236" w:type="pct"/>
                  <w:tcBorders>
                    <w:tl2br w:val="nil"/>
                    <w:tr2bl w:val="nil"/>
                  </w:tcBorders>
                  <w:noWrap w:val="0"/>
                  <w:vAlign w:val="center"/>
                </w:tcPr>
                <w:p w14:paraId="2CEDAE3B">
                  <w:pPr>
                    <w:jc w:val="center"/>
                    <w:rPr>
                      <w:color w:val="auto"/>
                      <w:sz w:val="18"/>
                      <w:szCs w:val="18"/>
                    </w:rPr>
                  </w:pPr>
                  <w:r>
                    <w:rPr>
                      <w:color w:val="auto"/>
                      <w:sz w:val="18"/>
                      <w:szCs w:val="18"/>
                    </w:rPr>
                    <w:t>8</w:t>
                  </w:r>
                </w:p>
                <w:p w14:paraId="5E5C230A">
                  <w:pPr>
                    <w:jc w:val="center"/>
                    <w:rPr>
                      <w:color w:val="auto"/>
                      <w:sz w:val="18"/>
                      <w:szCs w:val="18"/>
                    </w:rPr>
                  </w:pPr>
                  <w:r>
                    <w:rPr>
                      <w:color w:val="auto"/>
                      <w:sz w:val="18"/>
                      <w:szCs w:val="18"/>
                    </w:rPr>
                    <w:t>21</w:t>
                  </w:r>
                </w:p>
                <w:p w14:paraId="6D62D097">
                  <w:pPr>
                    <w:jc w:val="center"/>
                    <w:rPr>
                      <w:color w:val="auto"/>
                      <w:sz w:val="18"/>
                      <w:szCs w:val="18"/>
                    </w:rPr>
                  </w:pPr>
                  <w:r>
                    <w:rPr>
                      <w:color w:val="auto"/>
                      <w:sz w:val="18"/>
                      <w:szCs w:val="18"/>
                    </w:rPr>
                    <w:t>27</w:t>
                  </w:r>
                </w:p>
                <w:p w14:paraId="487412E1">
                  <w:pPr>
                    <w:jc w:val="center"/>
                    <w:rPr>
                      <w:color w:val="auto"/>
                      <w:sz w:val="18"/>
                      <w:szCs w:val="18"/>
                    </w:rPr>
                  </w:pPr>
                  <w:r>
                    <w:rPr>
                      <w:color w:val="auto"/>
                      <w:sz w:val="18"/>
                      <w:szCs w:val="18"/>
                    </w:rPr>
                    <w:t>1</w:t>
                  </w:r>
                </w:p>
              </w:tc>
              <w:tc>
                <w:tcPr>
                  <w:tcW w:w="420" w:type="pct"/>
                  <w:tcBorders>
                    <w:tl2br w:val="nil"/>
                    <w:tr2bl w:val="nil"/>
                  </w:tcBorders>
                  <w:noWrap w:val="0"/>
                  <w:vAlign w:val="center"/>
                </w:tcPr>
                <w:p w14:paraId="1FAB1938">
                  <w:pPr>
                    <w:jc w:val="center"/>
                    <w:rPr>
                      <w:color w:val="auto"/>
                      <w:sz w:val="18"/>
                      <w:szCs w:val="18"/>
                    </w:rPr>
                  </w:pPr>
                  <w:r>
                    <w:rPr>
                      <w:rFonts w:hint="eastAsia"/>
                      <w:color w:val="auto"/>
                      <w:sz w:val="18"/>
                      <w:szCs w:val="18"/>
                    </w:rPr>
                    <w:t>71</w:t>
                  </w:r>
                  <w:r>
                    <w:rPr>
                      <w:color w:val="auto"/>
                      <w:sz w:val="18"/>
                      <w:szCs w:val="18"/>
                    </w:rPr>
                    <w:t>.7</w:t>
                  </w:r>
                </w:p>
                <w:p w14:paraId="56F18013">
                  <w:pPr>
                    <w:jc w:val="center"/>
                    <w:rPr>
                      <w:color w:val="auto"/>
                      <w:sz w:val="18"/>
                      <w:szCs w:val="18"/>
                    </w:rPr>
                  </w:pPr>
                  <w:r>
                    <w:rPr>
                      <w:color w:val="auto"/>
                      <w:sz w:val="18"/>
                      <w:szCs w:val="18"/>
                    </w:rPr>
                    <w:t>57.3</w:t>
                  </w:r>
                </w:p>
                <w:p w14:paraId="0631FA31">
                  <w:pPr>
                    <w:jc w:val="center"/>
                    <w:rPr>
                      <w:color w:val="auto"/>
                      <w:sz w:val="18"/>
                      <w:szCs w:val="18"/>
                    </w:rPr>
                  </w:pPr>
                  <w:r>
                    <w:rPr>
                      <w:color w:val="auto"/>
                      <w:sz w:val="18"/>
                      <w:szCs w:val="18"/>
                    </w:rPr>
                    <w:t>55.1</w:t>
                  </w:r>
                </w:p>
                <w:p w14:paraId="225A2F11">
                  <w:pPr>
                    <w:jc w:val="center"/>
                    <w:rPr>
                      <w:color w:val="auto"/>
                      <w:sz w:val="18"/>
                      <w:szCs w:val="18"/>
                    </w:rPr>
                  </w:pPr>
                  <w:r>
                    <w:rPr>
                      <w:color w:val="auto"/>
                      <w:sz w:val="18"/>
                      <w:szCs w:val="18"/>
                    </w:rPr>
                    <w:t>83.7</w:t>
                  </w:r>
                </w:p>
              </w:tc>
              <w:tc>
                <w:tcPr>
                  <w:tcW w:w="396" w:type="pct"/>
                  <w:vMerge w:val="continue"/>
                  <w:tcBorders>
                    <w:tl2br w:val="nil"/>
                    <w:tr2bl w:val="nil"/>
                  </w:tcBorders>
                  <w:noWrap w:val="0"/>
                  <w:vAlign w:val="center"/>
                </w:tcPr>
                <w:p w14:paraId="02C064BF">
                  <w:pPr>
                    <w:jc w:val="center"/>
                    <w:rPr>
                      <w:color w:val="auto"/>
                      <w:sz w:val="18"/>
                      <w:szCs w:val="18"/>
                    </w:rPr>
                  </w:pPr>
                </w:p>
              </w:tc>
              <w:tc>
                <w:tcPr>
                  <w:tcW w:w="420" w:type="pct"/>
                  <w:tcBorders>
                    <w:tl2br w:val="nil"/>
                    <w:tr2bl w:val="nil"/>
                  </w:tcBorders>
                  <w:noWrap w:val="0"/>
                  <w:vAlign w:val="center"/>
                </w:tcPr>
                <w:p w14:paraId="691C2DAD">
                  <w:pPr>
                    <w:jc w:val="center"/>
                    <w:rPr>
                      <w:color w:val="auto"/>
                      <w:sz w:val="18"/>
                      <w:szCs w:val="18"/>
                    </w:rPr>
                  </w:pPr>
                  <w:r>
                    <w:rPr>
                      <w:color w:val="auto"/>
                      <w:sz w:val="18"/>
                      <w:szCs w:val="18"/>
                    </w:rPr>
                    <w:t>20</w:t>
                  </w:r>
                </w:p>
              </w:tc>
              <w:tc>
                <w:tcPr>
                  <w:tcW w:w="420" w:type="pct"/>
                  <w:tcBorders>
                    <w:tl2br w:val="nil"/>
                    <w:tr2bl w:val="nil"/>
                  </w:tcBorders>
                  <w:noWrap w:val="0"/>
                  <w:vAlign w:val="center"/>
                </w:tcPr>
                <w:p w14:paraId="2FC93EBD">
                  <w:pPr>
                    <w:jc w:val="center"/>
                    <w:rPr>
                      <w:color w:val="auto"/>
                      <w:sz w:val="18"/>
                      <w:szCs w:val="18"/>
                    </w:rPr>
                  </w:pPr>
                  <w:r>
                    <w:rPr>
                      <w:rFonts w:hint="eastAsia"/>
                      <w:color w:val="auto"/>
                      <w:sz w:val="18"/>
                      <w:szCs w:val="18"/>
                    </w:rPr>
                    <w:t>5</w:t>
                  </w:r>
                  <w:r>
                    <w:rPr>
                      <w:color w:val="auto"/>
                      <w:sz w:val="18"/>
                      <w:szCs w:val="18"/>
                    </w:rPr>
                    <w:t>5.7</w:t>
                  </w:r>
                </w:p>
                <w:p w14:paraId="1EC7E28D">
                  <w:pPr>
                    <w:jc w:val="center"/>
                    <w:rPr>
                      <w:color w:val="auto"/>
                      <w:sz w:val="18"/>
                      <w:szCs w:val="18"/>
                    </w:rPr>
                  </w:pPr>
                  <w:r>
                    <w:rPr>
                      <w:color w:val="auto"/>
                      <w:sz w:val="18"/>
                      <w:szCs w:val="18"/>
                    </w:rPr>
                    <w:t>37.3</w:t>
                  </w:r>
                </w:p>
                <w:p w14:paraId="408990DA">
                  <w:pPr>
                    <w:jc w:val="center"/>
                    <w:rPr>
                      <w:color w:val="auto"/>
                      <w:sz w:val="18"/>
                      <w:szCs w:val="18"/>
                    </w:rPr>
                  </w:pPr>
                  <w:r>
                    <w:rPr>
                      <w:color w:val="auto"/>
                      <w:sz w:val="18"/>
                      <w:szCs w:val="18"/>
                    </w:rPr>
                    <w:t>35.1</w:t>
                  </w:r>
                </w:p>
                <w:p w14:paraId="5B8F10C9">
                  <w:pPr>
                    <w:jc w:val="center"/>
                    <w:rPr>
                      <w:color w:val="auto"/>
                      <w:sz w:val="18"/>
                      <w:szCs w:val="18"/>
                    </w:rPr>
                  </w:pPr>
                  <w:r>
                    <w:rPr>
                      <w:color w:val="auto"/>
                      <w:sz w:val="18"/>
                      <w:szCs w:val="18"/>
                    </w:rPr>
                    <w:t>63.7</w:t>
                  </w:r>
                </w:p>
              </w:tc>
              <w:tc>
                <w:tcPr>
                  <w:tcW w:w="266" w:type="pct"/>
                  <w:tcBorders>
                    <w:tl2br w:val="nil"/>
                    <w:tr2bl w:val="nil"/>
                  </w:tcBorders>
                  <w:noWrap w:val="0"/>
                  <w:vAlign w:val="center"/>
                </w:tcPr>
                <w:p w14:paraId="0CE8596E">
                  <w:pPr>
                    <w:pStyle w:val="101"/>
                    <w:rPr>
                      <w:color w:val="auto"/>
                      <w:sz w:val="18"/>
                      <w:szCs w:val="18"/>
                    </w:rPr>
                  </w:pPr>
                  <w:r>
                    <w:rPr>
                      <w:color w:val="auto"/>
                      <w:sz w:val="18"/>
                      <w:szCs w:val="18"/>
                    </w:rPr>
                    <w:t>1m</w:t>
                  </w:r>
                </w:p>
              </w:tc>
            </w:tr>
            <w:tr w14:paraId="782F7C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88" w:hRule="atLeast"/>
              </w:trPr>
              <w:tc>
                <w:tcPr>
                  <w:tcW w:w="235" w:type="pct"/>
                  <w:vMerge w:val="continue"/>
                  <w:tcBorders>
                    <w:tl2br w:val="nil"/>
                    <w:tr2bl w:val="nil"/>
                  </w:tcBorders>
                  <w:noWrap w:val="0"/>
                  <w:vAlign w:val="center"/>
                </w:tcPr>
                <w:p w14:paraId="54B9149D">
                  <w:pPr>
                    <w:jc w:val="center"/>
                    <w:rPr>
                      <w:color w:val="auto"/>
                      <w:sz w:val="18"/>
                      <w:szCs w:val="18"/>
                    </w:rPr>
                  </w:pPr>
                </w:p>
              </w:tc>
              <w:tc>
                <w:tcPr>
                  <w:tcW w:w="235" w:type="pct"/>
                  <w:vMerge w:val="continue"/>
                  <w:tcBorders>
                    <w:tl2br w:val="nil"/>
                    <w:tr2bl w:val="nil"/>
                  </w:tcBorders>
                  <w:noWrap w:val="0"/>
                  <w:vAlign w:val="center"/>
                </w:tcPr>
                <w:p w14:paraId="3321A09A">
                  <w:pPr>
                    <w:jc w:val="center"/>
                    <w:rPr>
                      <w:color w:val="auto"/>
                      <w:sz w:val="18"/>
                      <w:szCs w:val="18"/>
                    </w:rPr>
                  </w:pPr>
                </w:p>
              </w:tc>
              <w:tc>
                <w:tcPr>
                  <w:tcW w:w="244" w:type="pct"/>
                  <w:tcBorders>
                    <w:tl2br w:val="nil"/>
                    <w:tr2bl w:val="nil"/>
                  </w:tcBorders>
                  <w:noWrap w:val="0"/>
                  <w:vAlign w:val="center"/>
                </w:tcPr>
                <w:p w14:paraId="2694FD9A">
                  <w:pPr>
                    <w:jc w:val="center"/>
                    <w:rPr>
                      <w:color w:val="auto"/>
                      <w:sz w:val="18"/>
                      <w:szCs w:val="18"/>
                    </w:rPr>
                  </w:pPr>
                  <w:r>
                    <w:rPr>
                      <w:color w:val="auto"/>
                      <w:sz w:val="18"/>
                      <w:szCs w:val="18"/>
                    </w:rPr>
                    <w:t>风机</w:t>
                  </w:r>
                </w:p>
              </w:tc>
              <w:tc>
                <w:tcPr>
                  <w:tcW w:w="449" w:type="pct"/>
                  <w:tcBorders>
                    <w:tl2br w:val="nil"/>
                    <w:tr2bl w:val="nil"/>
                  </w:tcBorders>
                  <w:noWrap w:val="0"/>
                  <w:vAlign w:val="center"/>
                </w:tcPr>
                <w:p w14:paraId="1DAA8C4E">
                  <w:pPr>
                    <w:jc w:val="center"/>
                    <w:rPr>
                      <w:rFonts w:hint="eastAsia" w:eastAsia="宋体"/>
                      <w:color w:val="auto"/>
                      <w:sz w:val="18"/>
                      <w:szCs w:val="18"/>
                      <w:lang w:eastAsia="zh-CN"/>
                    </w:rPr>
                  </w:pPr>
                  <w:r>
                    <w:rPr>
                      <w:rFonts w:hint="eastAsia"/>
                      <w:color w:val="auto"/>
                      <w:sz w:val="18"/>
                      <w:szCs w:val="18"/>
                      <w:lang w:val="en-US" w:eastAsia="zh-CN"/>
                    </w:rPr>
                    <w:t>1</w:t>
                  </w:r>
                </w:p>
              </w:tc>
              <w:tc>
                <w:tcPr>
                  <w:tcW w:w="419" w:type="pct"/>
                  <w:tcBorders>
                    <w:tl2br w:val="nil"/>
                    <w:tr2bl w:val="nil"/>
                  </w:tcBorders>
                  <w:noWrap w:val="0"/>
                  <w:vAlign w:val="center"/>
                </w:tcPr>
                <w:p w14:paraId="387036B6">
                  <w:pPr>
                    <w:jc w:val="center"/>
                    <w:rPr>
                      <w:color w:val="auto"/>
                      <w:sz w:val="18"/>
                      <w:szCs w:val="18"/>
                    </w:rPr>
                  </w:pPr>
                  <w:r>
                    <w:rPr>
                      <w:color w:val="auto"/>
                      <w:sz w:val="18"/>
                      <w:szCs w:val="18"/>
                    </w:rPr>
                    <w:t>90</w:t>
                  </w:r>
                </w:p>
              </w:tc>
              <w:tc>
                <w:tcPr>
                  <w:tcW w:w="342" w:type="pct"/>
                  <w:vMerge w:val="continue"/>
                  <w:tcBorders>
                    <w:tl2br w:val="nil"/>
                    <w:tr2bl w:val="nil"/>
                  </w:tcBorders>
                  <w:noWrap w:val="0"/>
                  <w:vAlign w:val="center"/>
                </w:tcPr>
                <w:p w14:paraId="2DE922E5">
                  <w:pPr>
                    <w:jc w:val="center"/>
                    <w:rPr>
                      <w:color w:val="auto"/>
                      <w:sz w:val="18"/>
                      <w:szCs w:val="18"/>
                    </w:rPr>
                  </w:pPr>
                </w:p>
              </w:tc>
              <w:tc>
                <w:tcPr>
                  <w:tcW w:w="271" w:type="pct"/>
                  <w:tcBorders>
                    <w:tl2br w:val="nil"/>
                    <w:tr2bl w:val="nil"/>
                  </w:tcBorders>
                  <w:noWrap w:val="0"/>
                  <w:vAlign w:val="center"/>
                </w:tcPr>
                <w:p w14:paraId="0C150135">
                  <w:pPr>
                    <w:jc w:val="center"/>
                    <w:rPr>
                      <w:color w:val="auto"/>
                      <w:sz w:val="18"/>
                      <w:szCs w:val="18"/>
                    </w:rPr>
                  </w:pPr>
                  <w:r>
                    <w:rPr>
                      <w:color w:val="auto"/>
                      <w:sz w:val="18"/>
                      <w:szCs w:val="18"/>
                    </w:rPr>
                    <w:t>-10</w:t>
                  </w:r>
                </w:p>
              </w:tc>
              <w:tc>
                <w:tcPr>
                  <w:tcW w:w="217" w:type="pct"/>
                  <w:tcBorders>
                    <w:tl2br w:val="nil"/>
                    <w:tr2bl w:val="nil"/>
                  </w:tcBorders>
                  <w:noWrap w:val="0"/>
                  <w:vAlign w:val="center"/>
                </w:tcPr>
                <w:p w14:paraId="4D69253D">
                  <w:pPr>
                    <w:jc w:val="center"/>
                    <w:rPr>
                      <w:color w:val="auto"/>
                      <w:sz w:val="18"/>
                      <w:szCs w:val="18"/>
                    </w:rPr>
                  </w:pPr>
                  <w:r>
                    <w:rPr>
                      <w:color w:val="auto"/>
                      <w:sz w:val="18"/>
                      <w:szCs w:val="18"/>
                    </w:rPr>
                    <w:t>0</w:t>
                  </w:r>
                </w:p>
              </w:tc>
              <w:tc>
                <w:tcPr>
                  <w:tcW w:w="423" w:type="pct"/>
                  <w:tcBorders>
                    <w:tl2br w:val="nil"/>
                    <w:tr2bl w:val="nil"/>
                  </w:tcBorders>
                  <w:noWrap w:val="0"/>
                  <w:vAlign w:val="center"/>
                </w:tcPr>
                <w:p w14:paraId="10A18EBE">
                  <w:pPr>
                    <w:jc w:val="center"/>
                    <w:rPr>
                      <w:color w:val="auto"/>
                      <w:sz w:val="18"/>
                      <w:szCs w:val="18"/>
                    </w:rPr>
                  </w:pPr>
                  <w:r>
                    <w:rPr>
                      <w:rFonts w:hint="eastAsia"/>
                      <w:color w:val="auto"/>
                      <w:sz w:val="18"/>
                      <w:szCs w:val="18"/>
                    </w:rPr>
                    <w:t>188.69</w:t>
                  </w:r>
                </w:p>
              </w:tc>
              <w:tc>
                <w:tcPr>
                  <w:tcW w:w="236" w:type="pct"/>
                  <w:tcBorders>
                    <w:tl2br w:val="nil"/>
                    <w:tr2bl w:val="nil"/>
                  </w:tcBorders>
                  <w:noWrap w:val="0"/>
                  <w:vAlign w:val="center"/>
                </w:tcPr>
                <w:p w14:paraId="65FF414A">
                  <w:pPr>
                    <w:jc w:val="center"/>
                    <w:rPr>
                      <w:color w:val="auto"/>
                      <w:sz w:val="18"/>
                      <w:szCs w:val="18"/>
                    </w:rPr>
                  </w:pPr>
                  <w:r>
                    <w:rPr>
                      <w:color w:val="auto"/>
                      <w:sz w:val="18"/>
                      <w:szCs w:val="18"/>
                    </w:rPr>
                    <w:t>6</w:t>
                  </w:r>
                </w:p>
                <w:p w14:paraId="74D9E048">
                  <w:pPr>
                    <w:jc w:val="center"/>
                    <w:rPr>
                      <w:rFonts w:hint="eastAsia"/>
                      <w:color w:val="auto"/>
                      <w:sz w:val="18"/>
                      <w:szCs w:val="18"/>
                    </w:rPr>
                  </w:pPr>
                  <w:r>
                    <w:rPr>
                      <w:rFonts w:hint="eastAsia"/>
                      <w:color w:val="auto"/>
                      <w:sz w:val="18"/>
                      <w:szCs w:val="18"/>
                    </w:rPr>
                    <w:t>22</w:t>
                  </w:r>
                </w:p>
                <w:p w14:paraId="69011B98">
                  <w:pPr>
                    <w:jc w:val="center"/>
                    <w:rPr>
                      <w:color w:val="auto"/>
                      <w:sz w:val="18"/>
                      <w:szCs w:val="18"/>
                    </w:rPr>
                  </w:pPr>
                  <w:r>
                    <w:rPr>
                      <w:rFonts w:hint="eastAsia"/>
                      <w:color w:val="auto"/>
                      <w:sz w:val="18"/>
                      <w:szCs w:val="18"/>
                    </w:rPr>
                    <w:t>30</w:t>
                  </w:r>
                </w:p>
                <w:p w14:paraId="0F88FD66">
                  <w:pPr>
                    <w:jc w:val="center"/>
                    <w:rPr>
                      <w:rFonts w:hint="eastAsia"/>
                      <w:color w:val="auto"/>
                      <w:sz w:val="18"/>
                      <w:szCs w:val="18"/>
                    </w:rPr>
                  </w:pPr>
                  <w:r>
                    <w:rPr>
                      <w:rFonts w:hint="eastAsia"/>
                      <w:color w:val="auto"/>
                      <w:sz w:val="18"/>
                      <w:szCs w:val="18"/>
                    </w:rPr>
                    <w:t>2</w:t>
                  </w:r>
                </w:p>
              </w:tc>
              <w:tc>
                <w:tcPr>
                  <w:tcW w:w="420" w:type="pct"/>
                  <w:tcBorders>
                    <w:tl2br w:val="nil"/>
                    <w:tr2bl w:val="nil"/>
                  </w:tcBorders>
                  <w:noWrap w:val="0"/>
                  <w:vAlign w:val="center"/>
                </w:tcPr>
                <w:p w14:paraId="3DC59CAF">
                  <w:pPr>
                    <w:jc w:val="center"/>
                    <w:rPr>
                      <w:color w:val="auto"/>
                      <w:sz w:val="18"/>
                      <w:szCs w:val="18"/>
                    </w:rPr>
                  </w:pPr>
                  <w:r>
                    <w:rPr>
                      <w:color w:val="auto"/>
                      <w:sz w:val="18"/>
                      <w:szCs w:val="18"/>
                    </w:rPr>
                    <w:t>63.2</w:t>
                  </w:r>
                </w:p>
                <w:p w14:paraId="3D1D47FD">
                  <w:pPr>
                    <w:jc w:val="center"/>
                    <w:rPr>
                      <w:color w:val="auto"/>
                      <w:sz w:val="18"/>
                      <w:szCs w:val="18"/>
                    </w:rPr>
                  </w:pPr>
                  <w:r>
                    <w:rPr>
                      <w:color w:val="auto"/>
                      <w:sz w:val="18"/>
                      <w:szCs w:val="18"/>
                    </w:rPr>
                    <w:t>52.3</w:t>
                  </w:r>
                </w:p>
                <w:p w14:paraId="19E0D4A8">
                  <w:pPr>
                    <w:jc w:val="center"/>
                    <w:rPr>
                      <w:color w:val="auto"/>
                      <w:sz w:val="18"/>
                      <w:szCs w:val="18"/>
                    </w:rPr>
                  </w:pPr>
                  <w:r>
                    <w:rPr>
                      <w:color w:val="auto"/>
                      <w:sz w:val="18"/>
                      <w:szCs w:val="18"/>
                    </w:rPr>
                    <w:t>49.5</w:t>
                  </w:r>
                </w:p>
                <w:p w14:paraId="7148A377">
                  <w:pPr>
                    <w:jc w:val="center"/>
                    <w:rPr>
                      <w:color w:val="auto"/>
                      <w:sz w:val="18"/>
                      <w:szCs w:val="18"/>
                    </w:rPr>
                  </w:pPr>
                  <w:r>
                    <w:rPr>
                      <w:color w:val="auto"/>
                      <w:sz w:val="18"/>
                      <w:szCs w:val="18"/>
                    </w:rPr>
                    <w:t>78.7</w:t>
                  </w:r>
                </w:p>
              </w:tc>
              <w:tc>
                <w:tcPr>
                  <w:tcW w:w="396" w:type="pct"/>
                  <w:vMerge w:val="continue"/>
                  <w:tcBorders>
                    <w:tl2br w:val="nil"/>
                    <w:tr2bl w:val="nil"/>
                  </w:tcBorders>
                  <w:noWrap w:val="0"/>
                  <w:vAlign w:val="center"/>
                </w:tcPr>
                <w:p w14:paraId="5FF070D9">
                  <w:pPr>
                    <w:jc w:val="center"/>
                    <w:rPr>
                      <w:color w:val="auto"/>
                      <w:sz w:val="18"/>
                      <w:szCs w:val="18"/>
                    </w:rPr>
                  </w:pPr>
                </w:p>
              </w:tc>
              <w:tc>
                <w:tcPr>
                  <w:tcW w:w="420" w:type="pct"/>
                  <w:tcBorders>
                    <w:tl2br w:val="nil"/>
                    <w:tr2bl w:val="nil"/>
                  </w:tcBorders>
                  <w:noWrap w:val="0"/>
                  <w:vAlign w:val="center"/>
                </w:tcPr>
                <w:p w14:paraId="5CDE0A04">
                  <w:pPr>
                    <w:jc w:val="center"/>
                    <w:rPr>
                      <w:color w:val="auto"/>
                      <w:sz w:val="18"/>
                      <w:szCs w:val="18"/>
                    </w:rPr>
                  </w:pPr>
                  <w:r>
                    <w:rPr>
                      <w:color w:val="auto"/>
                      <w:sz w:val="18"/>
                      <w:szCs w:val="18"/>
                    </w:rPr>
                    <w:t>20</w:t>
                  </w:r>
                </w:p>
              </w:tc>
              <w:tc>
                <w:tcPr>
                  <w:tcW w:w="420" w:type="pct"/>
                  <w:tcBorders>
                    <w:tl2br w:val="nil"/>
                    <w:tr2bl w:val="nil"/>
                  </w:tcBorders>
                  <w:noWrap w:val="0"/>
                  <w:vAlign w:val="center"/>
                </w:tcPr>
                <w:p w14:paraId="2343CB87">
                  <w:pPr>
                    <w:jc w:val="center"/>
                    <w:rPr>
                      <w:color w:val="auto"/>
                      <w:sz w:val="18"/>
                      <w:szCs w:val="18"/>
                    </w:rPr>
                  </w:pPr>
                  <w:r>
                    <w:rPr>
                      <w:rFonts w:hint="eastAsia"/>
                      <w:color w:val="auto"/>
                      <w:sz w:val="18"/>
                      <w:szCs w:val="18"/>
                    </w:rPr>
                    <w:t>4</w:t>
                  </w:r>
                  <w:r>
                    <w:rPr>
                      <w:color w:val="auto"/>
                      <w:sz w:val="18"/>
                      <w:szCs w:val="18"/>
                    </w:rPr>
                    <w:t>3.2</w:t>
                  </w:r>
                </w:p>
                <w:p w14:paraId="6E5AD266">
                  <w:pPr>
                    <w:jc w:val="center"/>
                    <w:rPr>
                      <w:color w:val="auto"/>
                      <w:sz w:val="18"/>
                      <w:szCs w:val="18"/>
                    </w:rPr>
                  </w:pPr>
                  <w:r>
                    <w:rPr>
                      <w:rFonts w:hint="eastAsia"/>
                      <w:color w:val="auto"/>
                      <w:sz w:val="18"/>
                      <w:szCs w:val="18"/>
                    </w:rPr>
                    <w:t>3</w:t>
                  </w:r>
                  <w:r>
                    <w:rPr>
                      <w:color w:val="auto"/>
                      <w:sz w:val="18"/>
                      <w:szCs w:val="18"/>
                    </w:rPr>
                    <w:t>2.3</w:t>
                  </w:r>
                </w:p>
                <w:p w14:paraId="036F70D8">
                  <w:pPr>
                    <w:jc w:val="center"/>
                    <w:rPr>
                      <w:color w:val="auto"/>
                      <w:sz w:val="18"/>
                      <w:szCs w:val="18"/>
                    </w:rPr>
                  </w:pPr>
                  <w:r>
                    <w:rPr>
                      <w:rFonts w:hint="eastAsia"/>
                      <w:color w:val="auto"/>
                      <w:sz w:val="18"/>
                      <w:szCs w:val="18"/>
                    </w:rPr>
                    <w:t>2</w:t>
                  </w:r>
                  <w:r>
                    <w:rPr>
                      <w:color w:val="auto"/>
                      <w:sz w:val="18"/>
                      <w:szCs w:val="18"/>
                    </w:rPr>
                    <w:t>9.5</w:t>
                  </w:r>
                </w:p>
                <w:p w14:paraId="583EC173">
                  <w:pPr>
                    <w:jc w:val="center"/>
                    <w:rPr>
                      <w:color w:val="auto"/>
                      <w:sz w:val="18"/>
                      <w:szCs w:val="18"/>
                    </w:rPr>
                  </w:pPr>
                  <w:r>
                    <w:rPr>
                      <w:rFonts w:hint="eastAsia"/>
                      <w:color w:val="auto"/>
                      <w:sz w:val="18"/>
                      <w:szCs w:val="18"/>
                    </w:rPr>
                    <w:t>5</w:t>
                  </w:r>
                  <w:r>
                    <w:rPr>
                      <w:color w:val="auto"/>
                      <w:sz w:val="18"/>
                      <w:szCs w:val="18"/>
                    </w:rPr>
                    <w:t>8.7</w:t>
                  </w:r>
                </w:p>
              </w:tc>
              <w:tc>
                <w:tcPr>
                  <w:tcW w:w="266" w:type="pct"/>
                  <w:tcBorders>
                    <w:tl2br w:val="nil"/>
                    <w:tr2bl w:val="nil"/>
                  </w:tcBorders>
                  <w:noWrap w:val="0"/>
                  <w:vAlign w:val="center"/>
                </w:tcPr>
                <w:p w14:paraId="15185D53">
                  <w:pPr>
                    <w:pStyle w:val="101"/>
                    <w:rPr>
                      <w:color w:val="auto"/>
                      <w:sz w:val="18"/>
                      <w:szCs w:val="18"/>
                    </w:rPr>
                  </w:pPr>
                  <w:r>
                    <w:rPr>
                      <w:color w:val="auto"/>
                      <w:sz w:val="18"/>
                      <w:szCs w:val="18"/>
                    </w:rPr>
                    <w:t>1m</w:t>
                  </w:r>
                </w:p>
              </w:tc>
            </w:tr>
          </w:tbl>
          <w:p w14:paraId="5402C891">
            <w:pPr>
              <w:pStyle w:val="114"/>
              <w:rPr>
                <w:color w:val="auto"/>
              </w:rPr>
            </w:pPr>
            <w:r>
              <w:rPr>
                <w:color w:val="auto"/>
              </w:rPr>
              <w:t>表4-9  噪声监测要求一览表</w:t>
            </w:r>
          </w:p>
          <w:tbl>
            <w:tblPr>
              <w:tblStyle w:val="43"/>
              <w:tblW w:w="5000" w:type="pct"/>
              <w:jc w:val="center"/>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Layout w:type="autofit"/>
              <w:tblCellMar>
                <w:top w:w="0" w:type="dxa"/>
                <w:left w:w="108" w:type="dxa"/>
                <w:bottom w:w="0" w:type="dxa"/>
                <w:right w:w="108" w:type="dxa"/>
              </w:tblCellMar>
            </w:tblPr>
            <w:tblGrid>
              <w:gridCol w:w="1337"/>
              <w:gridCol w:w="1315"/>
              <w:gridCol w:w="1315"/>
              <w:gridCol w:w="4452"/>
            </w:tblGrid>
            <w:tr w14:paraId="11398BF0">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94" w:type="pct"/>
                  <w:vAlign w:val="center"/>
                </w:tcPr>
                <w:p w14:paraId="4885A33A">
                  <w:pPr>
                    <w:jc w:val="center"/>
                    <w:rPr>
                      <w:color w:val="auto"/>
                      <w:szCs w:val="21"/>
                    </w:rPr>
                  </w:pPr>
                  <w:r>
                    <w:rPr>
                      <w:color w:val="auto"/>
                      <w:szCs w:val="21"/>
                    </w:rPr>
                    <w:t>监测因子</w:t>
                  </w:r>
                </w:p>
              </w:tc>
              <w:tc>
                <w:tcPr>
                  <w:tcW w:w="781" w:type="pct"/>
                  <w:vAlign w:val="center"/>
                </w:tcPr>
                <w:p w14:paraId="27CAA667">
                  <w:pPr>
                    <w:jc w:val="center"/>
                    <w:rPr>
                      <w:color w:val="auto"/>
                      <w:szCs w:val="21"/>
                    </w:rPr>
                  </w:pPr>
                  <w:r>
                    <w:rPr>
                      <w:color w:val="auto"/>
                      <w:szCs w:val="21"/>
                    </w:rPr>
                    <w:t>监测点位</w:t>
                  </w:r>
                </w:p>
              </w:tc>
              <w:tc>
                <w:tcPr>
                  <w:tcW w:w="781" w:type="pct"/>
                  <w:tcBorders>
                    <w:right w:val="single" w:color="auto" w:sz="4" w:space="0"/>
                  </w:tcBorders>
                  <w:vAlign w:val="center"/>
                </w:tcPr>
                <w:p w14:paraId="2641C915">
                  <w:pPr>
                    <w:jc w:val="center"/>
                    <w:rPr>
                      <w:color w:val="auto"/>
                      <w:szCs w:val="21"/>
                    </w:rPr>
                  </w:pPr>
                  <w:r>
                    <w:rPr>
                      <w:color w:val="auto"/>
                      <w:szCs w:val="21"/>
                    </w:rPr>
                    <w:t>监测频次</w:t>
                  </w:r>
                </w:p>
              </w:tc>
              <w:tc>
                <w:tcPr>
                  <w:tcW w:w="2644" w:type="pct"/>
                  <w:vAlign w:val="center"/>
                </w:tcPr>
                <w:p w14:paraId="3C6FAA33">
                  <w:pPr>
                    <w:jc w:val="center"/>
                    <w:rPr>
                      <w:color w:val="auto"/>
                      <w:szCs w:val="21"/>
                    </w:rPr>
                  </w:pPr>
                  <w:r>
                    <w:rPr>
                      <w:color w:val="auto"/>
                      <w:szCs w:val="21"/>
                    </w:rPr>
                    <w:t>执行标准</w:t>
                  </w:r>
                </w:p>
              </w:tc>
            </w:tr>
            <w:tr w14:paraId="70F9A58B">
              <w:tblPrEx>
                <w:tblBorders>
                  <w:top w:val="single" w:color="auto" w:sz="12" w:space="0"/>
                  <w:left w:val="none" w:color="auto" w:sz="0" w:space="0"/>
                  <w:bottom w:val="single" w:color="auto" w:sz="12" w:space="0"/>
                  <w:right w:val="none" w:color="auto" w:sz="0" w:space="0"/>
                  <w:insideH w:val="single" w:color="000000" w:sz="4" w:space="0"/>
                  <w:insideV w:val="single" w:color="000000" w:sz="4" w:space="0"/>
                </w:tblBorders>
                <w:tblCellMar>
                  <w:top w:w="0" w:type="dxa"/>
                  <w:left w:w="108" w:type="dxa"/>
                  <w:bottom w:w="0" w:type="dxa"/>
                  <w:right w:w="108" w:type="dxa"/>
                </w:tblCellMar>
              </w:tblPrEx>
              <w:trPr>
                <w:trHeight w:val="397" w:hRule="atLeast"/>
                <w:jc w:val="center"/>
              </w:trPr>
              <w:tc>
                <w:tcPr>
                  <w:tcW w:w="794" w:type="pct"/>
                  <w:vAlign w:val="center"/>
                </w:tcPr>
                <w:p w14:paraId="1E70EF17">
                  <w:pPr>
                    <w:jc w:val="center"/>
                    <w:rPr>
                      <w:color w:val="auto"/>
                      <w:szCs w:val="21"/>
                    </w:rPr>
                  </w:pPr>
                  <w:r>
                    <w:rPr>
                      <w:color w:val="auto"/>
                    </w:rPr>
                    <w:t>昼/夜Leq</w:t>
                  </w:r>
                </w:p>
              </w:tc>
              <w:tc>
                <w:tcPr>
                  <w:tcW w:w="781" w:type="pct"/>
                  <w:vAlign w:val="center"/>
                </w:tcPr>
                <w:p w14:paraId="32908369">
                  <w:pPr>
                    <w:jc w:val="center"/>
                    <w:rPr>
                      <w:color w:val="auto"/>
                      <w:szCs w:val="21"/>
                    </w:rPr>
                  </w:pPr>
                  <w:r>
                    <w:rPr>
                      <w:rFonts w:hint="eastAsia"/>
                      <w:color w:val="auto"/>
                      <w:szCs w:val="21"/>
                    </w:rPr>
                    <w:t>厂界</w:t>
                  </w:r>
                  <w:r>
                    <w:rPr>
                      <w:color w:val="auto"/>
                      <w:szCs w:val="21"/>
                    </w:rPr>
                    <w:t>四周</w:t>
                  </w:r>
                </w:p>
              </w:tc>
              <w:tc>
                <w:tcPr>
                  <w:tcW w:w="781" w:type="pct"/>
                  <w:tcBorders>
                    <w:right w:val="single" w:color="auto" w:sz="4" w:space="0"/>
                  </w:tcBorders>
                  <w:vAlign w:val="center"/>
                </w:tcPr>
                <w:p w14:paraId="3DB20813">
                  <w:pPr>
                    <w:jc w:val="center"/>
                    <w:rPr>
                      <w:color w:val="auto"/>
                      <w:szCs w:val="21"/>
                    </w:rPr>
                  </w:pPr>
                  <w:r>
                    <w:rPr>
                      <w:color w:val="auto"/>
                      <w:szCs w:val="21"/>
                    </w:rPr>
                    <w:t>每</w:t>
                  </w:r>
                  <w:r>
                    <w:rPr>
                      <w:rFonts w:hint="eastAsia"/>
                      <w:color w:val="auto"/>
                      <w:szCs w:val="21"/>
                    </w:rPr>
                    <w:t>季</w:t>
                  </w:r>
                  <w:r>
                    <w:rPr>
                      <w:color w:val="auto"/>
                      <w:szCs w:val="21"/>
                    </w:rPr>
                    <w:t>一次</w:t>
                  </w:r>
                </w:p>
              </w:tc>
              <w:tc>
                <w:tcPr>
                  <w:tcW w:w="2644" w:type="pct"/>
                  <w:vAlign w:val="center"/>
                </w:tcPr>
                <w:p w14:paraId="201EA3D2">
                  <w:pPr>
                    <w:jc w:val="center"/>
                    <w:rPr>
                      <w:color w:val="auto"/>
                    </w:rPr>
                  </w:pPr>
                  <w:r>
                    <w:rPr>
                      <w:color w:val="auto"/>
                    </w:rPr>
                    <w:t>《工业企业厂界环境噪声排放标准》</w:t>
                  </w:r>
                </w:p>
                <w:p w14:paraId="5BAC9442">
                  <w:pPr>
                    <w:jc w:val="center"/>
                    <w:rPr>
                      <w:color w:val="auto"/>
                      <w:szCs w:val="21"/>
                    </w:rPr>
                  </w:pPr>
                  <w:r>
                    <w:rPr>
                      <w:color w:val="auto"/>
                    </w:rPr>
                    <w:t>（GB12348-2008）表1中2类标准</w:t>
                  </w:r>
                </w:p>
              </w:tc>
            </w:tr>
          </w:tbl>
          <w:p w14:paraId="38313368">
            <w:pPr>
              <w:pStyle w:val="102"/>
              <w:ind w:firstLine="480"/>
              <w:rPr>
                <w:color w:val="auto"/>
              </w:rPr>
            </w:pPr>
            <w:r>
              <w:rPr>
                <w:color w:val="auto"/>
              </w:rPr>
              <w:t>本项目</w:t>
            </w:r>
            <w:r>
              <w:rPr>
                <w:rFonts w:hint="eastAsia"/>
                <w:color w:val="auto"/>
              </w:rPr>
              <w:t>夜间不生产</w:t>
            </w:r>
            <w:r>
              <w:rPr>
                <w:rFonts w:hint="eastAsia"/>
                <w:color w:val="auto"/>
                <w:lang w:eastAsia="zh-CN"/>
              </w:rPr>
              <w:t>，</w:t>
            </w:r>
            <w:r>
              <w:rPr>
                <w:color w:val="auto"/>
              </w:rPr>
              <w:t>各设备均位于车间内</w:t>
            </w:r>
            <w:r>
              <w:rPr>
                <w:rFonts w:hint="eastAsia"/>
                <w:color w:val="auto"/>
                <w:lang w:eastAsia="zh-CN"/>
              </w:rPr>
              <w:t>，</w:t>
            </w:r>
            <w:r>
              <w:rPr>
                <w:rFonts w:hint="eastAsia"/>
                <w:color w:val="auto"/>
              </w:rPr>
              <w:t>通过选用低噪声设备</w:t>
            </w:r>
            <w:r>
              <w:rPr>
                <w:rFonts w:hint="eastAsia"/>
                <w:color w:val="auto"/>
                <w:lang w:eastAsia="zh-CN"/>
              </w:rPr>
              <w:t>，</w:t>
            </w:r>
            <w:r>
              <w:rPr>
                <w:color w:val="auto"/>
              </w:rPr>
              <w:t>采取减振、</w:t>
            </w:r>
            <w:r>
              <w:rPr>
                <w:rFonts w:hint="eastAsia"/>
                <w:color w:val="auto"/>
              </w:rPr>
              <w:t>消声、</w:t>
            </w:r>
            <w:r>
              <w:rPr>
                <w:color w:val="auto"/>
              </w:rPr>
              <w:t>隔声等措施后</w:t>
            </w:r>
            <w:r>
              <w:rPr>
                <w:rFonts w:hint="eastAsia"/>
                <w:color w:val="auto"/>
                <w:lang w:eastAsia="zh-CN"/>
              </w:rPr>
              <w:t>，</w:t>
            </w:r>
            <w:r>
              <w:rPr>
                <w:rFonts w:hint="eastAsia"/>
                <w:color w:val="auto"/>
              </w:rPr>
              <w:t>经距离衰减</w:t>
            </w:r>
            <w:r>
              <w:rPr>
                <w:rFonts w:hint="eastAsia"/>
                <w:color w:val="auto"/>
                <w:lang w:eastAsia="zh-CN"/>
              </w:rPr>
              <w:t>，</w:t>
            </w:r>
            <w:r>
              <w:rPr>
                <w:color w:val="auto"/>
              </w:rPr>
              <w:t>厂界噪声可控制在55dB（A）以下</w:t>
            </w:r>
            <w:r>
              <w:rPr>
                <w:rFonts w:hint="eastAsia"/>
                <w:color w:val="auto"/>
                <w:lang w:eastAsia="zh-CN"/>
              </w:rPr>
              <w:t>，</w:t>
            </w:r>
            <w:r>
              <w:rPr>
                <w:color w:val="auto"/>
              </w:rPr>
              <w:t>厂界噪声</w:t>
            </w:r>
            <w:r>
              <w:rPr>
                <w:rFonts w:hint="eastAsia"/>
                <w:color w:val="auto"/>
              </w:rPr>
              <w:t>满足</w:t>
            </w:r>
            <w:r>
              <w:rPr>
                <w:color w:val="auto"/>
              </w:rPr>
              <w:t>《工业企业厂界环境噪声排放标准》（GB12348-2008）表1中2类标准</w:t>
            </w:r>
            <w:r>
              <w:rPr>
                <w:rFonts w:hint="eastAsia"/>
                <w:color w:val="auto"/>
              </w:rPr>
              <w:t>。</w:t>
            </w:r>
            <w:r>
              <w:rPr>
                <w:color w:val="auto"/>
              </w:rPr>
              <w:t>同时运营期落实好报告中提出的监测要求</w:t>
            </w:r>
            <w:r>
              <w:rPr>
                <w:rFonts w:hint="eastAsia"/>
                <w:color w:val="auto"/>
                <w:lang w:eastAsia="zh-CN"/>
              </w:rPr>
              <w:t>，</w:t>
            </w:r>
            <w:r>
              <w:rPr>
                <w:color w:val="auto"/>
              </w:rPr>
              <w:t>发现超标及时采取降噪措施</w:t>
            </w:r>
            <w:r>
              <w:rPr>
                <w:rFonts w:hint="eastAsia"/>
                <w:color w:val="auto"/>
                <w:lang w:eastAsia="zh-CN"/>
              </w:rPr>
              <w:t>，</w:t>
            </w:r>
            <w:r>
              <w:rPr>
                <w:color w:val="auto"/>
              </w:rPr>
              <w:t>保证厂界噪声达标排放</w:t>
            </w:r>
            <w:r>
              <w:rPr>
                <w:rFonts w:hint="eastAsia"/>
                <w:color w:val="auto"/>
                <w:lang w:eastAsia="zh-CN"/>
              </w:rPr>
              <w:t>，</w:t>
            </w:r>
            <w:r>
              <w:rPr>
                <w:color w:val="auto"/>
              </w:rPr>
              <w:t>对周围声环境影响较小。</w:t>
            </w:r>
          </w:p>
          <w:p w14:paraId="70465D77">
            <w:pPr>
              <w:pStyle w:val="102"/>
              <w:ind w:firstLine="480"/>
              <w:rPr>
                <w:b/>
                <w:bCs/>
                <w:color w:val="auto"/>
              </w:rPr>
            </w:pPr>
            <w:r>
              <w:rPr>
                <w:b/>
                <w:bCs/>
                <w:color w:val="auto"/>
              </w:rPr>
              <w:t>4、固体废物影响</w:t>
            </w:r>
            <w:r>
              <w:rPr>
                <w:rFonts w:hint="eastAsia"/>
                <w:b/>
                <w:bCs/>
                <w:color w:val="auto"/>
                <w:lang w:val="en-US" w:eastAsia="zh-CN"/>
              </w:rPr>
              <w:t>分析</w:t>
            </w:r>
            <w:r>
              <w:rPr>
                <w:b/>
                <w:bCs/>
                <w:color w:val="auto"/>
              </w:rPr>
              <w:t>和保护措施</w:t>
            </w:r>
          </w:p>
          <w:p w14:paraId="5810A5AC">
            <w:pPr>
              <w:pStyle w:val="102"/>
              <w:ind w:firstLine="480"/>
              <w:rPr>
                <w:color w:val="auto"/>
              </w:rPr>
            </w:pPr>
            <w:r>
              <w:rPr>
                <w:color w:val="auto"/>
              </w:rPr>
              <w:t>本项目固体废物主要有</w:t>
            </w:r>
            <w:r>
              <w:rPr>
                <w:rFonts w:hint="eastAsia"/>
                <w:color w:val="auto"/>
              </w:rPr>
              <w:t>生活垃圾和废活性炭</w:t>
            </w:r>
            <w:r>
              <w:rPr>
                <w:color w:val="auto"/>
              </w:rPr>
              <w:t>。</w:t>
            </w:r>
          </w:p>
          <w:p w14:paraId="0AADBE15">
            <w:pPr>
              <w:pStyle w:val="102"/>
              <w:ind w:firstLine="480"/>
              <w:rPr>
                <w:color w:val="auto"/>
              </w:rPr>
            </w:pPr>
            <w:r>
              <w:rPr>
                <w:rFonts w:hint="eastAsia"/>
                <w:color w:val="auto"/>
              </w:rPr>
              <w:t>（1）生活垃圾</w:t>
            </w:r>
          </w:p>
          <w:p w14:paraId="4BA0A0DC">
            <w:pPr>
              <w:pStyle w:val="102"/>
              <w:ind w:firstLine="480"/>
              <w:rPr>
                <w:color w:val="auto"/>
              </w:rPr>
            </w:pPr>
            <w:r>
              <w:rPr>
                <w:color w:val="auto"/>
              </w:rPr>
              <w:t>本项目劳动定员</w:t>
            </w:r>
            <w:r>
              <w:rPr>
                <w:rFonts w:hint="eastAsia"/>
                <w:color w:val="auto"/>
                <w:lang w:val="en-US" w:eastAsia="zh-CN"/>
              </w:rPr>
              <w:t>6</w:t>
            </w:r>
            <w:r>
              <w:rPr>
                <w:color w:val="auto"/>
              </w:rPr>
              <w:t>人</w:t>
            </w:r>
            <w:r>
              <w:rPr>
                <w:rFonts w:hint="eastAsia"/>
                <w:color w:val="auto"/>
                <w:lang w:eastAsia="zh-CN"/>
              </w:rPr>
              <w:t>，</w:t>
            </w:r>
            <w:r>
              <w:rPr>
                <w:color w:val="auto"/>
              </w:rPr>
              <w:t>生活垃圾按0.5kg/人·d计</w:t>
            </w:r>
            <w:r>
              <w:rPr>
                <w:rFonts w:hint="eastAsia"/>
                <w:color w:val="auto"/>
                <w:lang w:eastAsia="zh-CN"/>
              </w:rPr>
              <w:t>，</w:t>
            </w:r>
            <w:r>
              <w:rPr>
                <w:color w:val="auto"/>
              </w:rPr>
              <w:t>该项目的生活垃圾产生量为</w:t>
            </w:r>
            <w:r>
              <w:rPr>
                <w:rFonts w:hint="eastAsia"/>
                <w:color w:val="auto"/>
                <w:lang w:val="en-US" w:eastAsia="zh-CN"/>
              </w:rPr>
              <w:t>0.9</w:t>
            </w:r>
            <w:r>
              <w:rPr>
                <w:color w:val="auto"/>
              </w:rPr>
              <w:t>t/a</w:t>
            </w:r>
            <w:r>
              <w:rPr>
                <w:rFonts w:hint="eastAsia"/>
                <w:color w:val="auto"/>
                <w:lang w:eastAsia="zh-CN"/>
              </w:rPr>
              <w:t>，</w:t>
            </w:r>
            <w:r>
              <w:rPr>
                <w:color w:val="auto"/>
              </w:rPr>
              <w:t>生活垃圾</w:t>
            </w:r>
            <w:r>
              <w:rPr>
                <w:rFonts w:hint="eastAsia"/>
                <w:color w:val="auto"/>
              </w:rPr>
              <w:t>暂存在厂区垃圾箱内</w:t>
            </w:r>
            <w:r>
              <w:rPr>
                <w:rFonts w:hint="eastAsia"/>
                <w:color w:val="auto"/>
                <w:lang w:eastAsia="zh-CN"/>
              </w:rPr>
              <w:t>，</w:t>
            </w:r>
            <w:r>
              <w:rPr>
                <w:color w:val="auto"/>
              </w:rPr>
              <w:t>由</w:t>
            </w:r>
            <w:r>
              <w:rPr>
                <w:rFonts w:hint="eastAsia"/>
                <w:color w:val="auto"/>
              </w:rPr>
              <w:t>当地</w:t>
            </w:r>
            <w:r>
              <w:rPr>
                <w:color w:val="auto"/>
              </w:rPr>
              <w:t>环卫部门统一处置</w:t>
            </w:r>
            <w:r>
              <w:rPr>
                <w:rFonts w:hint="eastAsia"/>
                <w:color w:val="auto"/>
              </w:rPr>
              <w:t>。</w:t>
            </w:r>
          </w:p>
          <w:p w14:paraId="5AD87A82">
            <w:pPr>
              <w:pStyle w:val="102"/>
              <w:ind w:firstLine="480"/>
              <w:rPr>
                <w:color w:val="auto"/>
              </w:rPr>
            </w:pPr>
            <w:r>
              <w:rPr>
                <w:rFonts w:hint="eastAsia"/>
                <w:color w:val="auto"/>
              </w:rPr>
              <w:t>（2）废活性炭</w:t>
            </w:r>
          </w:p>
          <w:p w14:paraId="4B2DC50D">
            <w:pPr>
              <w:pStyle w:val="102"/>
              <w:ind w:firstLine="480"/>
              <w:rPr>
                <w:color w:val="auto"/>
              </w:rPr>
            </w:pPr>
            <w:r>
              <w:rPr>
                <w:rFonts w:hint="eastAsia"/>
                <w:color w:val="auto"/>
              </w:rPr>
              <w:t>①产生量</w:t>
            </w:r>
          </w:p>
          <w:p w14:paraId="0565692D">
            <w:pPr>
              <w:pStyle w:val="102"/>
              <w:ind w:firstLine="480"/>
              <w:rPr>
                <w:color w:val="auto"/>
              </w:rPr>
            </w:pPr>
            <w:r>
              <w:rPr>
                <w:rFonts w:hint="eastAsia"/>
                <w:color w:val="auto"/>
              </w:rPr>
              <w:t>本项目活性炭吸附装置吸附有机废气污染物量为</w:t>
            </w:r>
            <w:r>
              <w:rPr>
                <w:rFonts w:hint="eastAsia"/>
                <w:color w:val="auto"/>
                <w:lang w:val="en-US" w:eastAsia="zh-CN"/>
              </w:rPr>
              <w:t>1.15</w:t>
            </w:r>
            <w:r>
              <w:rPr>
                <w:rFonts w:hint="eastAsia"/>
                <w:color w:val="auto"/>
              </w:rPr>
              <w:t>t/a</w:t>
            </w:r>
            <w:r>
              <w:rPr>
                <w:rFonts w:hint="eastAsia"/>
                <w:color w:val="auto"/>
                <w:lang w:eastAsia="zh-CN"/>
              </w:rPr>
              <w:t>，</w:t>
            </w:r>
            <w:r>
              <w:rPr>
                <w:rFonts w:hint="eastAsia"/>
                <w:color w:val="auto"/>
              </w:rPr>
              <w:t>根据中国建筑出版社（1997）出版的《简明通风设计手册》第十章中关于活性炭吸附处理治理废气的方法中提供的数据：每1.0kg活性炭吸附有机废气的平衡量为0.43-0.61kg</w:t>
            </w:r>
            <w:r>
              <w:rPr>
                <w:rFonts w:hint="eastAsia"/>
                <w:color w:val="auto"/>
                <w:lang w:eastAsia="zh-CN"/>
              </w:rPr>
              <w:t>，</w:t>
            </w:r>
            <w:r>
              <w:rPr>
                <w:rFonts w:hint="eastAsia"/>
                <w:color w:val="auto"/>
              </w:rPr>
              <w:t>本项目按1t活性炭吸附0.5t有机废气计算</w:t>
            </w:r>
            <w:r>
              <w:rPr>
                <w:rFonts w:hint="eastAsia"/>
                <w:color w:val="auto"/>
                <w:lang w:eastAsia="zh-CN"/>
              </w:rPr>
              <w:t>，</w:t>
            </w:r>
            <w:r>
              <w:rPr>
                <w:rFonts w:hint="eastAsia"/>
                <w:color w:val="auto"/>
              </w:rPr>
              <w:t>则项目活性炭使用量为</w:t>
            </w:r>
            <w:r>
              <w:rPr>
                <w:rFonts w:hint="eastAsia"/>
                <w:color w:val="auto"/>
                <w:lang w:val="en-US" w:eastAsia="zh-CN"/>
              </w:rPr>
              <w:t>2.3</w:t>
            </w:r>
            <w:r>
              <w:rPr>
                <w:rFonts w:hint="eastAsia"/>
                <w:color w:val="auto"/>
              </w:rPr>
              <w:t>t/a</w:t>
            </w:r>
            <w:r>
              <w:rPr>
                <w:rFonts w:hint="eastAsia"/>
                <w:color w:val="auto"/>
                <w:lang w:eastAsia="zh-CN"/>
              </w:rPr>
              <w:t>，</w:t>
            </w:r>
            <w:r>
              <w:rPr>
                <w:rFonts w:hint="eastAsia"/>
                <w:color w:val="auto"/>
              </w:rPr>
              <w:t>则废活性炭产生量为</w:t>
            </w:r>
            <w:r>
              <w:rPr>
                <w:rFonts w:hint="eastAsia"/>
                <w:color w:val="auto"/>
                <w:lang w:val="en-US" w:eastAsia="zh-CN"/>
              </w:rPr>
              <w:t>3.45</w:t>
            </w:r>
            <w:r>
              <w:rPr>
                <w:rFonts w:hint="eastAsia"/>
                <w:color w:val="auto"/>
              </w:rPr>
              <w:t>t/a</w:t>
            </w:r>
            <w:r>
              <w:rPr>
                <w:rFonts w:hint="eastAsia"/>
                <w:color w:val="auto"/>
                <w:lang w:eastAsia="zh-CN"/>
              </w:rPr>
              <w:t>，</w:t>
            </w:r>
            <w:r>
              <w:rPr>
                <w:rFonts w:hint="eastAsia"/>
                <w:color w:val="auto"/>
              </w:rPr>
              <w:t>活性炭每年更换</w:t>
            </w:r>
            <w:r>
              <w:rPr>
                <w:rFonts w:hint="eastAsia"/>
                <w:color w:val="auto"/>
                <w:lang w:val="en-US" w:eastAsia="zh-CN"/>
              </w:rPr>
              <w:t>4</w:t>
            </w:r>
            <w:r>
              <w:rPr>
                <w:rFonts w:hint="eastAsia"/>
                <w:color w:val="auto"/>
              </w:rPr>
              <w:t>次（每次</w:t>
            </w:r>
            <w:r>
              <w:rPr>
                <w:rFonts w:hint="eastAsia"/>
                <w:color w:val="auto"/>
                <w:lang w:val="en-US" w:eastAsia="zh-CN"/>
              </w:rPr>
              <w:t>0.575</w:t>
            </w:r>
            <w:r>
              <w:rPr>
                <w:rFonts w:hint="eastAsia"/>
                <w:color w:val="auto"/>
              </w:rPr>
              <w:t>t）。根据《国家危险废物名录（2021年版）》</w:t>
            </w:r>
            <w:r>
              <w:rPr>
                <w:rFonts w:hint="eastAsia"/>
                <w:color w:val="auto"/>
                <w:lang w:eastAsia="zh-CN"/>
              </w:rPr>
              <w:t>，</w:t>
            </w:r>
            <w:r>
              <w:rPr>
                <w:rFonts w:hint="eastAsia"/>
                <w:color w:val="auto"/>
              </w:rPr>
              <w:t>废活性炭属于危险废物</w:t>
            </w:r>
            <w:r>
              <w:rPr>
                <w:rFonts w:hint="eastAsia"/>
                <w:color w:val="auto"/>
                <w:lang w:eastAsia="zh-CN"/>
              </w:rPr>
              <w:t>，</w:t>
            </w:r>
            <w:r>
              <w:rPr>
                <w:rFonts w:hint="eastAsia"/>
                <w:color w:val="auto"/>
              </w:rPr>
              <w:t>废物类别为HW49其他废物</w:t>
            </w:r>
            <w:r>
              <w:rPr>
                <w:rFonts w:hint="eastAsia"/>
                <w:color w:val="auto"/>
                <w:lang w:eastAsia="zh-CN"/>
              </w:rPr>
              <w:t>，</w:t>
            </w:r>
            <w:r>
              <w:rPr>
                <w:rFonts w:hint="eastAsia"/>
                <w:color w:val="auto"/>
              </w:rPr>
              <w:t>废物代码为900-039-49：“烟气、VOCs治理过程（不包括餐饮行业油烟治理过程）产生的废活性炭</w:t>
            </w:r>
            <w:r>
              <w:rPr>
                <w:rFonts w:hint="eastAsia"/>
                <w:color w:val="auto"/>
                <w:lang w:eastAsia="zh-CN"/>
              </w:rPr>
              <w:t>，</w:t>
            </w:r>
            <w:r>
              <w:rPr>
                <w:rFonts w:hint="eastAsia"/>
                <w:color w:val="auto"/>
              </w:rPr>
              <w:t>化学原料和化学制品脱色（不包括有机合成食品添加剂脱色）、除杂、净化过程产生的废活性炭（不包括900-405-06、917-005-18、261-053-29、265-002-29、384-003-29、387-001-29类废物）”。废活性炭更换后暂存在危废暂存间内</w:t>
            </w:r>
            <w:r>
              <w:rPr>
                <w:rFonts w:hint="eastAsia"/>
                <w:color w:val="auto"/>
                <w:lang w:eastAsia="zh-CN"/>
              </w:rPr>
              <w:t>，</w:t>
            </w:r>
            <w:r>
              <w:rPr>
                <w:rFonts w:hint="eastAsia"/>
                <w:color w:val="auto"/>
              </w:rPr>
              <w:t>定期交有资质单位处置。</w:t>
            </w:r>
          </w:p>
          <w:p w14:paraId="0C6DE7F1">
            <w:pPr>
              <w:pStyle w:val="102"/>
              <w:ind w:firstLine="480"/>
              <w:rPr>
                <w:color w:val="auto"/>
              </w:rPr>
            </w:pPr>
            <w:r>
              <w:rPr>
                <w:rFonts w:hint="eastAsia"/>
                <w:color w:val="auto"/>
              </w:rPr>
              <w:t>②</w:t>
            </w:r>
            <w:r>
              <w:rPr>
                <w:color w:val="auto"/>
              </w:rPr>
              <w:t>危废暂存间设置及管理要求</w:t>
            </w:r>
          </w:p>
          <w:p w14:paraId="02FC180E">
            <w:pPr>
              <w:pStyle w:val="102"/>
              <w:ind w:firstLine="480"/>
              <w:rPr>
                <w:color w:val="auto"/>
              </w:rPr>
            </w:pPr>
            <w:r>
              <w:rPr>
                <w:rFonts w:hint="eastAsia"/>
                <w:color w:val="auto"/>
              </w:rPr>
              <w:t>本项目产生的危险废物暂存在厂区内的危废暂存间</w:t>
            </w:r>
            <w:r>
              <w:rPr>
                <w:rFonts w:hint="eastAsia"/>
                <w:color w:val="auto"/>
                <w:lang w:eastAsia="zh-CN"/>
              </w:rPr>
              <w:t>，</w:t>
            </w:r>
            <w:r>
              <w:rPr>
                <w:rFonts w:hint="eastAsia"/>
                <w:color w:val="auto"/>
              </w:rPr>
              <w:t>委托有资质单位进行处理</w:t>
            </w:r>
            <w:r>
              <w:rPr>
                <w:rFonts w:hint="eastAsia"/>
                <w:color w:val="auto"/>
                <w:lang w:eastAsia="zh-CN"/>
              </w:rPr>
              <w:t>，</w:t>
            </w:r>
            <w:r>
              <w:rPr>
                <w:rFonts w:hint="eastAsia"/>
                <w:color w:val="auto"/>
              </w:rPr>
              <w:t>项目危废暂存间位于车间内</w:t>
            </w:r>
            <w:r>
              <w:rPr>
                <w:rFonts w:hint="eastAsia"/>
                <w:color w:val="auto"/>
                <w:lang w:eastAsia="zh-CN"/>
              </w:rPr>
              <w:t>，</w:t>
            </w:r>
            <w:r>
              <w:rPr>
                <w:rFonts w:hint="eastAsia"/>
                <w:color w:val="auto"/>
              </w:rPr>
              <w:t>面积2m</w:t>
            </w:r>
            <w:r>
              <w:rPr>
                <w:rFonts w:hint="eastAsia"/>
                <w:color w:val="auto"/>
                <w:vertAlign w:val="superscript"/>
              </w:rPr>
              <w:t>2</w:t>
            </w:r>
            <w:r>
              <w:rPr>
                <w:rFonts w:hint="eastAsia"/>
                <w:color w:val="auto"/>
                <w:lang w:eastAsia="zh-CN"/>
              </w:rPr>
              <w:t>，</w:t>
            </w:r>
            <w:r>
              <w:rPr>
                <w:rFonts w:hint="eastAsia"/>
                <w:color w:val="auto"/>
              </w:rPr>
              <w:t>地面及裙角采用2mm厚的高密度聚乙烯+防渗混凝土进行防渗处理</w:t>
            </w:r>
            <w:r>
              <w:rPr>
                <w:rFonts w:hint="eastAsia"/>
                <w:color w:val="auto"/>
                <w:lang w:eastAsia="zh-CN"/>
              </w:rPr>
              <w:t>，</w:t>
            </w:r>
            <w:r>
              <w:rPr>
                <w:rFonts w:hint="eastAsia"/>
                <w:color w:val="auto"/>
              </w:rPr>
              <w:t>渗透系数≤10</w:t>
            </w:r>
            <w:r>
              <w:rPr>
                <w:rFonts w:hint="eastAsia"/>
                <w:color w:val="auto"/>
                <w:vertAlign w:val="superscript"/>
              </w:rPr>
              <w:t>-10</w:t>
            </w:r>
            <w:r>
              <w:rPr>
                <w:rFonts w:hint="eastAsia"/>
                <w:color w:val="auto"/>
              </w:rPr>
              <w:t>cm/s</w:t>
            </w:r>
            <w:r>
              <w:rPr>
                <w:rFonts w:hint="eastAsia"/>
                <w:color w:val="auto"/>
                <w:lang w:eastAsia="zh-CN"/>
              </w:rPr>
              <w:t>，</w:t>
            </w:r>
            <w:r>
              <w:rPr>
                <w:rFonts w:hint="eastAsia"/>
                <w:color w:val="auto"/>
              </w:rPr>
              <w:t>满足《危险废物贮存污染控制标准》（GB18597-2023）的要求。</w:t>
            </w:r>
          </w:p>
          <w:p w14:paraId="24743EAB">
            <w:pPr>
              <w:pStyle w:val="102"/>
              <w:ind w:firstLine="480"/>
              <w:rPr>
                <w:color w:val="auto"/>
                <w:lang w:val="zh-CN"/>
              </w:rPr>
            </w:pPr>
            <w:r>
              <w:rPr>
                <w:color w:val="auto"/>
                <w:lang w:val="zh-CN"/>
              </w:rPr>
              <w:t>危险废物收集、贮存、运输的一般要求：</w:t>
            </w:r>
            <w:r>
              <w:rPr>
                <w:rFonts w:hint="eastAsia" w:ascii="宋体" w:hAnsi="宋体" w:cs="宋体"/>
                <w:color w:val="auto"/>
                <w:lang w:val="zh-CN"/>
              </w:rPr>
              <w:t>①</w:t>
            </w:r>
            <w:r>
              <w:rPr>
                <w:color w:val="auto"/>
                <w:lang w:val="zh-CN"/>
              </w:rPr>
              <w:t>从事危险废物收集、贮存、运输经营活动的单位应具有危险废物经营许可证。在收集、贮存、运输危险废物时</w:t>
            </w:r>
            <w:r>
              <w:rPr>
                <w:rFonts w:hint="eastAsia"/>
                <w:color w:val="auto"/>
                <w:lang w:val="zh-CN"/>
              </w:rPr>
              <w:t>，</w:t>
            </w:r>
            <w:r>
              <w:rPr>
                <w:color w:val="auto"/>
                <w:lang w:val="zh-CN"/>
              </w:rPr>
              <w:t>应根据危险废物收集、贮存、处置经营许可证核发的有关规定建立相应的规章制度和污染防治措施</w:t>
            </w:r>
            <w:r>
              <w:rPr>
                <w:rFonts w:hint="eastAsia"/>
                <w:color w:val="auto"/>
                <w:lang w:val="zh-CN"/>
              </w:rPr>
              <w:t>，</w:t>
            </w:r>
            <w:r>
              <w:rPr>
                <w:color w:val="auto"/>
                <w:lang w:val="zh-CN"/>
              </w:rPr>
              <w:t>包括危险废物分析管理制度、安全管理制度、污染防治措施等；危险废物产生单位内部自行从事的危险废物收集、贮存、运输活动应遵照国家相关管理规定</w:t>
            </w:r>
            <w:r>
              <w:rPr>
                <w:rFonts w:hint="eastAsia"/>
                <w:color w:val="auto"/>
                <w:lang w:val="zh-CN"/>
              </w:rPr>
              <w:t>，</w:t>
            </w:r>
            <w:r>
              <w:rPr>
                <w:color w:val="auto"/>
                <w:lang w:val="zh-CN"/>
              </w:rPr>
              <w:t>建立健全规章制度及操作流程</w:t>
            </w:r>
            <w:r>
              <w:rPr>
                <w:rFonts w:hint="eastAsia"/>
                <w:color w:val="auto"/>
                <w:lang w:val="zh-CN"/>
              </w:rPr>
              <w:t>，</w:t>
            </w:r>
            <w:r>
              <w:rPr>
                <w:color w:val="auto"/>
                <w:lang w:val="zh-CN"/>
              </w:rPr>
              <w:t>确保该过程的安全、可靠。</w:t>
            </w:r>
            <w:r>
              <w:rPr>
                <w:rFonts w:hint="eastAsia" w:ascii="宋体" w:hAnsi="宋体" w:cs="宋体"/>
                <w:color w:val="auto"/>
                <w:lang w:val="zh-CN"/>
              </w:rPr>
              <w:t>②</w:t>
            </w:r>
            <w:r>
              <w:rPr>
                <w:color w:val="auto"/>
                <w:lang w:val="zh-CN"/>
              </w:rPr>
              <w:t>危险废物转移过程应按《危险废物转移联单管理办法》执行。</w:t>
            </w:r>
            <w:r>
              <w:rPr>
                <w:rFonts w:hint="eastAsia" w:ascii="宋体" w:hAnsi="宋体" w:cs="宋体"/>
                <w:color w:val="auto"/>
                <w:lang w:val="zh-CN"/>
              </w:rPr>
              <w:t>③</w:t>
            </w:r>
            <w:r>
              <w:rPr>
                <w:color w:val="auto"/>
                <w:lang w:val="zh-CN"/>
              </w:rPr>
              <w:t>危险废物收集、贮存、运输单位应建立规范的管理和技术人员培训制度</w:t>
            </w:r>
            <w:r>
              <w:rPr>
                <w:rFonts w:hint="eastAsia"/>
                <w:color w:val="auto"/>
                <w:lang w:val="zh-CN"/>
              </w:rPr>
              <w:t>，</w:t>
            </w:r>
            <w:r>
              <w:rPr>
                <w:color w:val="auto"/>
                <w:lang w:val="zh-CN"/>
              </w:rPr>
              <w:t>定期针对管理和技术人员进行培训。培训内容至少应包括危险废物鉴别要求、危险废物经营许可证管理、危险废物转移联单管理、危险废物包装和标识、危险废物运输要求、危险废物事故应急方法等。</w:t>
            </w:r>
            <w:r>
              <w:rPr>
                <w:rFonts w:hint="eastAsia" w:ascii="宋体" w:hAnsi="宋体" w:cs="宋体"/>
                <w:color w:val="auto"/>
                <w:lang w:val="zh-CN"/>
              </w:rPr>
              <w:t>④</w:t>
            </w:r>
            <w:r>
              <w:rPr>
                <w:color w:val="auto"/>
                <w:lang w:val="zh-CN"/>
              </w:rPr>
              <w:t>危险废物收集、贮存、运输单位应编制应急预案。应急预案编制可参照《危险废物经营单位编制应急预案指南》</w:t>
            </w:r>
            <w:r>
              <w:rPr>
                <w:rFonts w:hint="eastAsia"/>
                <w:color w:val="auto"/>
                <w:lang w:val="zh-CN"/>
              </w:rPr>
              <w:t>，</w:t>
            </w:r>
            <w:r>
              <w:rPr>
                <w:color w:val="auto"/>
                <w:lang w:val="zh-CN"/>
              </w:rPr>
              <w:t>涉及运输的相关内容还应符合交通行政主管部门的有关规定。针对危险废物收集、贮存、运输过程中的事故易发环节应定期组织应急演练。</w:t>
            </w:r>
            <w:r>
              <w:rPr>
                <w:rFonts w:hint="eastAsia" w:ascii="宋体" w:hAnsi="宋体" w:cs="宋体"/>
                <w:color w:val="auto"/>
                <w:lang w:val="zh-CN"/>
              </w:rPr>
              <w:t>⑤</w:t>
            </w:r>
            <w:r>
              <w:rPr>
                <w:color w:val="auto"/>
                <w:lang w:val="zh-CN"/>
              </w:rPr>
              <w:t>危险废物收集、贮存、运输时应按危险特性对危险废物进行分类、包装并设置相应的标志及标签。</w:t>
            </w:r>
          </w:p>
          <w:p w14:paraId="3E571F17">
            <w:pPr>
              <w:pStyle w:val="102"/>
              <w:ind w:firstLine="480"/>
              <w:rPr>
                <w:color w:val="auto"/>
                <w:highlight w:val="none"/>
              </w:rPr>
            </w:pPr>
            <w:r>
              <w:rPr>
                <w:rFonts w:hint="eastAsia"/>
                <w:color w:val="auto"/>
              </w:rPr>
              <w:t>综上所述</w:t>
            </w:r>
            <w:r>
              <w:rPr>
                <w:rFonts w:hint="eastAsia"/>
                <w:color w:val="auto"/>
                <w:lang w:eastAsia="zh-CN"/>
              </w:rPr>
              <w:t>，</w:t>
            </w:r>
            <w:r>
              <w:rPr>
                <w:rFonts w:hint="eastAsia"/>
                <w:color w:val="auto"/>
                <w:highlight w:val="none"/>
              </w:rPr>
              <w:t>本项目固体废物经过上述措施治理后</w:t>
            </w:r>
            <w:r>
              <w:rPr>
                <w:rFonts w:hint="eastAsia"/>
                <w:color w:val="auto"/>
                <w:highlight w:val="none"/>
                <w:lang w:eastAsia="zh-CN"/>
              </w:rPr>
              <w:t>，</w:t>
            </w:r>
            <w:r>
              <w:rPr>
                <w:rFonts w:hint="eastAsia"/>
                <w:color w:val="auto"/>
                <w:highlight w:val="none"/>
              </w:rPr>
              <w:t>能够得到妥善处置</w:t>
            </w:r>
            <w:r>
              <w:rPr>
                <w:rFonts w:hint="eastAsia"/>
                <w:color w:val="auto"/>
                <w:highlight w:val="none"/>
                <w:lang w:eastAsia="zh-CN"/>
              </w:rPr>
              <w:t>，</w:t>
            </w:r>
            <w:r>
              <w:rPr>
                <w:rFonts w:hint="eastAsia"/>
                <w:color w:val="auto"/>
                <w:highlight w:val="none"/>
              </w:rPr>
              <w:t>不会对周边环境产生不良影响。</w:t>
            </w:r>
          </w:p>
          <w:p w14:paraId="41F44BE2">
            <w:pPr>
              <w:pStyle w:val="114"/>
              <w:rPr>
                <w:color w:val="auto"/>
                <w:highlight w:val="none"/>
              </w:rPr>
            </w:pPr>
            <w:r>
              <w:rPr>
                <w:color w:val="auto"/>
                <w:highlight w:val="none"/>
              </w:rPr>
              <w:t>表4-10</w:t>
            </w:r>
            <w:r>
              <w:rPr>
                <w:rFonts w:hint="eastAsia"/>
                <w:color w:val="auto"/>
                <w:highlight w:val="none"/>
              </w:rPr>
              <w:t xml:space="preserve">  </w:t>
            </w:r>
            <w:r>
              <w:rPr>
                <w:color w:val="auto"/>
                <w:highlight w:val="none"/>
              </w:rPr>
              <w:t>固体废物污染源源强核算结果及相关参数一览表</w:t>
            </w:r>
          </w:p>
          <w:tbl>
            <w:tblPr>
              <w:tblStyle w:val="4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88"/>
              <w:gridCol w:w="794"/>
              <w:gridCol w:w="732"/>
              <w:gridCol w:w="610"/>
              <w:gridCol w:w="671"/>
              <w:gridCol w:w="846"/>
              <w:gridCol w:w="1616"/>
              <w:gridCol w:w="846"/>
              <w:gridCol w:w="1616"/>
            </w:tblGrid>
            <w:tr w14:paraId="02236BB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jc w:val="center"/>
              </w:trPr>
              <w:tc>
                <w:tcPr>
                  <w:tcW w:w="0" w:type="auto"/>
                  <w:vMerge w:val="restart"/>
                  <w:vAlign w:val="center"/>
                </w:tcPr>
                <w:p w14:paraId="38EA2516">
                  <w:pPr>
                    <w:pStyle w:val="101"/>
                    <w:rPr>
                      <w:color w:val="auto"/>
                      <w:highlight w:val="none"/>
                    </w:rPr>
                  </w:pPr>
                  <w:r>
                    <w:rPr>
                      <w:color w:val="auto"/>
                      <w:highlight w:val="none"/>
                    </w:rPr>
                    <w:t>工序/生产线</w:t>
                  </w:r>
                </w:p>
              </w:tc>
              <w:tc>
                <w:tcPr>
                  <w:tcW w:w="0" w:type="auto"/>
                  <w:vMerge w:val="restart"/>
                  <w:vAlign w:val="center"/>
                </w:tcPr>
                <w:p w14:paraId="31DE76B8">
                  <w:pPr>
                    <w:pStyle w:val="101"/>
                    <w:rPr>
                      <w:color w:val="auto"/>
                      <w:highlight w:val="none"/>
                    </w:rPr>
                  </w:pPr>
                  <w:r>
                    <w:rPr>
                      <w:color w:val="auto"/>
                      <w:highlight w:val="none"/>
                    </w:rPr>
                    <w:t>装置</w:t>
                  </w:r>
                </w:p>
              </w:tc>
              <w:tc>
                <w:tcPr>
                  <w:tcW w:w="0" w:type="auto"/>
                  <w:vMerge w:val="restart"/>
                  <w:vAlign w:val="center"/>
                </w:tcPr>
                <w:p w14:paraId="2720DCED">
                  <w:pPr>
                    <w:pStyle w:val="101"/>
                    <w:rPr>
                      <w:color w:val="auto"/>
                      <w:highlight w:val="none"/>
                    </w:rPr>
                  </w:pPr>
                  <w:r>
                    <w:rPr>
                      <w:color w:val="auto"/>
                      <w:highlight w:val="none"/>
                    </w:rPr>
                    <w:t>固体废物名称</w:t>
                  </w:r>
                </w:p>
              </w:tc>
              <w:tc>
                <w:tcPr>
                  <w:tcW w:w="0" w:type="auto"/>
                  <w:vMerge w:val="restart"/>
                  <w:vAlign w:val="center"/>
                </w:tcPr>
                <w:p w14:paraId="4B48D9B2">
                  <w:pPr>
                    <w:pStyle w:val="101"/>
                    <w:rPr>
                      <w:color w:val="auto"/>
                      <w:highlight w:val="none"/>
                    </w:rPr>
                  </w:pPr>
                  <w:r>
                    <w:rPr>
                      <w:color w:val="auto"/>
                      <w:highlight w:val="none"/>
                    </w:rPr>
                    <w:t>固废属性</w:t>
                  </w:r>
                </w:p>
              </w:tc>
              <w:tc>
                <w:tcPr>
                  <w:tcW w:w="0" w:type="auto"/>
                  <w:gridSpan w:val="2"/>
                  <w:vAlign w:val="center"/>
                </w:tcPr>
                <w:p w14:paraId="3E8867EC">
                  <w:pPr>
                    <w:pStyle w:val="101"/>
                    <w:rPr>
                      <w:color w:val="auto"/>
                      <w:highlight w:val="none"/>
                    </w:rPr>
                  </w:pPr>
                  <w:r>
                    <w:rPr>
                      <w:color w:val="auto"/>
                      <w:highlight w:val="none"/>
                    </w:rPr>
                    <w:t>产生量</w:t>
                  </w:r>
                </w:p>
              </w:tc>
              <w:tc>
                <w:tcPr>
                  <w:tcW w:w="0" w:type="auto"/>
                  <w:gridSpan w:val="2"/>
                  <w:vAlign w:val="center"/>
                </w:tcPr>
                <w:p w14:paraId="24E8DBE3">
                  <w:pPr>
                    <w:pStyle w:val="101"/>
                    <w:rPr>
                      <w:color w:val="auto"/>
                      <w:highlight w:val="none"/>
                    </w:rPr>
                  </w:pPr>
                  <w:r>
                    <w:rPr>
                      <w:color w:val="auto"/>
                      <w:highlight w:val="none"/>
                    </w:rPr>
                    <w:t>处置措施</w:t>
                  </w:r>
                </w:p>
              </w:tc>
              <w:tc>
                <w:tcPr>
                  <w:tcW w:w="0" w:type="auto"/>
                  <w:vMerge w:val="restart"/>
                  <w:vAlign w:val="center"/>
                </w:tcPr>
                <w:p w14:paraId="3B03FC61">
                  <w:pPr>
                    <w:pStyle w:val="101"/>
                    <w:rPr>
                      <w:color w:val="auto"/>
                      <w:highlight w:val="none"/>
                    </w:rPr>
                  </w:pPr>
                  <w:r>
                    <w:rPr>
                      <w:color w:val="auto"/>
                      <w:highlight w:val="none"/>
                    </w:rPr>
                    <w:t>最终去向</w:t>
                  </w:r>
                </w:p>
              </w:tc>
            </w:tr>
            <w:tr w14:paraId="01E326C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Merge w:val="continue"/>
                  <w:vAlign w:val="center"/>
                </w:tcPr>
                <w:p w14:paraId="780A1617">
                  <w:pPr>
                    <w:pStyle w:val="101"/>
                    <w:rPr>
                      <w:color w:val="auto"/>
                      <w:highlight w:val="none"/>
                    </w:rPr>
                  </w:pPr>
                </w:p>
              </w:tc>
              <w:tc>
                <w:tcPr>
                  <w:tcW w:w="0" w:type="auto"/>
                  <w:vMerge w:val="continue"/>
                  <w:vAlign w:val="center"/>
                </w:tcPr>
                <w:p w14:paraId="741F9682">
                  <w:pPr>
                    <w:pStyle w:val="101"/>
                    <w:rPr>
                      <w:color w:val="auto"/>
                      <w:highlight w:val="none"/>
                    </w:rPr>
                  </w:pPr>
                </w:p>
              </w:tc>
              <w:tc>
                <w:tcPr>
                  <w:tcW w:w="0" w:type="auto"/>
                  <w:vMerge w:val="continue"/>
                  <w:vAlign w:val="center"/>
                </w:tcPr>
                <w:p w14:paraId="7D6933AE">
                  <w:pPr>
                    <w:pStyle w:val="101"/>
                    <w:rPr>
                      <w:color w:val="auto"/>
                      <w:highlight w:val="none"/>
                    </w:rPr>
                  </w:pPr>
                </w:p>
              </w:tc>
              <w:tc>
                <w:tcPr>
                  <w:tcW w:w="0" w:type="auto"/>
                  <w:vMerge w:val="continue"/>
                  <w:vAlign w:val="center"/>
                </w:tcPr>
                <w:p w14:paraId="554E2D9E">
                  <w:pPr>
                    <w:pStyle w:val="101"/>
                    <w:rPr>
                      <w:color w:val="auto"/>
                      <w:highlight w:val="none"/>
                    </w:rPr>
                  </w:pPr>
                </w:p>
              </w:tc>
              <w:tc>
                <w:tcPr>
                  <w:tcW w:w="0" w:type="auto"/>
                  <w:vAlign w:val="center"/>
                </w:tcPr>
                <w:p w14:paraId="34AEDE4B">
                  <w:pPr>
                    <w:pStyle w:val="101"/>
                    <w:rPr>
                      <w:color w:val="auto"/>
                      <w:highlight w:val="none"/>
                    </w:rPr>
                  </w:pPr>
                  <w:r>
                    <w:rPr>
                      <w:color w:val="auto"/>
                      <w:highlight w:val="none"/>
                    </w:rPr>
                    <w:t>核算</w:t>
                  </w:r>
                </w:p>
                <w:p w14:paraId="0F863CFC">
                  <w:pPr>
                    <w:pStyle w:val="101"/>
                    <w:rPr>
                      <w:color w:val="auto"/>
                      <w:highlight w:val="none"/>
                    </w:rPr>
                  </w:pPr>
                  <w:r>
                    <w:rPr>
                      <w:color w:val="auto"/>
                      <w:highlight w:val="none"/>
                    </w:rPr>
                    <w:t>方法</w:t>
                  </w:r>
                </w:p>
              </w:tc>
              <w:tc>
                <w:tcPr>
                  <w:tcW w:w="0" w:type="auto"/>
                  <w:vAlign w:val="center"/>
                </w:tcPr>
                <w:p w14:paraId="45704956">
                  <w:pPr>
                    <w:pStyle w:val="101"/>
                    <w:rPr>
                      <w:color w:val="auto"/>
                      <w:highlight w:val="none"/>
                    </w:rPr>
                  </w:pPr>
                  <w:r>
                    <w:rPr>
                      <w:color w:val="auto"/>
                      <w:highlight w:val="none"/>
                    </w:rPr>
                    <w:t>产生量</w:t>
                  </w:r>
                </w:p>
                <w:p w14:paraId="40EA432D">
                  <w:pPr>
                    <w:pStyle w:val="101"/>
                    <w:rPr>
                      <w:color w:val="auto"/>
                      <w:highlight w:val="none"/>
                    </w:rPr>
                  </w:pPr>
                  <w:r>
                    <w:rPr>
                      <w:color w:val="auto"/>
                      <w:highlight w:val="none"/>
                    </w:rPr>
                    <w:t>（t/a）</w:t>
                  </w:r>
                </w:p>
              </w:tc>
              <w:tc>
                <w:tcPr>
                  <w:tcW w:w="0" w:type="auto"/>
                  <w:vAlign w:val="center"/>
                </w:tcPr>
                <w:p w14:paraId="08DA9DDC">
                  <w:pPr>
                    <w:pStyle w:val="101"/>
                    <w:rPr>
                      <w:color w:val="auto"/>
                      <w:highlight w:val="none"/>
                    </w:rPr>
                  </w:pPr>
                  <w:r>
                    <w:rPr>
                      <w:color w:val="auto"/>
                      <w:highlight w:val="none"/>
                    </w:rPr>
                    <w:t>工艺</w:t>
                  </w:r>
                </w:p>
              </w:tc>
              <w:tc>
                <w:tcPr>
                  <w:tcW w:w="0" w:type="auto"/>
                  <w:vAlign w:val="center"/>
                </w:tcPr>
                <w:p w14:paraId="5FA14364">
                  <w:pPr>
                    <w:pStyle w:val="101"/>
                    <w:rPr>
                      <w:color w:val="auto"/>
                      <w:highlight w:val="none"/>
                    </w:rPr>
                  </w:pPr>
                  <w:r>
                    <w:rPr>
                      <w:color w:val="auto"/>
                      <w:highlight w:val="none"/>
                    </w:rPr>
                    <w:t>处置量</w:t>
                  </w:r>
                </w:p>
                <w:p w14:paraId="56A3D6D0">
                  <w:pPr>
                    <w:pStyle w:val="101"/>
                    <w:rPr>
                      <w:color w:val="auto"/>
                      <w:highlight w:val="none"/>
                    </w:rPr>
                  </w:pPr>
                  <w:r>
                    <w:rPr>
                      <w:color w:val="auto"/>
                      <w:highlight w:val="none"/>
                    </w:rPr>
                    <w:t>（t/a）</w:t>
                  </w:r>
                </w:p>
              </w:tc>
              <w:tc>
                <w:tcPr>
                  <w:tcW w:w="0" w:type="auto"/>
                  <w:vMerge w:val="continue"/>
                  <w:vAlign w:val="center"/>
                </w:tcPr>
                <w:p w14:paraId="67C8150D">
                  <w:pPr>
                    <w:pStyle w:val="101"/>
                    <w:rPr>
                      <w:color w:val="auto"/>
                      <w:highlight w:val="none"/>
                    </w:rPr>
                  </w:pPr>
                </w:p>
              </w:tc>
            </w:tr>
            <w:tr w14:paraId="24B062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376BF1E0">
                  <w:pPr>
                    <w:pStyle w:val="101"/>
                    <w:rPr>
                      <w:color w:val="auto"/>
                      <w:highlight w:val="none"/>
                    </w:rPr>
                  </w:pPr>
                  <w:r>
                    <w:rPr>
                      <w:rFonts w:hint="eastAsia"/>
                      <w:color w:val="auto"/>
                      <w:highlight w:val="none"/>
                    </w:rPr>
                    <w:t>废气处理</w:t>
                  </w:r>
                </w:p>
              </w:tc>
              <w:tc>
                <w:tcPr>
                  <w:tcW w:w="0" w:type="auto"/>
                  <w:vAlign w:val="center"/>
                </w:tcPr>
                <w:p w14:paraId="4A2EBAB6">
                  <w:pPr>
                    <w:pStyle w:val="101"/>
                    <w:rPr>
                      <w:color w:val="auto"/>
                      <w:highlight w:val="none"/>
                    </w:rPr>
                  </w:pPr>
                  <w:r>
                    <w:rPr>
                      <w:rFonts w:hint="eastAsia"/>
                      <w:color w:val="auto"/>
                      <w:highlight w:val="none"/>
                    </w:rPr>
                    <w:t>活性炭吸附装置</w:t>
                  </w:r>
                </w:p>
              </w:tc>
              <w:tc>
                <w:tcPr>
                  <w:tcW w:w="0" w:type="auto"/>
                  <w:vAlign w:val="center"/>
                </w:tcPr>
                <w:p w14:paraId="520BB6A6">
                  <w:pPr>
                    <w:pStyle w:val="101"/>
                    <w:rPr>
                      <w:color w:val="auto"/>
                      <w:highlight w:val="none"/>
                    </w:rPr>
                  </w:pPr>
                  <w:r>
                    <w:rPr>
                      <w:rFonts w:hint="eastAsia"/>
                      <w:color w:val="auto"/>
                      <w:highlight w:val="none"/>
                    </w:rPr>
                    <w:t>废活性炭</w:t>
                  </w:r>
                </w:p>
              </w:tc>
              <w:tc>
                <w:tcPr>
                  <w:tcW w:w="0" w:type="auto"/>
                  <w:vAlign w:val="center"/>
                </w:tcPr>
                <w:p w14:paraId="07C36EAC">
                  <w:pPr>
                    <w:pStyle w:val="101"/>
                    <w:rPr>
                      <w:color w:val="auto"/>
                      <w:highlight w:val="none"/>
                    </w:rPr>
                  </w:pPr>
                  <w:r>
                    <w:rPr>
                      <w:color w:val="auto"/>
                      <w:highlight w:val="none"/>
                    </w:rPr>
                    <w:t>危险废物</w:t>
                  </w:r>
                </w:p>
              </w:tc>
              <w:tc>
                <w:tcPr>
                  <w:tcW w:w="0" w:type="auto"/>
                  <w:vAlign w:val="center"/>
                </w:tcPr>
                <w:p w14:paraId="610D0B40">
                  <w:pPr>
                    <w:pStyle w:val="101"/>
                    <w:rPr>
                      <w:color w:val="auto"/>
                      <w:highlight w:val="none"/>
                    </w:rPr>
                  </w:pPr>
                  <w:r>
                    <w:rPr>
                      <w:color w:val="auto"/>
                      <w:highlight w:val="none"/>
                    </w:rPr>
                    <w:t>类比法</w:t>
                  </w:r>
                </w:p>
              </w:tc>
              <w:tc>
                <w:tcPr>
                  <w:tcW w:w="0" w:type="auto"/>
                  <w:vAlign w:val="center"/>
                </w:tcPr>
                <w:p w14:paraId="298A89EB">
                  <w:pPr>
                    <w:pStyle w:val="101"/>
                    <w:rPr>
                      <w:rFonts w:hint="eastAsia" w:eastAsia="宋体"/>
                      <w:color w:val="auto"/>
                      <w:highlight w:val="none"/>
                      <w:lang w:eastAsia="zh-CN"/>
                    </w:rPr>
                  </w:pPr>
                  <w:r>
                    <w:rPr>
                      <w:rFonts w:hint="eastAsia"/>
                      <w:color w:val="auto"/>
                      <w:highlight w:val="none"/>
                      <w:lang w:eastAsia="zh-CN"/>
                    </w:rPr>
                    <w:t>3.45</w:t>
                  </w:r>
                </w:p>
              </w:tc>
              <w:tc>
                <w:tcPr>
                  <w:tcW w:w="0" w:type="auto"/>
                  <w:vAlign w:val="center"/>
                </w:tcPr>
                <w:p w14:paraId="7858777E">
                  <w:pPr>
                    <w:pStyle w:val="101"/>
                    <w:rPr>
                      <w:color w:val="auto"/>
                      <w:highlight w:val="none"/>
                    </w:rPr>
                  </w:pPr>
                  <w:r>
                    <w:rPr>
                      <w:color w:val="auto"/>
                      <w:highlight w:val="none"/>
                    </w:rPr>
                    <w:t>暂存在危废暂存间</w:t>
                  </w:r>
                  <w:r>
                    <w:rPr>
                      <w:rFonts w:hint="eastAsia"/>
                      <w:color w:val="auto"/>
                      <w:highlight w:val="none"/>
                      <w:lang w:eastAsia="zh-CN"/>
                    </w:rPr>
                    <w:t>，</w:t>
                  </w:r>
                  <w:r>
                    <w:rPr>
                      <w:color w:val="auto"/>
                      <w:highlight w:val="none"/>
                    </w:rPr>
                    <w:t>委托有资质单位处置</w:t>
                  </w:r>
                </w:p>
              </w:tc>
              <w:tc>
                <w:tcPr>
                  <w:tcW w:w="0" w:type="auto"/>
                  <w:vAlign w:val="center"/>
                </w:tcPr>
                <w:p w14:paraId="03E0C980">
                  <w:pPr>
                    <w:pStyle w:val="101"/>
                    <w:rPr>
                      <w:rFonts w:hint="eastAsia" w:eastAsia="宋体"/>
                      <w:color w:val="auto"/>
                      <w:highlight w:val="none"/>
                      <w:lang w:eastAsia="zh-CN"/>
                    </w:rPr>
                  </w:pPr>
                  <w:r>
                    <w:rPr>
                      <w:rFonts w:hint="eastAsia"/>
                      <w:color w:val="auto"/>
                      <w:highlight w:val="none"/>
                      <w:lang w:eastAsia="zh-CN"/>
                    </w:rPr>
                    <w:t>3.45</w:t>
                  </w:r>
                </w:p>
              </w:tc>
              <w:tc>
                <w:tcPr>
                  <w:tcW w:w="0" w:type="auto"/>
                  <w:vAlign w:val="center"/>
                </w:tcPr>
                <w:p w14:paraId="6D12AAD5">
                  <w:pPr>
                    <w:pStyle w:val="101"/>
                    <w:rPr>
                      <w:color w:val="auto"/>
                      <w:highlight w:val="none"/>
                    </w:rPr>
                  </w:pPr>
                  <w:r>
                    <w:rPr>
                      <w:color w:val="auto"/>
                      <w:highlight w:val="none"/>
                    </w:rPr>
                    <w:t>暂存在危废暂存间</w:t>
                  </w:r>
                  <w:r>
                    <w:rPr>
                      <w:rFonts w:hint="eastAsia"/>
                      <w:color w:val="auto"/>
                      <w:highlight w:val="none"/>
                      <w:lang w:eastAsia="zh-CN"/>
                    </w:rPr>
                    <w:t>，</w:t>
                  </w:r>
                  <w:r>
                    <w:rPr>
                      <w:color w:val="auto"/>
                      <w:highlight w:val="none"/>
                    </w:rPr>
                    <w:t>委托有资质单位处置</w:t>
                  </w:r>
                </w:p>
              </w:tc>
            </w:tr>
            <w:tr w14:paraId="7B4AE0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0" w:type="auto"/>
                  <w:vAlign w:val="center"/>
                </w:tcPr>
                <w:p w14:paraId="1CFB1229">
                  <w:pPr>
                    <w:pStyle w:val="101"/>
                    <w:rPr>
                      <w:color w:val="auto"/>
                      <w:highlight w:val="none"/>
                    </w:rPr>
                  </w:pPr>
                  <w:r>
                    <w:rPr>
                      <w:color w:val="auto"/>
                      <w:highlight w:val="none"/>
                    </w:rPr>
                    <w:t>职工</w:t>
                  </w:r>
                </w:p>
              </w:tc>
              <w:tc>
                <w:tcPr>
                  <w:tcW w:w="0" w:type="auto"/>
                  <w:vAlign w:val="center"/>
                </w:tcPr>
                <w:p w14:paraId="784DC46A">
                  <w:pPr>
                    <w:pStyle w:val="101"/>
                    <w:rPr>
                      <w:color w:val="auto"/>
                      <w:highlight w:val="none"/>
                    </w:rPr>
                  </w:pPr>
                  <w:r>
                    <w:rPr>
                      <w:rFonts w:hint="eastAsia"/>
                      <w:color w:val="auto"/>
                      <w:highlight w:val="none"/>
                    </w:rPr>
                    <w:t>工作</w:t>
                  </w:r>
                </w:p>
              </w:tc>
              <w:tc>
                <w:tcPr>
                  <w:tcW w:w="0" w:type="auto"/>
                  <w:vAlign w:val="center"/>
                </w:tcPr>
                <w:p w14:paraId="5A719A7C">
                  <w:pPr>
                    <w:pStyle w:val="101"/>
                    <w:rPr>
                      <w:color w:val="auto"/>
                      <w:highlight w:val="none"/>
                    </w:rPr>
                  </w:pPr>
                  <w:r>
                    <w:rPr>
                      <w:color w:val="auto"/>
                      <w:highlight w:val="none"/>
                    </w:rPr>
                    <w:t>生活垃圾</w:t>
                  </w:r>
                </w:p>
              </w:tc>
              <w:tc>
                <w:tcPr>
                  <w:tcW w:w="0" w:type="auto"/>
                  <w:vAlign w:val="center"/>
                </w:tcPr>
                <w:p w14:paraId="672627DB">
                  <w:pPr>
                    <w:pStyle w:val="101"/>
                    <w:rPr>
                      <w:color w:val="auto"/>
                      <w:highlight w:val="none"/>
                    </w:rPr>
                  </w:pPr>
                  <w:r>
                    <w:rPr>
                      <w:color w:val="auto"/>
                      <w:highlight w:val="none"/>
                    </w:rPr>
                    <w:t>生活垃圾</w:t>
                  </w:r>
                </w:p>
              </w:tc>
              <w:tc>
                <w:tcPr>
                  <w:tcW w:w="0" w:type="auto"/>
                  <w:vAlign w:val="center"/>
                </w:tcPr>
                <w:p w14:paraId="3C61120E">
                  <w:pPr>
                    <w:pStyle w:val="101"/>
                    <w:rPr>
                      <w:color w:val="auto"/>
                      <w:highlight w:val="none"/>
                    </w:rPr>
                  </w:pPr>
                  <w:r>
                    <w:rPr>
                      <w:color w:val="auto"/>
                      <w:highlight w:val="none"/>
                    </w:rPr>
                    <w:t>产污系数法</w:t>
                  </w:r>
                </w:p>
              </w:tc>
              <w:tc>
                <w:tcPr>
                  <w:tcW w:w="0" w:type="auto"/>
                  <w:vAlign w:val="center"/>
                </w:tcPr>
                <w:p w14:paraId="0CE04731">
                  <w:pPr>
                    <w:pStyle w:val="101"/>
                    <w:rPr>
                      <w:rFonts w:hint="default" w:eastAsia="宋体"/>
                      <w:color w:val="auto"/>
                      <w:highlight w:val="none"/>
                      <w:lang w:val="en-US" w:eastAsia="zh-CN"/>
                    </w:rPr>
                  </w:pPr>
                  <w:r>
                    <w:rPr>
                      <w:rFonts w:hint="eastAsia"/>
                      <w:color w:val="auto"/>
                      <w:highlight w:val="none"/>
                      <w:lang w:val="en-US" w:eastAsia="zh-CN"/>
                    </w:rPr>
                    <w:t>0.9</w:t>
                  </w:r>
                </w:p>
              </w:tc>
              <w:tc>
                <w:tcPr>
                  <w:tcW w:w="0" w:type="auto"/>
                  <w:vAlign w:val="center"/>
                </w:tcPr>
                <w:p w14:paraId="715DF1E2">
                  <w:pPr>
                    <w:pStyle w:val="101"/>
                    <w:rPr>
                      <w:color w:val="auto"/>
                      <w:highlight w:val="none"/>
                    </w:rPr>
                  </w:pPr>
                  <w:r>
                    <w:rPr>
                      <w:color w:val="auto"/>
                      <w:highlight w:val="none"/>
                    </w:rPr>
                    <w:t>由环卫部门统一处置</w:t>
                  </w:r>
                </w:p>
              </w:tc>
              <w:tc>
                <w:tcPr>
                  <w:tcW w:w="0" w:type="auto"/>
                  <w:vAlign w:val="center"/>
                </w:tcPr>
                <w:p w14:paraId="328D3E9F">
                  <w:pPr>
                    <w:pStyle w:val="101"/>
                    <w:rPr>
                      <w:rFonts w:hint="default" w:eastAsia="宋体"/>
                      <w:color w:val="auto"/>
                      <w:highlight w:val="none"/>
                      <w:lang w:val="en-US" w:eastAsia="zh-CN"/>
                    </w:rPr>
                  </w:pPr>
                  <w:r>
                    <w:rPr>
                      <w:rFonts w:hint="eastAsia"/>
                      <w:color w:val="auto"/>
                      <w:highlight w:val="none"/>
                      <w:lang w:val="en-US" w:eastAsia="zh-CN"/>
                    </w:rPr>
                    <w:t>0.9</w:t>
                  </w:r>
                </w:p>
              </w:tc>
              <w:tc>
                <w:tcPr>
                  <w:tcW w:w="0" w:type="auto"/>
                  <w:vAlign w:val="center"/>
                </w:tcPr>
                <w:p w14:paraId="05CB88E0">
                  <w:pPr>
                    <w:pStyle w:val="101"/>
                    <w:rPr>
                      <w:color w:val="auto"/>
                      <w:highlight w:val="none"/>
                    </w:rPr>
                  </w:pPr>
                  <w:r>
                    <w:rPr>
                      <w:color w:val="auto"/>
                      <w:highlight w:val="none"/>
                    </w:rPr>
                    <w:t>由环卫部门</w:t>
                  </w:r>
                  <w:r>
                    <w:rPr>
                      <w:rFonts w:hint="eastAsia"/>
                      <w:color w:val="auto"/>
                      <w:highlight w:val="none"/>
                    </w:rPr>
                    <w:t>清运至垃圾填埋场填埋处置</w:t>
                  </w:r>
                </w:p>
              </w:tc>
            </w:tr>
          </w:tbl>
          <w:p w14:paraId="50A0A603">
            <w:pPr>
              <w:pStyle w:val="114"/>
              <w:rPr>
                <w:color w:val="auto"/>
                <w:highlight w:val="none"/>
              </w:rPr>
            </w:pPr>
            <w:r>
              <w:rPr>
                <w:color w:val="auto"/>
                <w:highlight w:val="none"/>
              </w:rPr>
              <w:t>表4-11  危险废物汇总表</w:t>
            </w:r>
          </w:p>
          <w:tbl>
            <w:tblPr>
              <w:tblStyle w:val="43"/>
              <w:tblW w:w="0" w:type="auto"/>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48"/>
              <w:gridCol w:w="655"/>
              <w:gridCol w:w="713"/>
              <w:gridCol w:w="1056"/>
              <w:gridCol w:w="692"/>
              <w:gridCol w:w="706"/>
              <w:gridCol w:w="448"/>
              <w:gridCol w:w="551"/>
              <w:gridCol w:w="551"/>
              <w:gridCol w:w="551"/>
              <w:gridCol w:w="540"/>
              <w:gridCol w:w="1508"/>
            </w:tblGrid>
            <w:tr w14:paraId="3952D5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1021" w:hRule="atLeast"/>
                <w:jc w:val="center"/>
              </w:trPr>
              <w:tc>
                <w:tcPr>
                  <w:tcW w:w="0" w:type="auto"/>
                  <w:tcBorders>
                    <w:tl2br w:val="nil"/>
                    <w:tr2bl w:val="nil"/>
                  </w:tcBorders>
                  <w:vAlign w:val="center"/>
                </w:tcPr>
                <w:p w14:paraId="15FBC53C">
                  <w:pPr>
                    <w:topLinePunct/>
                    <w:adjustRightInd w:val="0"/>
                    <w:snapToGrid w:val="0"/>
                    <w:jc w:val="center"/>
                    <w:rPr>
                      <w:color w:val="auto"/>
                      <w:kern w:val="0"/>
                      <w:sz w:val="18"/>
                      <w:szCs w:val="18"/>
                      <w:highlight w:val="none"/>
                    </w:rPr>
                  </w:pPr>
                  <w:r>
                    <w:rPr>
                      <w:color w:val="auto"/>
                      <w:kern w:val="0"/>
                      <w:sz w:val="18"/>
                      <w:szCs w:val="18"/>
                      <w:highlight w:val="none"/>
                    </w:rPr>
                    <w:t>序号</w:t>
                  </w:r>
                </w:p>
              </w:tc>
              <w:tc>
                <w:tcPr>
                  <w:tcW w:w="0" w:type="auto"/>
                  <w:tcBorders>
                    <w:tl2br w:val="nil"/>
                    <w:tr2bl w:val="nil"/>
                  </w:tcBorders>
                  <w:vAlign w:val="center"/>
                </w:tcPr>
                <w:p w14:paraId="5BABB838">
                  <w:pPr>
                    <w:topLinePunct/>
                    <w:adjustRightInd w:val="0"/>
                    <w:snapToGrid w:val="0"/>
                    <w:jc w:val="center"/>
                    <w:rPr>
                      <w:color w:val="auto"/>
                      <w:kern w:val="0"/>
                      <w:sz w:val="18"/>
                      <w:szCs w:val="18"/>
                      <w:highlight w:val="none"/>
                    </w:rPr>
                  </w:pPr>
                  <w:r>
                    <w:rPr>
                      <w:color w:val="auto"/>
                      <w:kern w:val="0"/>
                      <w:sz w:val="18"/>
                      <w:szCs w:val="18"/>
                      <w:highlight w:val="none"/>
                    </w:rPr>
                    <w:t>危险废物名称</w:t>
                  </w:r>
                </w:p>
              </w:tc>
              <w:tc>
                <w:tcPr>
                  <w:tcW w:w="0" w:type="auto"/>
                  <w:tcBorders>
                    <w:tl2br w:val="nil"/>
                    <w:tr2bl w:val="nil"/>
                  </w:tcBorders>
                  <w:vAlign w:val="center"/>
                </w:tcPr>
                <w:p w14:paraId="73FF66C7">
                  <w:pPr>
                    <w:topLinePunct/>
                    <w:adjustRightInd w:val="0"/>
                    <w:snapToGrid w:val="0"/>
                    <w:jc w:val="center"/>
                    <w:rPr>
                      <w:color w:val="auto"/>
                      <w:kern w:val="0"/>
                      <w:sz w:val="18"/>
                      <w:szCs w:val="18"/>
                      <w:highlight w:val="none"/>
                    </w:rPr>
                  </w:pPr>
                  <w:r>
                    <w:rPr>
                      <w:color w:val="auto"/>
                      <w:kern w:val="0"/>
                      <w:sz w:val="18"/>
                      <w:szCs w:val="18"/>
                      <w:highlight w:val="none"/>
                    </w:rPr>
                    <w:t>危险废</w:t>
                  </w:r>
                </w:p>
                <w:p w14:paraId="62726938">
                  <w:pPr>
                    <w:topLinePunct/>
                    <w:adjustRightInd w:val="0"/>
                    <w:snapToGrid w:val="0"/>
                    <w:jc w:val="center"/>
                    <w:rPr>
                      <w:color w:val="auto"/>
                      <w:kern w:val="0"/>
                      <w:sz w:val="18"/>
                      <w:szCs w:val="18"/>
                      <w:highlight w:val="none"/>
                    </w:rPr>
                  </w:pPr>
                  <w:r>
                    <w:rPr>
                      <w:color w:val="auto"/>
                      <w:kern w:val="0"/>
                      <w:sz w:val="18"/>
                      <w:szCs w:val="18"/>
                      <w:highlight w:val="none"/>
                    </w:rPr>
                    <w:t>物类别</w:t>
                  </w:r>
                </w:p>
              </w:tc>
              <w:tc>
                <w:tcPr>
                  <w:tcW w:w="0" w:type="auto"/>
                  <w:tcBorders>
                    <w:tl2br w:val="nil"/>
                    <w:tr2bl w:val="nil"/>
                  </w:tcBorders>
                  <w:vAlign w:val="center"/>
                </w:tcPr>
                <w:p w14:paraId="252C9178">
                  <w:pPr>
                    <w:topLinePunct/>
                    <w:adjustRightInd w:val="0"/>
                    <w:snapToGrid w:val="0"/>
                    <w:jc w:val="center"/>
                    <w:rPr>
                      <w:color w:val="auto"/>
                      <w:kern w:val="0"/>
                      <w:sz w:val="18"/>
                      <w:szCs w:val="18"/>
                      <w:highlight w:val="none"/>
                    </w:rPr>
                  </w:pPr>
                  <w:r>
                    <w:rPr>
                      <w:color w:val="auto"/>
                      <w:kern w:val="0"/>
                      <w:sz w:val="18"/>
                      <w:szCs w:val="18"/>
                      <w:highlight w:val="none"/>
                    </w:rPr>
                    <w:t>危险废</w:t>
                  </w:r>
                </w:p>
                <w:p w14:paraId="67A0046D">
                  <w:pPr>
                    <w:topLinePunct/>
                    <w:adjustRightInd w:val="0"/>
                    <w:snapToGrid w:val="0"/>
                    <w:jc w:val="center"/>
                    <w:rPr>
                      <w:color w:val="auto"/>
                      <w:kern w:val="0"/>
                      <w:sz w:val="18"/>
                      <w:szCs w:val="18"/>
                      <w:highlight w:val="none"/>
                    </w:rPr>
                  </w:pPr>
                  <w:r>
                    <w:rPr>
                      <w:color w:val="auto"/>
                      <w:kern w:val="0"/>
                      <w:sz w:val="18"/>
                      <w:szCs w:val="18"/>
                      <w:highlight w:val="none"/>
                    </w:rPr>
                    <w:t>物代码</w:t>
                  </w:r>
                </w:p>
              </w:tc>
              <w:tc>
                <w:tcPr>
                  <w:tcW w:w="0" w:type="auto"/>
                  <w:tcBorders>
                    <w:tl2br w:val="nil"/>
                    <w:tr2bl w:val="nil"/>
                  </w:tcBorders>
                  <w:vAlign w:val="center"/>
                </w:tcPr>
                <w:p w14:paraId="07F5FF48">
                  <w:pPr>
                    <w:topLinePunct/>
                    <w:adjustRightInd w:val="0"/>
                    <w:snapToGrid w:val="0"/>
                    <w:jc w:val="center"/>
                    <w:rPr>
                      <w:color w:val="auto"/>
                      <w:kern w:val="0"/>
                      <w:sz w:val="18"/>
                      <w:szCs w:val="18"/>
                      <w:highlight w:val="none"/>
                    </w:rPr>
                  </w:pPr>
                  <w:r>
                    <w:rPr>
                      <w:color w:val="auto"/>
                      <w:kern w:val="0"/>
                      <w:sz w:val="18"/>
                      <w:szCs w:val="18"/>
                      <w:highlight w:val="none"/>
                    </w:rPr>
                    <w:t>产生量</w:t>
                  </w:r>
                </w:p>
                <w:p w14:paraId="1A91C52C">
                  <w:pPr>
                    <w:topLinePunct/>
                    <w:adjustRightInd w:val="0"/>
                    <w:snapToGrid w:val="0"/>
                    <w:jc w:val="center"/>
                    <w:rPr>
                      <w:color w:val="auto"/>
                      <w:kern w:val="0"/>
                      <w:sz w:val="18"/>
                      <w:szCs w:val="18"/>
                      <w:highlight w:val="none"/>
                    </w:rPr>
                  </w:pPr>
                  <w:r>
                    <w:rPr>
                      <w:color w:val="auto"/>
                      <w:kern w:val="0"/>
                      <w:sz w:val="18"/>
                      <w:szCs w:val="18"/>
                      <w:highlight w:val="none"/>
                    </w:rPr>
                    <w:t>（t/a）</w:t>
                  </w:r>
                </w:p>
              </w:tc>
              <w:tc>
                <w:tcPr>
                  <w:tcW w:w="0" w:type="auto"/>
                  <w:tcBorders>
                    <w:tl2br w:val="nil"/>
                    <w:tr2bl w:val="nil"/>
                  </w:tcBorders>
                  <w:vAlign w:val="center"/>
                </w:tcPr>
                <w:p w14:paraId="1E74E5B1">
                  <w:pPr>
                    <w:topLinePunct/>
                    <w:adjustRightInd w:val="0"/>
                    <w:snapToGrid w:val="0"/>
                    <w:jc w:val="center"/>
                    <w:rPr>
                      <w:color w:val="auto"/>
                      <w:kern w:val="0"/>
                      <w:sz w:val="18"/>
                      <w:szCs w:val="18"/>
                      <w:highlight w:val="none"/>
                    </w:rPr>
                  </w:pPr>
                  <w:r>
                    <w:rPr>
                      <w:color w:val="auto"/>
                      <w:kern w:val="0"/>
                      <w:sz w:val="18"/>
                      <w:szCs w:val="18"/>
                      <w:highlight w:val="none"/>
                    </w:rPr>
                    <w:t>产生工序及装置</w:t>
                  </w:r>
                </w:p>
              </w:tc>
              <w:tc>
                <w:tcPr>
                  <w:tcW w:w="0" w:type="auto"/>
                  <w:tcBorders>
                    <w:tl2br w:val="nil"/>
                    <w:tr2bl w:val="nil"/>
                  </w:tcBorders>
                  <w:vAlign w:val="center"/>
                </w:tcPr>
                <w:p w14:paraId="46587DAF">
                  <w:pPr>
                    <w:topLinePunct/>
                    <w:adjustRightInd w:val="0"/>
                    <w:snapToGrid w:val="0"/>
                    <w:jc w:val="center"/>
                    <w:rPr>
                      <w:color w:val="auto"/>
                      <w:kern w:val="0"/>
                      <w:sz w:val="18"/>
                      <w:szCs w:val="18"/>
                      <w:highlight w:val="none"/>
                    </w:rPr>
                  </w:pPr>
                  <w:r>
                    <w:rPr>
                      <w:color w:val="auto"/>
                      <w:kern w:val="0"/>
                      <w:sz w:val="18"/>
                      <w:szCs w:val="18"/>
                      <w:highlight w:val="none"/>
                    </w:rPr>
                    <w:t>形态</w:t>
                  </w:r>
                </w:p>
              </w:tc>
              <w:tc>
                <w:tcPr>
                  <w:tcW w:w="0" w:type="auto"/>
                  <w:tcBorders>
                    <w:tl2br w:val="nil"/>
                    <w:tr2bl w:val="nil"/>
                  </w:tcBorders>
                  <w:vAlign w:val="center"/>
                </w:tcPr>
                <w:p w14:paraId="54B8C6E8">
                  <w:pPr>
                    <w:topLinePunct/>
                    <w:adjustRightInd w:val="0"/>
                    <w:snapToGrid w:val="0"/>
                    <w:jc w:val="center"/>
                    <w:rPr>
                      <w:color w:val="auto"/>
                      <w:kern w:val="0"/>
                      <w:sz w:val="18"/>
                      <w:szCs w:val="18"/>
                      <w:highlight w:val="none"/>
                    </w:rPr>
                  </w:pPr>
                  <w:r>
                    <w:rPr>
                      <w:color w:val="auto"/>
                      <w:kern w:val="0"/>
                      <w:sz w:val="18"/>
                      <w:szCs w:val="18"/>
                      <w:highlight w:val="none"/>
                    </w:rPr>
                    <w:t>主要</w:t>
                  </w:r>
                </w:p>
                <w:p w14:paraId="433D828D">
                  <w:pPr>
                    <w:topLinePunct/>
                    <w:adjustRightInd w:val="0"/>
                    <w:snapToGrid w:val="0"/>
                    <w:jc w:val="center"/>
                    <w:rPr>
                      <w:color w:val="auto"/>
                      <w:kern w:val="0"/>
                      <w:sz w:val="18"/>
                      <w:szCs w:val="18"/>
                      <w:highlight w:val="none"/>
                    </w:rPr>
                  </w:pPr>
                  <w:r>
                    <w:rPr>
                      <w:color w:val="auto"/>
                      <w:kern w:val="0"/>
                      <w:sz w:val="18"/>
                      <w:szCs w:val="18"/>
                      <w:highlight w:val="none"/>
                    </w:rPr>
                    <w:t>成分</w:t>
                  </w:r>
                </w:p>
              </w:tc>
              <w:tc>
                <w:tcPr>
                  <w:tcW w:w="0" w:type="auto"/>
                  <w:tcBorders>
                    <w:tl2br w:val="nil"/>
                    <w:tr2bl w:val="nil"/>
                  </w:tcBorders>
                  <w:vAlign w:val="center"/>
                </w:tcPr>
                <w:p w14:paraId="2DA46C8A">
                  <w:pPr>
                    <w:topLinePunct/>
                    <w:adjustRightInd w:val="0"/>
                    <w:snapToGrid w:val="0"/>
                    <w:jc w:val="center"/>
                    <w:rPr>
                      <w:color w:val="auto"/>
                      <w:kern w:val="0"/>
                      <w:sz w:val="18"/>
                      <w:szCs w:val="18"/>
                      <w:highlight w:val="none"/>
                    </w:rPr>
                  </w:pPr>
                  <w:r>
                    <w:rPr>
                      <w:color w:val="auto"/>
                      <w:kern w:val="0"/>
                      <w:sz w:val="18"/>
                      <w:szCs w:val="18"/>
                      <w:highlight w:val="none"/>
                    </w:rPr>
                    <w:t>有害成分</w:t>
                  </w:r>
                </w:p>
              </w:tc>
              <w:tc>
                <w:tcPr>
                  <w:tcW w:w="0" w:type="auto"/>
                  <w:tcBorders>
                    <w:tl2br w:val="nil"/>
                    <w:tr2bl w:val="nil"/>
                  </w:tcBorders>
                  <w:vAlign w:val="center"/>
                </w:tcPr>
                <w:p w14:paraId="2DF58A27">
                  <w:pPr>
                    <w:topLinePunct/>
                    <w:adjustRightInd w:val="0"/>
                    <w:snapToGrid w:val="0"/>
                    <w:jc w:val="center"/>
                    <w:rPr>
                      <w:color w:val="auto"/>
                      <w:kern w:val="0"/>
                      <w:sz w:val="18"/>
                      <w:szCs w:val="18"/>
                      <w:highlight w:val="none"/>
                    </w:rPr>
                  </w:pPr>
                  <w:r>
                    <w:rPr>
                      <w:color w:val="auto"/>
                      <w:kern w:val="0"/>
                      <w:sz w:val="18"/>
                      <w:szCs w:val="18"/>
                      <w:highlight w:val="none"/>
                    </w:rPr>
                    <w:t>产废周期</w:t>
                  </w:r>
                </w:p>
              </w:tc>
              <w:tc>
                <w:tcPr>
                  <w:tcW w:w="0" w:type="auto"/>
                  <w:tcBorders>
                    <w:tl2br w:val="nil"/>
                    <w:tr2bl w:val="nil"/>
                  </w:tcBorders>
                  <w:vAlign w:val="center"/>
                </w:tcPr>
                <w:p w14:paraId="2F9ACF55">
                  <w:pPr>
                    <w:topLinePunct/>
                    <w:adjustRightInd w:val="0"/>
                    <w:snapToGrid w:val="0"/>
                    <w:jc w:val="center"/>
                    <w:rPr>
                      <w:color w:val="auto"/>
                      <w:kern w:val="0"/>
                      <w:sz w:val="18"/>
                      <w:szCs w:val="18"/>
                      <w:highlight w:val="none"/>
                    </w:rPr>
                  </w:pPr>
                  <w:r>
                    <w:rPr>
                      <w:color w:val="auto"/>
                      <w:kern w:val="0"/>
                      <w:sz w:val="18"/>
                      <w:szCs w:val="18"/>
                      <w:highlight w:val="none"/>
                    </w:rPr>
                    <w:t>危险</w:t>
                  </w:r>
                </w:p>
                <w:p w14:paraId="7BD5457C">
                  <w:pPr>
                    <w:topLinePunct/>
                    <w:adjustRightInd w:val="0"/>
                    <w:snapToGrid w:val="0"/>
                    <w:jc w:val="center"/>
                    <w:rPr>
                      <w:color w:val="auto"/>
                      <w:kern w:val="0"/>
                      <w:sz w:val="18"/>
                      <w:szCs w:val="18"/>
                      <w:highlight w:val="none"/>
                    </w:rPr>
                  </w:pPr>
                  <w:r>
                    <w:rPr>
                      <w:color w:val="auto"/>
                      <w:kern w:val="0"/>
                      <w:sz w:val="18"/>
                      <w:szCs w:val="18"/>
                      <w:highlight w:val="none"/>
                    </w:rPr>
                    <w:t>特性</w:t>
                  </w:r>
                </w:p>
              </w:tc>
              <w:tc>
                <w:tcPr>
                  <w:tcW w:w="0" w:type="auto"/>
                  <w:tcBorders>
                    <w:tl2br w:val="nil"/>
                    <w:tr2bl w:val="nil"/>
                  </w:tcBorders>
                  <w:vAlign w:val="center"/>
                </w:tcPr>
                <w:p w14:paraId="011F1A80">
                  <w:pPr>
                    <w:topLinePunct/>
                    <w:adjustRightInd w:val="0"/>
                    <w:snapToGrid w:val="0"/>
                    <w:jc w:val="center"/>
                    <w:rPr>
                      <w:color w:val="auto"/>
                      <w:kern w:val="0"/>
                      <w:sz w:val="18"/>
                      <w:szCs w:val="18"/>
                      <w:highlight w:val="none"/>
                    </w:rPr>
                  </w:pPr>
                  <w:r>
                    <w:rPr>
                      <w:color w:val="auto"/>
                      <w:kern w:val="0"/>
                      <w:sz w:val="18"/>
                      <w:szCs w:val="18"/>
                      <w:highlight w:val="none"/>
                    </w:rPr>
                    <w:t>污染防治措施</w:t>
                  </w:r>
                </w:p>
              </w:tc>
            </w:tr>
            <w:tr w14:paraId="212C002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35" w:hRule="atLeast"/>
                <w:jc w:val="center"/>
              </w:trPr>
              <w:tc>
                <w:tcPr>
                  <w:tcW w:w="0" w:type="auto"/>
                  <w:tcBorders>
                    <w:tl2br w:val="nil"/>
                    <w:tr2bl w:val="nil"/>
                  </w:tcBorders>
                  <w:vAlign w:val="center"/>
                </w:tcPr>
                <w:p w14:paraId="1D0F71FC">
                  <w:pPr>
                    <w:topLinePunct/>
                    <w:adjustRightInd w:val="0"/>
                    <w:snapToGrid w:val="0"/>
                    <w:jc w:val="center"/>
                    <w:rPr>
                      <w:color w:val="auto"/>
                      <w:kern w:val="0"/>
                      <w:sz w:val="18"/>
                      <w:szCs w:val="18"/>
                      <w:highlight w:val="none"/>
                    </w:rPr>
                  </w:pPr>
                  <w:r>
                    <w:rPr>
                      <w:color w:val="auto"/>
                      <w:kern w:val="0"/>
                      <w:sz w:val="18"/>
                      <w:szCs w:val="18"/>
                      <w:highlight w:val="none"/>
                    </w:rPr>
                    <w:t>1</w:t>
                  </w:r>
                </w:p>
              </w:tc>
              <w:tc>
                <w:tcPr>
                  <w:tcW w:w="0" w:type="auto"/>
                  <w:tcBorders>
                    <w:tl2br w:val="nil"/>
                    <w:tr2bl w:val="nil"/>
                  </w:tcBorders>
                  <w:vAlign w:val="center"/>
                </w:tcPr>
                <w:p w14:paraId="26034B27">
                  <w:pPr>
                    <w:topLinePunct/>
                    <w:adjustRightInd w:val="0"/>
                    <w:snapToGrid w:val="0"/>
                    <w:jc w:val="center"/>
                    <w:rPr>
                      <w:bCs/>
                      <w:color w:val="auto"/>
                      <w:sz w:val="18"/>
                      <w:szCs w:val="18"/>
                      <w:highlight w:val="none"/>
                    </w:rPr>
                  </w:pPr>
                  <w:r>
                    <w:rPr>
                      <w:color w:val="auto"/>
                      <w:sz w:val="18"/>
                      <w:szCs w:val="18"/>
                      <w:highlight w:val="none"/>
                    </w:rPr>
                    <w:t>废活性炭</w:t>
                  </w:r>
                </w:p>
              </w:tc>
              <w:tc>
                <w:tcPr>
                  <w:tcW w:w="0" w:type="auto"/>
                  <w:tcBorders>
                    <w:tl2br w:val="nil"/>
                    <w:tr2bl w:val="nil"/>
                  </w:tcBorders>
                  <w:vAlign w:val="center"/>
                </w:tcPr>
                <w:p w14:paraId="1595FDC2">
                  <w:pPr>
                    <w:topLinePunct/>
                    <w:adjustRightInd w:val="0"/>
                    <w:snapToGrid w:val="0"/>
                    <w:jc w:val="center"/>
                    <w:rPr>
                      <w:color w:val="auto"/>
                      <w:sz w:val="18"/>
                      <w:szCs w:val="18"/>
                      <w:highlight w:val="none"/>
                    </w:rPr>
                  </w:pPr>
                  <w:r>
                    <w:rPr>
                      <w:color w:val="auto"/>
                      <w:sz w:val="18"/>
                      <w:szCs w:val="18"/>
                      <w:highlight w:val="none"/>
                    </w:rPr>
                    <w:t>HW49</w:t>
                  </w:r>
                </w:p>
              </w:tc>
              <w:tc>
                <w:tcPr>
                  <w:tcW w:w="0" w:type="auto"/>
                  <w:tcBorders>
                    <w:tl2br w:val="nil"/>
                    <w:tr2bl w:val="nil"/>
                  </w:tcBorders>
                  <w:vAlign w:val="center"/>
                </w:tcPr>
                <w:p w14:paraId="7CE6017A">
                  <w:pPr>
                    <w:topLinePunct/>
                    <w:adjustRightInd w:val="0"/>
                    <w:snapToGrid w:val="0"/>
                    <w:jc w:val="center"/>
                    <w:rPr>
                      <w:color w:val="auto"/>
                      <w:kern w:val="0"/>
                      <w:sz w:val="18"/>
                      <w:szCs w:val="18"/>
                      <w:highlight w:val="none"/>
                    </w:rPr>
                  </w:pPr>
                  <w:r>
                    <w:rPr>
                      <w:color w:val="auto"/>
                      <w:sz w:val="18"/>
                      <w:szCs w:val="18"/>
                      <w:highlight w:val="none"/>
                    </w:rPr>
                    <w:t>900-039-49</w:t>
                  </w:r>
                </w:p>
              </w:tc>
              <w:tc>
                <w:tcPr>
                  <w:tcW w:w="0" w:type="auto"/>
                  <w:tcBorders>
                    <w:tl2br w:val="nil"/>
                    <w:tr2bl w:val="nil"/>
                  </w:tcBorders>
                  <w:vAlign w:val="center"/>
                </w:tcPr>
                <w:p w14:paraId="1D6FD766">
                  <w:pPr>
                    <w:topLinePunct/>
                    <w:adjustRightInd w:val="0"/>
                    <w:snapToGrid w:val="0"/>
                    <w:jc w:val="center"/>
                    <w:rPr>
                      <w:rFonts w:hint="eastAsia" w:eastAsia="宋体"/>
                      <w:color w:val="auto"/>
                      <w:kern w:val="0"/>
                      <w:sz w:val="18"/>
                      <w:szCs w:val="18"/>
                      <w:highlight w:val="none"/>
                      <w:lang w:eastAsia="zh-CN"/>
                    </w:rPr>
                  </w:pPr>
                  <w:r>
                    <w:rPr>
                      <w:rFonts w:hint="eastAsia"/>
                      <w:color w:val="auto"/>
                      <w:sz w:val="18"/>
                      <w:szCs w:val="18"/>
                      <w:highlight w:val="none"/>
                      <w:lang w:eastAsia="zh-CN"/>
                    </w:rPr>
                    <w:t>3.45</w:t>
                  </w:r>
                </w:p>
              </w:tc>
              <w:tc>
                <w:tcPr>
                  <w:tcW w:w="0" w:type="auto"/>
                  <w:tcBorders>
                    <w:tl2br w:val="nil"/>
                    <w:tr2bl w:val="nil"/>
                  </w:tcBorders>
                  <w:vAlign w:val="center"/>
                </w:tcPr>
                <w:p w14:paraId="6A8DD1CA">
                  <w:pPr>
                    <w:topLinePunct/>
                    <w:adjustRightInd w:val="0"/>
                    <w:snapToGrid w:val="0"/>
                    <w:jc w:val="center"/>
                    <w:rPr>
                      <w:color w:val="auto"/>
                      <w:kern w:val="0"/>
                      <w:sz w:val="18"/>
                      <w:szCs w:val="18"/>
                      <w:highlight w:val="none"/>
                    </w:rPr>
                  </w:pPr>
                  <w:r>
                    <w:rPr>
                      <w:color w:val="auto"/>
                      <w:kern w:val="0"/>
                      <w:sz w:val="18"/>
                      <w:szCs w:val="18"/>
                      <w:highlight w:val="none"/>
                    </w:rPr>
                    <w:t>废气处理</w:t>
                  </w:r>
                </w:p>
              </w:tc>
              <w:tc>
                <w:tcPr>
                  <w:tcW w:w="0" w:type="auto"/>
                  <w:tcBorders>
                    <w:tl2br w:val="nil"/>
                    <w:tr2bl w:val="nil"/>
                  </w:tcBorders>
                  <w:vAlign w:val="center"/>
                </w:tcPr>
                <w:p w14:paraId="48D7B28E">
                  <w:pPr>
                    <w:topLinePunct/>
                    <w:adjustRightInd w:val="0"/>
                    <w:snapToGrid w:val="0"/>
                    <w:jc w:val="center"/>
                    <w:rPr>
                      <w:color w:val="auto"/>
                      <w:kern w:val="0"/>
                      <w:sz w:val="18"/>
                      <w:szCs w:val="18"/>
                      <w:highlight w:val="none"/>
                    </w:rPr>
                  </w:pPr>
                  <w:r>
                    <w:rPr>
                      <w:color w:val="auto"/>
                      <w:kern w:val="0"/>
                      <w:sz w:val="18"/>
                      <w:szCs w:val="18"/>
                      <w:highlight w:val="none"/>
                    </w:rPr>
                    <w:t>固态</w:t>
                  </w:r>
                </w:p>
              </w:tc>
              <w:tc>
                <w:tcPr>
                  <w:tcW w:w="0" w:type="auto"/>
                  <w:tcBorders>
                    <w:tl2br w:val="nil"/>
                    <w:tr2bl w:val="nil"/>
                  </w:tcBorders>
                  <w:vAlign w:val="center"/>
                </w:tcPr>
                <w:p w14:paraId="51E21CBF">
                  <w:pPr>
                    <w:topLinePunct/>
                    <w:adjustRightInd w:val="0"/>
                    <w:snapToGrid w:val="0"/>
                    <w:jc w:val="center"/>
                    <w:rPr>
                      <w:color w:val="auto"/>
                      <w:sz w:val="18"/>
                      <w:szCs w:val="18"/>
                      <w:highlight w:val="none"/>
                    </w:rPr>
                  </w:pPr>
                  <w:r>
                    <w:rPr>
                      <w:color w:val="auto"/>
                      <w:sz w:val="18"/>
                      <w:szCs w:val="18"/>
                      <w:highlight w:val="none"/>
                    </w:rPr>
                    <w:t>有机废气</w:t>
                  </w:r>
                </w:p>
              </w:tc>
              <w:tc>
                <w:tcPr>
                  <w:tcW w:w="0" w:type="auto"/>
                  <w:tcBorders>
                    <w:tl2br w:val="nil"/>
                    <w:tr2bl w:val="nil"/>
                  </w:tcBorders>
                  <w:vAlign w:val="center"/>
                </w:tcPr>
                <w:p w14:paraId="35AB97C5">
                  <w:pPr>
                    <w:topLinePunct/>
                    <w:adjustRightInd w:val="0"/>
                    <w:snapToGrid w:val="0"/>
                    <w:jc w:val="center"/>
                    <w:rPr>
                      <w:color w:val="auto"/>
                      <w:sz w:val="18"/>
                      <w:szCs w:val="18"/>
                      <w:highlight w:val="none"/>
                    </w:rPr>
                  </w:pPr>
                  <w:r>
                    <w:rPr>
                      <w:color w:val="auto"/>
                      <w:sz w:val="18"/>
                      <w:szCs w:val="18"/>
                      <w:highlight w:val="none"/>
                    </w:rPr>
                    <w:t>有机废气</w:t>
                  </w:r>
                </w:p>
              </w:tc>
              <w:tc>
                <w:tcPr>
                  <w:tcW w:w="0" w:type="auto"/>
                  <w:tcBorders>
                    <w:tl2br w:val="nil"/>
                    <w:tr2bl w:val="nil"/>
                  </w:tcBorders>
                  <w:vAlign w:val="center"/>
                </w:tcPr>
                <w:p w14:paraId="27DE79EB">
                  <w:pPr>
                    <w:topLinePunct/>
                    <w:adjustRightInd w:val="0"/>
                    <w:snapToGrid w:val="0"/>
                    <w:jc w:val="center"/>
                    <w:rPr>
                      <w:color w:val="auto"/>
                      <w:kern w:val="0"/>
                      <w:sz w:val="18"/>
                      <w:szCs w:val="18"/>
                      <w:highlight w:val="none"/>
                    </w:rPr>
                  </w:pPr>
                  <w:r>
                    <w:rPr>
                      <w:rFonts w:hint="eastAsia"/>
                      <w:color w:val="auto"/>
                      <w:kern w:val="0"/>
                      <w:sz w:val="18"/>
                      <w:szCs w:val="18"/>
                      <w:highlight w:val="none"/>
                    </w:rPr>
                    <w:t>每个月</w:t>
                  </w:r>
                </w:p>
              </w:tc>
              <w:tc>
                <w:tcPr>
                  <w:tcW w:w="0" w:type="auto"/>
                  <w:tcBorders>
                    <w:tl2br w:val="nil"/>
                    <w:tr2bl w:val="nil"/>
                  </w:tcBorders>
                  <w:vAlign w:val="center"/>
                </w:tcPr>
                <w:p w14:paraId="0D11E68E">
                  <w:pPr>
                    <w:pStyle w:val="101"/>
                    <w:rPr>
                      <w:color w:val="auto"/>
                      <w:sz w:val="18"/>
                      <w:highlight w:val="none"/>
                    </w:rPr>
                  </w:pPr>
                  <w:r>
                    <w:rPr>
                      <w:color w:val="auto"/>
                      <w:sz w:val="18"/>
                      <w:highlight w:val="none"/>
                    </w:rPr>
                    <w:t>T/In</w:t>
                  </w:r>
                </w:p>
              </w:tc>
              <w:tc>
                <w:tcPr>
                  <w:tcW w:w="0" w:type="auto"/>
                  <w:tcBorders>
                    <w:tl2br w:val="nil"/>
                    <w:tr2bl w:val="nil"/>
                  </w:tcBorders>
                  <w:vAlign w:val="center"/>
                </w:tcPr>
                <w:p w14:paraId="74C97370">
                  <w:pPr>
                    <w:topLinePunct/>
                    <w:adjustRightInd w:val="0"/>
                    <w:snapToGrid w:val="0"/>
                    <w:jc w:val="center"/>
                    <w:rPr>
                      <w:color w:val="auto"/>
                      <w:sz w:val="18"/>
                      <w:szCs w:val="18"/>
                      <w:highlight w:val="none"/>
                    </w:rPr>
                  </w:pPr>
                  <w:r>
                    <w:rPr>
                      <w:color w:val="auto"/>
                      <w:sz w:val="18"/>
                      <w:szCs w:val="18"/>
                      <w:highlight w:val="none"/>
                    </w:rPr>
                    <w:t>暂存在危废暂存间内</w:t>
                  </w:r>
                  <w:r>
                    <w:rPr>
                      <w:rFonts w:hint="eastAsia"/>
                      <w:color w:val="auto"/>
                      <w:sz w:val="18"/>
                      <w:szCs w:val="18"/>
                      <w:highlight w:val="none"/>
                      <w:lang w:eastAsia="zh-CN"/>
                    </w:rPr>
                    <w:t>，</w:t>
                  </w:r>
                  <w:r>
                    <w:rPr>
                      <w:color w:val="auto"/>
                      <w:sz w:val="18"/>
                      <w:szCs w:val="18"/>
                      <w:highlight w:val="none"/>
                    </w:rPr>
                    <w:t>定期交有资质单位处置</w:t>
                  </w:r>
                </w:p>
              </w:tc>
            </w:tr>
          </w:tbl>
          <w:p w14:paraId="20F43657">
            <w:pPr>
              <w:pStyle w:val="102"/>
              <w:ind w:firstLine="480"/>
              <w:rPr>
                <w:b/>
                <w:bCs/>
                <w:color w:val="auto"/>
                <w:highlight w:val="none"/>
              </w:rPr>
            </w:pPr>
            <w:r>
              <w:rPr>
                <w:rFonts w:hint="eastAsia"/>
                <w:b/>
                <w:bCs/>
                <w:color w:val="auto"/>
                <w:highlight w:val="none"/>
              </w:rPr>
              <w:t>5、地下水及土壤</w:t>
            </w:r>
            <w:r>
              <w:rPr>
                <w:b/>
                <w:bCs/>
                <w:color w:val="auto"/>
                <w:highlight w:val="none"/>
              </w:rPr>
              <w:t>影响</w:t>
            </w:r>
            <w:r>
              <w:rPr>
                <w:rFonts w:hint="eastAsia"/>
                <w:b/>
                <w:bCs/>
                <w:color w:val="auto"/>
                <w:highlight w:val="none"/>
                <w:lang w:val="en-US" w:eastAsia="zh-CN"/>
              </w:rPr>
              <w:t>分析</w:t>
            </w:r>
            <w:r>
              <w:rPr>
                <w:b/>
                <w:bCs/>
                <w:color w:val="auto"/>
                <w:highlight w:val="none"/>
              </w:rPr>
              <w:t>和保护措施</w:t>
            </w:r>
          </w:p>
          <w:p w14:paraId="1A98FE73">
            <w:pPr>
              <w:pStyle w:val="102"/>
              <w:ind w:firstLine="480"/>
              <w:rPr>
                <w:color w:val="auto"/>
                <w:highlight w:val="none"/>
              </w:rPr>
            </w:pPr>
            <w:r>
              <w:rPr>
                <w:rFonts w:hint="eastAsia"/>
                <w:color w:val="auto"/>
                <w:highlight w:val="none"/>
              </w:rPr>
              <w:t>（1）源强分析</w:t>
            </w:r>
          </w:p>
          <w:p w14:paraId="7824C038">
            <w:pPr>
              <w:pStyle w:val="102"/>
              <w:ind w:firstLine="480"/>
              <w:rPr>
                <w:color w:val="auto"/>
                <w:highlight w:val="none"/>
              </w:rPr>
            </w:pPr>
            <w:r>
              <w:rPr>
                <w:rFonts w:hint="eastAsia"/>
                <w:color w:val="auto"/>
                <w:highlight w:val="none"/>
              </w:rPr>
              <w:t>本项目使用的原料包括硅酸钠、多元醇、甘油、聚合M</w:t>
            </w:r>
            <w:r>
              <w:rPr>
                <w:color w:val="auto"/>
                <w:highlight w:val="none"/>
              </w:rPr>
              <w:t>DI、</w:t>
            </w:r>
            <w:r>
              <w:rPr>
                <w:rFonts w:hint="eastAsia"/>
                <w:color w:val="auto"/>
                <w:highlight w:val="none"/>
              </w:rPr>
              <w:t>阻燃剂（</w:t>
            </w:r>
            <w:r>
              <w:rPr>
                <w:color w:val="auto"/>
                <w:highlight w:val="none"/>
              </w:rPr>
              <w:t>TCPP</w:t>
            </w:r>
            <w:r>
              <w:rPr>
                <w:rFonts w:hint="eastAsia"/>
                <w:color w:val="auto"/>
                <w:highlight w:val="none"/>
              </w:rPr>
              <w:t>）、增塑剂（二丁酯）</w:t>
            </w:r>
            <w:r>
              <w:rPr>
                <w:rFonts w:hint="eastAsia"/>
                <w:color w:val="auto"/>
                <w:highlight w:val="none"/>
                <w:lang w:eastAsia="zh-CN"/>
              </w:rPr>
              <w:t>，</w:t>
            </w:r>
            <w:r>
              <w:rPr>
                <w:rFonts w:hint="eastAsia"/>
                <w:color w:val="auto"/>
                <w:highlight w:val="none"/>
              </w:rPr>
              <w:t>日常均存储在</w:t>
            </w:r>
            <w:r>
              <w:rPr>
                <w:rStyle w:val="100"/>
                <w:rFonts w:hint="eastAsia"/>
                <w:color w:val="auto"/>
                <w:sz w:val="24"/>
                <w:highlight w:val="none"/>
              </w:rPr>
              <w:t>5m</w:t>
            </w:r>
            <w:r>
              <w:rPr>
                <w:rStyle w:val="100"/>
                <w:color w:val="auto"/>
                <w:sz w:val="24"/>
                <w:highlight w:val="none"/>
                <w:vertAlign w:val="superscript"/>
              </w:rPr>
              <w:t>3</w:t>
            </w:r>
            <w:r>
              <w:rPr>
                <w:rStyle w:val="100"/>
                <w:rFonts w:hint="eastAsia"/>
                <w:color w:val="auto"/>
                <w:sz w:val="24"/>
                <w:highlight w:val="none"/>
              </w:rPr>
              <w:t>的不锈钢储罐内</w:t>
            </w:r>
            <w:r>
              <w:rPr>
                <w:rStyle w:val="100"/>
                <w:rFonts w:hint="eastAsia"/>
                <w:color w:val="auto"/>
                <w:sz w:val="24"/>
                <w:highlight w:val="none"/>
                <w:lang w:eastAsia="zh-CN"/>
              </w:rPr>
              <w:t>，</w:t>
            </w:r>
            <w:r>
              <w:rPr>
                <w:rStyle w:val="100"/>
                <w:rFonts w:hint="eastAsia"/>
                <w:color w:val="auto"/>
                <w:sz w:val="24"/>
                <w:highlight w:val="none"/>
              </w:rPr>
              <w:t>储罐均位于地上</w:t>
            </w:r>
            <w:r>
              <w:rPr>
                <w:rFonts w:hint="eastAsia"/>
                <w:color w:val="auto"/>
                <w:highlight w:val="none"/>
              </w:rPr>
              <w:t>。</w:t>
            </w:r>
          </w:p>
          <w:p w14:paraId="3637DEC1">
            <w:pPr>
              <w:pStyle w:val="102"/>
              <w:ind w:firstLine="480"/>
              <w:rPr>
                <w:color w:val="auto"/>
                <w:highlight w:val="none"/>
              </w:rPr>
            </w:pPr>
            <w:r>
              <w:rPr>
                <w:rFonts w:hint="eastAsia"/>
                <w:color w:val="auto"/>
                <w:highlight w:val="none"/>
              </w:rPr>
              <w:t xml:space="preserve">（2）保护措施 </w:t>
            </w:r>
          </w:p>
          <w:p w14:paraId="4294BEC4">
            <w:pPr>
              <w:pStyle w:val="102"/>
              <w:ind w:firstLine="480"/>
              <w:rPr>
                <w:color w:val="auto"/>
              </w:rPr>
            </w:pPr>
            <w:r>
              <w:rPr>
                <w:rFonts w:hint="eastAsia"/>
                <w:color w:val="auto"/>
              </w:rPr>
              <w:t>本项目储罐均采用不锈钢专用储罐</w:t>
            </w:r>
            <w:r>
              <w:rPr>
                <w:rFonts w:hint="eastAsia"/>
                <w:color w:val="auto"/>
                <w:lang w:eastAsia="zh-CN"/>
              </w:rPr>
              <w:t>，</w:t>
            </w:r>
            <w:r>
              <w:rPr>
                <w:rFonts w:hint="eastAsia"/>
                <w:color w:val="auto"/>
              </w:rPr>
              <w:t>车间地面</w:t>
            </w:r>
            <w:r>
              <w:rPr>
                <w:color w:val="auto"/>
              </w:rPr>
              <w:t>敷设</w:t>
            </w:r>
            <w:r>
              <w:rPr>
                <w:rFonts w:hint="eastAsia"/>
                <w:color w:val="auto"/>
                <w:lang w:val="en-US" w:eastAsia="zh-CN"/>
              </w:rPr>
              <w:t>2</w:t>
            </w:r>
            <w:r>
              <w:rPr>
                <w:color w:val="auto"/>
              </w:rPr>
              <w:t>mm厚的高密度聚乙烯防水层</w:t>
            </w:r>
            <w:r>
              <w:rPr>
                <w:rFonts w:hint="eastAsia"/>
                <w:color w:val="auto"/>
                <w:lang w:eastAsia="zh-CN"/>
              </w:rPr>
              <w:t>，</w:t>
            </w:r>
            <w:r>
              <w:rPr>
                <w:color w:val="auto"/>
              </w:rPr>
              <w:t>上部敷设10cm厚混凝土防渗层</w:t>
            </w:r>
            <w:r>
              <w:rPr>
                <w:rFonts w:hint="eastAsia"/>
                <w:color w:val="auto"/>
                <w:lang w:eastAsia="zh-CN"/>
              </w:rPr>
              <w:t>，</w:t>
            </w:r>
            <w:r>
              <w:rPr>
                <w:color w:val="auto"/>
              </w:rPr>
              <w:t>混凝土的抗渗等级不低于P8</w:t>
            </w:r>
            <w:r>
              <w:rPr>
                <w:rFonts w:hint="eastAsia"/>
                <w:color w:val="auto"/>
                <w:lang w:eastAsia="zh-CN"/>
              </w:rPr>
              <w:t>，</w:t>
            </w:r>
            <w:r>
              <w:rPr>
                <w:rFonts w:hint="eastAsia"/>
                <w:color w:val="auto"/>
              </w:rPr>
              <w:t>满足</w:t>
            </w:r>
            <w:r>
              <w:rPr>
                <w:color w:val="auto"/>
              </w:rPr>
              <w:t>《石油化工工程防渗技术规范》（GB/T50934-2013）重点防治区的防渗要求</w:t>
            </w:r>
            <w:r>
              <w:rPr>
                <w:rFonts w:hint="eastAsia"/>
                <w:color w:val="auto"/>
                <w:lang w:eastAsia="zh-CN"/>
              </w:rPr>
              <w:t>，</w:t>
            </w:r>
            <w:r>
              <w:rPr>
                <w:rFonts w:hint="eastAsia"/>
                <w:color w:val="auto"/>
              </w:rPr>
              <w:t>可有效保护厂区地下水和土壤不受污染。</w:t>
            </w:r>
          </w:p>
          <w:p w14:paraId="2EB96DD4">
            <w:pPr>
              <w:pStyle w:val="102"/>
              <w:ind w:firstLine="480"/>
              <w:rPr>
                <w:color w:val="auto"/>
                <w:highlight w:val="none"/>
              </w:rPr>
            </w:pPr>
            <w:r>
              <w:rPr>
                <w:rFonts w:hint="eastAsia"/>
                <w:color w:val="auto"/>
              </w:rPr>
              <w:t>根据本项目所属行业特点及本项目工程分析内容</w:t>
            </w:r>
            <w:r>
              <w:rPr>
                <w:rFonts w:hint="eastAsia"/>
                <w:color w:val="auto"/>
                <w:lang w:eastAsia="zh-CN"/>
              </w:rPr>
              <w:t>，</w:t>
            </w:r>
            <w:r>
              <w:rPr>
                <w:rFonts w:hint="eastAsia"/>
                <w:color w:val="auto"/>
              </w:rPr>
              <w:t>建议企业加强管理</w:t>
            </w:r>
            <w:r>
              <w:rPr>
                <w:rFonts w:hint="eastAsia"/>
                <w:color w:val="auto"/>
                <w:lang w:eastAsia="zh-CN"/>
              </w:rPr>
              <w:t>，</w:t>
            </w:r>
            <w:r>
              <w:rPr>
                <w:rFonts w:hint="eastAsia"/>
                <w:color w:val="auto"/>
              </w:rPr>
              <w:t>减少对土壤、地下水的污染</w:t>
            </w:r>
            <w:r>
              <w:rPr>
                <w:rFonts w:hint="eastAsia"/>
                <w:color w:val="auto"/>
                <w:lang w:eastAsia="zh-CN"/>
              </w:rPr>
              <w:t>，</w:t>
            </w:r>
            <w:r>
              <w:rPr>
                <w:rFonts w:hint="eastAsia"/>
                <w:color w:val="auto"/>
              </w:rPr>
              <w:t>本项目正常运营过程中产生的污染物不会对土壤、地下水造成影响。</w:t>
            </w:r>
          </w:p>
          <w:p w14:paraId="3A87843F">
            <w:pPr>
              <w:pStyle w:val="102"/>
              <w:ind w:firstLine="480"/>
              <w:rPr>
                <w:color w:val="auto"/>
                <w:highlight w:val="none"/>
              </w:rPr>
            </w:pPr>
            <w:r>
              <w:rPr>
                <w:color w:val="auto"/>
                <w:highlight w:val="none"/>
              </w:rPr>
              <w:t>6、环境风险影响分析</w:t>
            </w:r>
          </w:p>
          <w:p w14:paraId="33860AC1">
            <w:pPr>
              <w:pStyle w:val="102"/>
              <w:ind w:firstLine="480"/>
              <w:rPr>
                <w:color w:val="auto"/>
                <w:highlight w:val="none"/>
              </w:rPr>
            </w:pPr>
            <w:r>
              <w:rPr>
                <w:rFonts w:hint="eastAsia"/>
                <w:color w:val="auto"/>
                <w:highlight w:val="none"/>
              </w:rPr>
              <w:t>本项目使用的原料包括硅酸钠、多元醇、甘油、聚合M</w:t>
            </w:r>
            <w:r>
              <w:rPr>
                <w:color w:val="auto"/>
                <w:highlight w:val="none"/>
              </w:rPr>
              <w:t>DI</w:t>
            </w:r>
            <w:r>
              <w:rPr>
                <w:rFonts w:hint="eastAsia"/>
                <w:color w:val="auto"/>
                <w:highlight w:val="none"/>
              </w:rPr>
              <w:t>、阻燃剂（</w:t>
            </w:r>
            <w:r>
              <w:rPr>
                <w:color w:val="auto"/>
                <w:highlight w:val="none"/>
              </w:rPr>
              <w:t>TCPP</w:t>
            </w:r>
            <w:r>
              <w:rPr>
                <w:rFonts w:hint="eastAsia"/>
                <w:color w:val="auto"/>
                <w:highlight w:val="none"/>
              </w:rPr>
              <w:t>）、增塑剂（二丁酯）</w:t>
            </w:r>
            <w:r>
              <w:rPr>
                <w:rFonts w:hint="eastAsia"/>
                <w:color w:val="auto"/>
                <w:highlight w:val="none"/>
                <w:lang w:eastAsia="zh-CN"/>
              </w:rPr>
              <w:t>，</w:t>
            </w:r>
            <w:r>
              <w:rPr>
                <w:rFonts w:hint="eastAsia"/>
                <w:color w:val="auto"/>
                <w:highlight w:val="none"/>
              </w:rPr>
              <w:t>均采用5m</w:t>
            </w:r>
            <w:r>
              <w:rPr>
                <w:color w:val="auto"/>
                <w:highlight w:val="none"/>
                <w:vertAlign w:val="superscript"/>
              </w:rPr>
              <w:t>3</w:t>
            </w:r>
            <w:r>
              <w:rPr>
                <w:rFonts w:hint="eastAsia"/>
                <w:color w:val="auto"/>
                <w:highlight w:val="none"/>
              </w:rPr>
              <w:t>的不锈钢储罐存储</w:t>
            </w:r>
            <w:r>
              <w:rPr>
                <w:rFonts w:hint="eastAsia"/>
                <w:color w:val="auto"/>
                <w:highlight w:val="none"/>
                <w:lang w:eastAsia="zh-CN"/>
              </w:rPr>
              <w:t>，</w:t>
            </w:r>
            <w:r>
              <w:rPr>
                <w:rFonts w:hint="eastAsia"/>
                <w:color w:val="auto"/>
                <w:highlight w:val="none"/>
              </w:rPr>
              <w:t>日常均存储在厂房内。</w:t>
            </w:r>
          </w:p>
          <w:p w14:paraId="49EAB522">
            <w:pPr>
              <w:pStyle w:val="102"/>
              <w:ind w:firstLine="480"/>
              <w:rPr>
                <w:color w:val="auto"/>
              </w:rPr>
            </w:pPr>
            <w:r>
              <w:rPr>
                <w:rFonts w:hint="eastAsia"/>
                <w:color w:val="auto"/>
                <w:highlight w:val="none"/>
              </w:rPr>
              <w:t>①根据《建设项目环境风险评价技术导则（HJ1</w:t>
            </w:r>
            <w:r>
              <w:rPr>
                <w:rFonts w:hint="eastAsia"/>
                <w:color w:val="auto"/>
              </w:rPr>
              <w:t>69-2018）》附录B重点关注的危险物质及临界量可知</w:t>
            </w:r>
            <w:r>
              <w:rPr>
                <w:rFonts w:hint="eastAsia"/>
                <w:color w:val="auto"/>
                <w:lang w:eastAsia="zh-CN"/>
              </w:rPr>
              <w:t>，</w:t>
            </w:r>
            <w:r>
              <w:rPr>
                <w:rFonts w:hint="eastAsia"/>
                <w:color w:val="auto"/>
              </w:rPr>
              <w:t>本项目重点关注的危险物质（有临界量的危险物质）为聚合M</w:t>
            </w:r>
            <w:r>
              <w:rPr>
                <w:color w:val="auto"/>
              </w:rPr>
              <w:t>DI</w:t>
            </w:r>
            <w:r>
              <w:rPr>
                <w:rFonts w:hint="eastAsia"/>
                <w:color w:val="auto"/>
              </w:rPr>
              <w:t>、二丁酯；</w:t>
            </w:r>
          </w:p>
          <w:p w14:paraId="63AD35A1">
            <w:pPr>
              <w:pStyle w:val="102"/>
              <w:ind w:firstLine="480"/>
              <w:rPr>
                <w:color w:val="auto"/>
              </w:rPr>
            </w:pPr>
            <w:r>
              <w:rPr>
                <w:rFonts w:hint="eastAsia"/>
                <w:color w:val="auto"/>
              </w:rPr>
              <w:t>②根据国家安监总局下发的《重点监管的危险化学品名录》（2013年完整版）</w:t>
            </w:r>
            <w:r>
              <w:rPr>
                <w:rFonts w:hint="eastAsia"/>
                <w:color w:val="auto"/>
                <w:lang w:eastAsia="zh-CN"/>
              </w:rPr>
              <w:t>，</w:t>
            </w:r>
            <w:r>
              <w:rPr>
                <w:rFonts w:hint="eastAsia"/>
                <w:color w:val="auto"/>
              </w:rPr>
              <w:t>本项目所用原料不包含在其中。</w:t>
            </w:r>
          </w:p>
          <w:p w14:paraId="14C150A9">
            <w:pPr>
              <w:pStyle w:val="102"/>
              <w:ind w:firstLine="480"/>
              <w:rPr>
                <w:color w:val="auto"/>
              </w:rPr>
            </w:pPr>
            <w:r>
              <w:rPr>
                <w:rFonts w:hint="eastAsia"/>
                <w:color w:val="auto"/>
              </w:rPr>
              <w:t>根据《高毒物品目录》（2003年版）辨识</w:t>
            </w:r>
            <w:r>
              <w:rPr>
                <w:rFonts w:hint="eastAsia"/>
                <w:color w:val="auto"/>
                <w:lang w:eastAsia="zh-CN"/>
              </w:rPr>
              <w:t>，</w:t>
            </w:r>
            <w:r>
              <w:rPr>
                <w:rFonts w:hint="eastAsia"/>
                <w:color w:val="auto"/>
              </w:rPr>
              <w:t>本项目所用原料不包含在其中。</w:t>
            </w:r>
          </w:p>
          <w:p w14:paraId="33EF8A0D">
            <w:pPr>
              <w:pStyle w:val="102"/>
              <w:ind w:firstLine="480"/>
              <w:rPr>
                <w:color w:val="auto"/>
              </w:rPr>
            </w:pPr>
            <w:r>
              <w:rPr>
                <w:rFonts w:hint="eastAsia"/>
                <w:color w:val="auto"/>
              </w:rPr>
              <w:t>根据《易制毒化学品管理条例》（国务院令第445号</w:t>
            </w:r>
            <w:r>
              <w:rPr>
                <w:rFonts w:hint="eastAsia"/>
                <w:color w:val="auto"/>
                <w:lang w:eastAsia="zh-CN"/>
              </w:rPr>
              <w:t>，</w:t>
            </w:r>
            <w:r>
              <w:rPr>
                <w:rFonts w:hint="eastAsia"/>
                <w:color w:val="auto"/>
              </w:rPr>
              <w:t>第653号修订）</w:t>
            </w:r>
            <w:r>
              <w:rPr>
                <w:rFonts w:hint="eastAsia"/>
                <w:color w:val="auto"/>
                <w:lang w:eastAsia="zh-CN"/>
              </w:rPr>
              <w:t>，</w:t>
            </w:r>
            <w:r>
              <w:rPr>
                <w:rFonts w:hint="eastAsia"/>
                <w:color w:val="auto"/>
              </w:rPr>
              <w:t>本项目所用原料中没有易制毒化学品。</w:t>
            </w:r>
          </w:p>
          <w:p w14:paraId="41A9FAA0">
            <w:pPr>
              <w:pStyle w:val="102"/>
              <w:ind w:firstLine="480"/>
              <w:rPr>
                <w:color w:val="auto"/>
              </w:rPr>
            </w:pPr>
            <w:r>
              <w:rPr>
                <w:rFonts w:hint="eastAsia"/>
                <w:color w:val="auto"/>
              </w:rPr>
              <w:t>③本项目聚合M</w:t>
            </w:r>
            <w:r>
              <w:rPr>
                <w:color w:val="auto"/>
              </w:rPr>
              <w:t>DI</w:t>
            </w:r>
            <w:r>
              <w:rPr>
                <w:rFonts w:hint="eastAsia"/>
                <w:color w:val="auto"/>
              </w:rPr>
              <w:t>日常存储量为4</w:t>
            </w:r>
            <w:r>
              <w:rPr>
                <w:color w:val="auto"/>
              </w:rPr>
              <w:t>.072</w:t>
            </w:r>
            <w:r>
              <w:rPr>
                <w:rFonts w:hint="eastAsia"/>
                <w:color w:val="auto"/>
              </w:rPr>
              <w:t>t（4m</w:t>
            </w:r>
            <w:r>
              <w:rPr>
                <w:color w:val="auto"/>
                <w:vertAlign w:val="superscript"/>
              </w:rPr>
              <w:t>3</w:t>
            </w:r>
            <w:r>
              <w:rPr>
                <w:rFonts w:hint="eastAsia"/>
                <w:color w:val="auto"/>
              </w:rPr>
              <w:t>）</w:t>
            </w:r>
            <w:r>
              <w:rPr>
                <w:rFonts w:hint="eastAsia"/>
                <w:color w:val="auto"/>
                <w:lang w:eastAsia="zh-CN"/>
              </w:rPr>
              <w:t>，</w:t>
            </w:r>
            <w:r>
              <w:rPr>
                <w:rFonts w:hint="eastAsia"/>
                <w:color w:val="auto"/>
              </w:rPr>
              <w:t>折算成M</w:t>
            </w:r>
            <w:r>
              <w:rPr>
                <w:color w:val="auto"/>
              </w:rPr>
              <w:t>DI</w:t>
            </w:r>
            <w:r>
              <w:rPr>
                <w:rFonts w:hint="eastAsia"/>
                <w:color w:val="auto"/>
              </w:rPr>
              <w:t>存储量为2</w:t>
            </w:r>
            <w:r>
              <w:rPr>
                <w:color w:val="auto"/>
              </w:rPr>
              <w:t>.036</w:t>
            </w:r>
            <w:r>
              <w:rPr>
                <w:rFonts w:hint="eastAsia"/>
                <w:color w:val="auto"/>
              </w:rPr>
              <w:t>t（M</w:t>
            </w:r>
            <w:r>
              <w:rPr>
                <w:color w:val="auto"/>
              </w:rPr>
              <w:t>DI</w:t>
            </w:r>
            <w:r>
              <w:rPr>
                <w:rFonts w:hint="eastAsia"/>
                <w:color w:val="auto"/>
              </w:rPr>
              <w:t>占聚合M</w:t>
            </w:r>
            <w:r>
              <w:rPr>
                <w:color w:val="auto"/>
              </w:rPr>
              <w:t>DI</w:t>
            </w:r>
            <w:r>
              <w:rPr>
                <w:rFonts w:hint="eastAsia"/>
                <w:color w:val="auto"/>
              </w:rPr>
              <w:t>的5</w:t>
            </w:r>
            <w:r>
              <w:rPr>
                <w:color w:val="auto"/>
              </w:rPr>
              <w:t>0</w:t>
            </w:r>
            <w:r>
              <w:rPr>
                <w:rFonts w:hint="eastAsia"/>
                <w:color w:val="auto"/>
              </w:rPr>
              <w:t>%）</w:t>
            </w:r>
            <w:r>
              <w:rPr>
                <w:rFonts w:hint="eastAsia"/>
                <w:color w:val="auto"/>
                <w:lang w:eastAsia="zh-CN"/>
              </w:rPr>
              <w:t>，</w:t>
            </w:r>
            <w:r>
              <w:rPr>
                <w:rFonts w:hint="eastAsia"/>
                <w:color w:val="auto"/>
              </w:rPr>
              <w:t>临界量为0</w:t>
            </w:r>
            <w:r>
              <w:rPr>
                <w:color w:val="auto"/>
              </w:rPr>
              <w:t>.5</w:t>
            </w:r>
            <w:r>
              <w:rPr>
                <w:rFonts w:hint="eastAsia"/>
                <w:color w:val="auto"/>
              </w:rPr>
              <w:t>t；二丁酯日常存储量均为4</w:t>
            </w:r>
            <w:r>
              <w:rPr>
                <w:color w:val="auto"/>
              </w:rPr>
              <w:t>.2</w:t>
            </w:r>
            <w:r>
              <w:rPr>
                <w:rFonts w:hint="eastAsia"/>
                <w:color w:val="auto"/>
              </w:rPr>
              <w:t>t（4m</w:t>
            </w:r>
            <w:r>
              <w:rPr>
                <w:color w:val="auto"/>
                <w:vertAlign w:val="superscript"/>
              </w:rPr>
              <w:t>3</w:t>
            </w:r>
            <w:r>
              <w:rPr>
                <w:rFonts w:hint="eastAsia"/>
                <w:color w:val="auto"/>
              </w:rPr>
              <w:t>）</w:t>
            </w:r>
            <w:r>
              <w:rPr>
                <w:rFonts w:hint="eastAsia"/>
                <w:color w:val="auto"/>
                <w:lang w:eastAsia="zh-CN"/>
              </w:rPr>
              <w:t>，</w:t>
            </w:r>
            <w:r>
              <w:rPr>
                <w:rFonts w:hint="eastAsia"/>
                <w:color w:val="auto"/>
              </w:rPr>
              <w:t>临界量为1</w:t>
            </w:r>
            <w:r>
              <w:rPr>
                <w:color w:val="auto"/>
              </w:rPr>
              <w:t>0</w:t>
            </w:r>
            <w:r>
              <w:rPr>
                <w:rFonts w:hint="eastAsia"/>
                <w:color w:val="auto"/>
              </w:rPr>
              <w:t>t。经计算</w:t>
            </w:r>
            <w:r>
              <w:rPr>
                <w:rFonts w:hint="eastAsia"/>
                <w:color w:val="auto"/>
                <w:lang w:eastAsia="zh-CN"/>
              </w:rPr>
              <w:t>，</w:t>
            </w:r>
            <w:r>
              <w:rPr>
                <w:rFonts w:hint="eastAsia"/>
                <w:color w:val="auto"/>
              </w:rPr>
              <w:t>Q</w:t>
            </w:r>
            <w:r>
              <w:rPr>
                <w:color w:val="auto"/>
              </w:rPr>
              <w:t>=2.036</w:t>
            </w:r>
            <w:r>
              <w:rPr>
                <w:rFonts w:hint="eastAsia"/>
                <w:color w:val="auto"/>
              </w:rPr>
              <w:t>/</w:t>
            </w:r>
            <w:r>
              <w:rPr>
                <w:color w:val="auto"/>
              </w:rPr>
              <w:t>0.5+4.2/10</w:t>
            </w:r>
            <w:r>
              <w:rPr>
                <w:rFonts w:hint="eastAsia"/>
                <w:color w:val="auto"/>
              </w:rPr>
              <w:t>=</w:t>
            </w:r>
            <w:r>
              <w:rPr>
                <w:color w:val="auto"/>
              </w:rPr>
              <w:t>4.492</w:t>
            </w:r>
            <w:r>
              <w:rPr>
                <w:rFonts w:hint="eastAsia"/>
                <w:color w:val="auto"/>
              </w:rPr>
              <w:t>＞1</w:t>
            </w:r>
            <w:r>
              <w:rPr>
                <w:rFonts w:hint="eastAsia"/>
                <w:color w:val="auto"/>
                <w:lang w:eastAsia="zh-CN"/>
              </w:rPr>
              <w:t>，</w:t>
            </w:r>
            <w:r>
              <w:rPr>
                <w:rFonts w:hint="eastAsia"/>
                <w:color w:val="auto"/>
              </w:rPr>
              <w:t>故本项目应开展环境风险专项评价。</w:t>
            </w:r>
          </w:p>
          <w:p w14:paraId="2057ACB1">
            <w:pPr>
              <w:pStyle w:val="102"/>
              <w:ind w:firstLine="480"/>
              <w:rPr>
                <w:color w:val="auto"/>
              </w:rPr>
            </w:pPr>
            <w:r>
              <w:rPr>
                <w:color w:val="auto"/>
              </w:rPr>
              <w:t>对照《建设项目环境风险评价技术导则》（HJ169-2018）附录B</w:t>
            </w:r>
            <w:r>
              <w:rPr>
                <w:rFonts w:hint="eastAsia"/>
                <w:color w:val="auto"/>
                <w:lang w:eastAsia="zh-CN"/>
              </w:rPr>
              <w:t>，</w:t>
            </w:r>
            <w:r>
              <w:rPr>
                <w:color w:val="auto"/>
              </w:rPr>
              <w:t>项目涉及的主要危险物质为</w:t>
            </w:r>
            <w:r>
              <w:rPr>
                <w:rFonts w:hint="eastAsia"/>
                <w:color w:val="auto"/>
              </w:rPr>
              <w:t>聚合M</w:t>
            </w:r>
            <w:r>
              <w:rPr>
                <w:color w:val="auto"/>
              </w:rPr>
              <w:t>DI</w:t>
            </w:r>
            <w:r>
              <w:rPr>
                <w:rFonts w:hint="eastAsia"/>
                <w:color w:val="auto"/>
              </w:rPr>
              <w:t>、二丁酯</w:t>
            </w:r>
            <w:r>
              <w:rPr>
                <w:rFonts w:hint="eastAsia"/>
                <w:color w:val="auto"/>
                <w:lang w:eastAsia="zh-CN"/>
              </w:rPr>
              <w:t>，</w:t>
            </w:r>
            <w:r>
              <w:rPr>
                <w:rFonts w:hint="eastAsia"/>
                <w:color w:val="auto"/>
              </w:rPr>
              <w:t>属于有毒物质</w:t>
            </w:r>
            <w:r>
              <w:rPr>
                <w:rFonts w:hint="eastAsia"/>
                <w:color w:val="auto"/>
                <w:lang w:eastAsia="zh-CN"/>
              </w:rPr>
              <w:t>，</w:t>
            </w:r>
            <w:r>
              <w:rPr>
                <w:rFonts w:hint="eastAsia"/>
                <w:color w:val="auto"/>
              </w:rPr>
              <w:t>使用过程中存在泄漏、等突发性事故</w:t>
            </w:r>
            <w:r>
              <w:rPr>
                <w:rFonts w:hint="eastAsia"/>
                <w:color w:val="auto"/>
                <w:lang w:eastAsia="zh-CN"/>
              </w:rPr>
              <w:t>，</w:t>
            </w:r>
            <w:r>
              <w:rPr>
                <w:rFonts w:hint="eastAsia"/>
                <w:color w:val="auto"/>
              </w:rPr>
              <w:t>在严格落实风险管理及应急措施后</w:t>
            </w:r>
            <w:r>
              <w:rPr>
                <w:rFonts w:hint="eastAsia"/>
                <w:color w:val="auto"/>
                <w:lang w:eastAsia="zh-CN"/>
              </w:rPr>
              <w:t>，</w:t>
            </w:r>
            <w:r>
              <w:rPr>
                <w:rFonts w:hint="eastAsia"/>
                <w:color w:val="auto"/>
              </w:rPr>
              <w:t>制定风险应急预案</w:t>
            </w:r>
            <w:r>
              <w:rPr>
                <w:rFonts w:hint="eastAsia"/>
                <w:color w:val="auto"/>
                <w:lang w:eastAsia="zh-CN"/>
              </w:rPr>
              <w:t>，</w:t>
            </w:r>
            <w:r>
              <w:rPr>
                <w:rFonts w:hint="eastAsia"/>
                <w:color w:val="auto"/>
              </w:rPr>
              <w:t>可将风险发生的概率和影响后果降到最低限度。</w:t>
            </w:r>
          </w:p>
          <w:p w14:paraId="08BD58BE">
            <w:pPr>
              <w:pStyle w:val="102"/>
              <w:ind w:firstLine="480"/>
              <w:rPr>
                <w:b/>
                <w:bCs/>
                <w:color w:val="auto"/>
              </w:rPr>
            </w:pPr>
            <w:r>
              <w:rPr>
                <w:rFonts w:hint="eastAsia"/>
                <w:b/>
                <w:bCs/>
                <w:color w:val="auto"/>
              </w:rPr>
              <w:t>6、环保投资估算</w:t>
            </w:r>
          </w:p>
          <w:p w14:paraId="2E3AF24C">
            <w:pPr>
              <w:pStyle w:val="102"/>
              <w:ind w:firstLine="480"/>
              <w:rPr>
                <w:bCs/>
                <w:color w:val="auto"/>
              </w:rPr>
            </w:pPr>
            <w:r>
              <w:rPr>
                <w:rFonts w:hint="eastAsia"/>
                <w:bCs/>
                <w:color w:val="auto"/>
              </w:rPr>
              <w:t>本项目总投资</w:t>
            </w:r>
            <w:r>
              <w:rPr>
                <w:rFonts w:hint="eastAsia"/>
                <w:bCs/>
                <w:color w:val="auto"/>
                <w:lang w:val="en-US" w:eastAsia="zh-CN"/>
              </w:rPr>
              <w:t>2</w:t>
            </w:r>
            <w:r>
              <w:rPr>
                <w:bCs/>
                <w:color w:val="auto"/>
              </w:rPr>
              <w:t>00</w:t>
            </w:r>
            <w:r>
              <w:rPr>
                <w:rFonts w:hint="eastAsia"/>
                <w:bCs/>
                <w:color w:val="auto"/>
              </w:rPr>
              <w:t>万元</w:t>
            </w:r>
            <w:r>
              <w:rPr>
                <w:rFonts w:hint="eastAsia"/>
                <w:bCs/>
                <w:color w:val="auto"/>
                <w:lang w:eastAsia="zh-CN"/>
              </w:rPr>
              <w:t>，</w:t>
            </w:r>
            <w:r>
              <w:rPr>
                <w:rFonts w:hint="eastAsia"/>
                <w:bCs/>
                <w:color w:val="auto"/>
              </w:rPr>
              <w:t>环保投资约</w:t>
            </w:r>
            <w:r>
              <w:rPr>
                <w:bCs/>
                <w:color w:val="auto"/>
              </w:rPr>
              <w:t>29.5</w:t>
            </w:r>
            <w:r>
              <w:rPr>
                <w:rFonts w:hint="eastAsia"/>
                <w:bCs/>
                <w:color w:val="auto"/>
              </w:rPr>
              <w:t>万元</w:t>
            </w:r>
            <w:r>
              <w:rPr>
                <w:rFonts w:hint="eastAsia"/>
                <w:bCs/>
                <w:color w:val="auto"/>
                <w:lang w:eastAsia="zh-CN"/>
              </w:rPr>
              <w:t>，</w:t>
            </w:r>
            <w:r>
              <w:rPr>
                <w:rFonts w:hint="eastAsia"/>
                <w:bCs/>
                <w:color w:val="auto"/>
              </w:rPr>
              <w:t>约占总投资额的</w:t>
            </w:r>
            <w:r>
              <w:rPr>
                <w:rFonts w:hint="eastAsia"/>
                <w:bCs/>
                <w:color w:val="auto"/>
                <w:lang w:val="en-US" w:eastAsia="zh-CN"/>
              </w:rPr>
              <w:t>14.8</w:t>
            </w:r>
            <w:r>
              <w:rPr>
                <w:rFonts w:hint="eastAsia"/>
                <w:bCs/>
                <w:color w:val="auto"/>
              </w:rPr>
              <w:t>%</w:t>
            </w:r>
            <w:r>
              <w:rPr>
                <w:rFonts w:hint="eastAsia"/>
                <w:bCs/>
                <w:color w:val="auto"/>
                <w:lang w:eastAsia="zh-CN"/>
              </w:rPr>
              <w:t>，</w:t>
            </w:r>
            <w:r>
              <w:rPr>
                <w:rFonts w:hint="eastAsia"/>
                <w:bCs/>
                <w:color w:val="auto"/>
              </w:rPr>
              <w:t>环保投资估算见表</w:t>
            </w:r>
            <w:r>
              <w:rPr>
                <w:bCs/>
                <w:color w:val="auto"/>
              </w:rPr>
              <w:t>4-12</w:t>
            </w:r>
            <w:r>
              <w:rPr>
                <w:rFonts w:hint="eastAsia"/>
                <w:bCs/>
                <w:color w:val="auto"/>
              </w:rPr>
              <w:t>。</w:t>
            </w:r>
          </w:p>
          <w:p w14:paraId="442A8714">
            <w:pPr>
              <w:pStyle w:val="114"/>
              <w:rPr>
                <w:color w:val="auto"/>
              </w:rPr>
            </w:pPr>
            <w:r>
              <w:rPr>
                <w:rFonts w:hint="eastAsia"/>
                <w:color w:val="auto"/>
              </w:rPr>
              <w:t>表</w:t>
            </w:r>
            <w:r>
              <w:rPr>
                <w:color w:val="auto"/>
              </w:rPr>
              <w:t xml:space="preserve">4-12 </w:t>
            </w:r>
            <w:r>
              <w:rPr>
                <w:rFonts w:hint="eastAsia"/>
                <w:color w:val="auto"/>
              </w:rPr>
              <w:t xml:space="preserve"> </w:t>
            </w:r>
            <w:r>
              <w:rPr>
                <w:color w:val="auto"/>
              </w:rPr>
              <w:t>环保投资估算一览表</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222"/>
              <w:gridCol w:w="5486"/>
              <w:gridCol w:w="1711"/>
            </w:tblGrid>
            <w:tr w14:paraId="3D39ABC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6" w:type="pct"/>
                  <w:tcBorders>
                    <w:top w:val="single" w:color="auto" w:sz="12" w:space="0"/>
                    <w:left w:val="nil"/>
                    <w:bottom w:val="single" w:color="auto" w:sz="4" w:space="0"/>
                    <w:right w:val="single" w:color="auto" w:sz="4" w:space="0"/>
                  </w:tcBorders>
                  <w:vAlign w:val="center"/>
                </w:tcPr>
                <w:p w14:paraId="041BC76B">
                  <w:pPr>
                    <w:jc w:val="center"/>
                    <w:rPr>
                      <w:color w:val="auto"/>
                    </w:rPr>
                  </w:pPr>
                  <w:r>
                    <w:rPr>
                      <w:rFonts w:hint="eastAsia"/>
                      <w:color w:val="auto"/>
                    </w:rPr>
                    <w:t>类别</w:t>
                  </w:r>
                </w:p>
              </w:tc>
              <w:tc>
                <w:tcPr>
                  <w:tcW w:w="3257" w:type="pct"/>
                  <w:tcBorders>
                    <w:top w:val="single" w:color="auto" w:sz="12" w:space="0"/>
                    <w:left w:val="single" w:color="auto" w:sz="4" w:space="0"/>
                    <w:bottom w:val="single" w:color="auto" w:sz="4" w:space="0"/>
                    <w:right w:val="single" w:color="auto" w:sz="4" w:space="0"/>
                  </w:tcBorders>
                  <w:vAlign w:val="center"/>
                </w:tcPr>
                <w:p w14:paraId="2A23944D">
                  <w:pPr>
                    <w:jc w:val="center"/>
                    <w:rPr>
                      <w:color w:val="auto"/>
                    </w:rPr>
                  </w:pPr>
                  <w:r>
                    <w:rPr>
                      <w:rFonts w:hint="eastAsia"/>
                      <w:color w:val="auto"/>
                    </w:rPr>
                    <w:t>治理措施</w:t>
                  </w:r>
                </w:p>
              </w:tc>
              <w:tc>
                <w:tcPr>
                  <w:tcW w:w="1016" w:type="pct"/>
                  <w:tcBorders>
                    <w:top w:val="single" w:color="auto" w:sz="12" w:space="0"/>
                    <w:left w:val="single" w:color="auto" w:sz="4" w:space="0"/>
                    <w:bottom w:val="single" w:color="auto" w:sz="4" w:space="0"/>
                    <w:right w:val="nil"/>
                  </w:tcBorders>
                  <w:vAlign w:val="center"/>
                </w:tcPr>
                <w:p w14:paraId="78A94AD0">
                  <w:pPr>
                    <w:ind w:left="1"/>
                    <w:jc w:val="center"/>
                    <w:rPr>
                      <w:color w:val="auto"/>
                    </w:rPr>
                  </w:pPr>
                  <w:r>
                    <w:rPr>
                      <w:rFonts w:hint="eastAsia"/>
                      <w:color w:val="auto"/>
                    </w:rPr>
                    <w:t>投资（万元）</w:t>
                  </w:r>
                </w:p>
              </w:tc>
            </w:tr>
            <w:tr w14:paraId="19E7D2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6" w:type="pct"/>
                  <w:tcBorders>
                    <w:top w:val="single" w:color="auto" w:sz="4" w:space="0"/>
                    <w:left w:val="nil"/>
                    <w:right w:val="single" w:color="auto" w:sz="4" w:space="0"/>
                  </w:tcBorders>
                  <w:vAlign w:val="center"/>
                </w:tcPr>
                <w:p w14:paraId="4F47FED4">
                  <w:pPr>
                    <w:jc w:val="center"/>
                    <w:rPr>
                      <w:color w:val="auto"/>
                    </w:rPr>
                  </w:pPr>
                  <w:r>
                    <w:rPr>
                      <w:rFonts w:hint="eastAsia"/>
                      <w:color w:val="auto"/>
                    </w:rPr>
                    <w:t>废气</w:t>
                  </w:r>
                </w:p>
              </w:tc>
              <w:tc>
                <w:tcPr>
                  <w:tcW w:w="3257" w:type="pct"/>
                  <w:tcBorders>
                    <w:top w:val="single" w:color="auto" w:sz="4" w:space="0"/>
                    <w:left w:val="single" w:color="auto" w:sz="4" w:space="0"/>
                    <w:bottom w:val="single" w:color="auto" w:sz="4" w:space="0"/>
                    <w:right w:val="single" w:color="auto" w:sz="4" w:space="0"/>
                  </w:tcBorders>
                  <w:vAlign w:val="center"/>
                </w:tcPr>
                <w:p w14:paraId="6CA98407">
                  <w:pPr>
                    <w:ind w:firstLine="420"/>
                    <w:jc w:val="center"/>
                    <w:rPr>
                      <w:color w:val="auto"/>
                      <w:szCs w:val="21"/>
                    </w:rPr>
                  </w:pPr>
                  <w:r>
                    <w:rPr>
                      <w:rFonts w:hint="eastAsia"/>
                      <w:color w:val="auto"/>
                      <w:szCs w:val="21"/>
                    </w:rPr>
                    <w:t>活性炭吸附装置+</w:t>
                  </w:r>
                  <w:r>
                    <w:rPr>
                      <w:color w:val="auto"/>
                      <w:szCs w:val="21"/>
                    </w:rPr>
                    <w:t>15</w:t>
                  </w:r>
                  <w:r>
                    <w:rPr>
                      <w:rFonts w:hint="eastAsia"/>
                      <w:color w:val="auto"/>
                      <w:szCs w:val="21"/>
                    </w:rPr>
                    <w:t>m高排气筒</w:t>
                  </w:r>
                </w:p>
              </w:tc>
              <w:tc>
                <w:tcPr>
                  <w:tcW w:w="1016" w:type="pct"/>
                  <w:tcBorders>
                    <w:top w:val="single" w:color="auto" w:sz="4" w:space="0"/>
                    <w:left w:val="single" w:color="auto" w:sz="4" w:space="0"/>
                    <w:bottom w:val="single" w:color="auto" w:sz="4" w:space="0"/>
                    <w:right w:val="nil"/>
                  </w:tcBorders>
                  <w:vAlign w:val="center"/>
                </w:tcPr>
                <w:p w14:paraId="1266F1AA">
                  <w:pPr>
                    <w:jc w:val="center"/>
                    <w:rPr>
                      <w:color w:val="auto"/>
                    </w:rPr>
                  </w:pPr>
                  <w:r>
                    <w:rPr>
                      <w:color w:val="auto"/>
                    </w:rPr>
                    <w:t>10.0</w:t>
                  </w:r>
                </w:p>
              </w:tc>
            </w:tr>
            <w:tr w14:paraId="223AC25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6" w:type="pct"/>
                  <w:tcBorders>
                    <w:top w:val="single" w:color="auto" w:sz="4" w:space="0"/>
                    <w:left w:val="nil"/>
                    <w:bottom w:val="single" w:color="auto" w:sz="4" w:space="0"/>
                    <w:right w:val="single" w:color="auto" w:sz="4" w:space="0"/>
                  </w:tcBorders>
                  <w:vAlign w:val="center"/>
                </w:tcPr>
                <w:p w14:paraId="50D8ECDE">
                  <w:pPr>
                    <w:jc w:val="center"/>
                    <w:rPr>
                      <w:color w:val="auto"/>
                    </w:rPr>
                  </w:pPr>
                  <w:r>
                    <w:rPr>
                      <w:rFonts w:hint="eastAsia"/>
                      <w:color w:val="auto"/>
                    </w:rPr>
                    <w:t>固废</w:t>
                  </w:r>
                </w:p>
              </w:tc>
              <w:tc>
                <w:tcPr>
                  <w:tcW w:w="3257" w:type="pct"/>
                  <w:tcBorders>
                    <w:top w:val="single" w:color="auto" w:sz="4" w:space="0"/>
                    <w:left w:val="single" w:color="auto" w:sz="4" w:space="0"/>
                    <w:bottom w:val="single" w:color="auto" w:sz="4" w:space="0"/>
                    <w:right w:val="single" w:color="auto" w:sz="4" w:space="0"/>
                  </w:tcBorders>
                  <w:vAlign w:val="center"/>
                </w:tcPr>
                <w:p w14:paraId="44A0995F">
                  <w:pPr>
                    <w:jc w:val="center"/>
                    <w:rPr>
                      <w:color w:val="auto"/>
                    </w:rPr>
                  </w:pPr>
                  <w:r>
                    <w:rPr>
                      <w:rFonts w:hint="eastAsia"/>
                      <w:color w:val="auto"/>
                    </w:rPr>
                    <w:t>固废收集设施、危废暂存间</w:t>
                  </w:r>
                </w:p>
              </w:tc>
              <w:tc>
                <w:tcPr>
                  <w:tcW w:w="1016" w:type="pct"/>
                  <w:tcBorders>
                    <w:top w:val="single" w:color="auto" w:sz="4" w:space="0"/>
                    <w:left w:val="single" w:color="auto" w:sz="4" w:space="0"/>
                    <w:bottom w:val="single" w:color="auto" w:sz="4" w:space="0"/>
                    <w:right w:val="nil"/>
                  </w:tcBorders>
                  <w:vAlign w:val="center"/>
                </w:tcPr>
                <w:p w14:paraId="4F878AAC">
                  <w:pPr>
                    <w:jc w:val="center"/>
                    <w:rPr>
                      <w:color w:val="auto"/>
                    </w:rPr>
                  </w:pPr>
                  <w:r>
                    <w:rPr>
                      <w:color w:val="auto"/>
                    </w:rPr>
                    <w:t>2.0</w:t>
                  </w:r>
                </w:p>
              </w:tc>
            </w:tr>
            <w:tr w14:paraId="63AD30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6" w:type="pct"/>
                  <w:tcBorders>
                    <w:top w:val="single" w:color="auto" w:sz="4" w:space="0"/>
                    <w:left w:val="nil"/>
                    <w:bottom w:val="single" w:color="auto" w:sz="4" w:space="0"/>
                    <w:right w:val="single" w:color="auto" w:sz="4" w:space="0"/>
                  </w:tcBorders>
                  <w:vAlign w:val="center"/>
                </w:tcPr>
                <w:p w14:paraId="705E05AB">
                  <w:pPr>
                    <w:jc w:val="center"/>
                    <w:rPr>
                      <w:color w:val="auto"/>
                    </w:rPr>
                  </w:pPr>
                  <w:r>
                    <w:rPr>
                      <w:rFonts w:hint="eastAsia"/>
                      <w:color w:val="auto"/>
                    </w:rPr>
                    <w:t>噪声</w:t>
                  </w:r>
                </w:p>
              </w:tc>
              <w:tc>
                <w:tcPr>
                  <w:tcW w:w="3257" w:type="pct"/>
                  <w:tcBorders>
                    <w:top w:val="single" w:color="auto" w:sz="4" w:space="0"/>
                    <w:left w:val="single" w:color="auto" w:sz="4" w:space="0"/>
                    <w:bottom w:val="single" w:color="auto" w:sz="4" w:space="0"/>
                    <w:right w:val="single" w:color="auto" w:sz="4" w:space="0"/>
                  </w:tcBorders>
                  <w:vAlign w:val="center"/>
                </w:tcPr>
                <w:p w14:paraId="22BA6F93">
                  <w:pPr>
                    <w:jc w:val="center"/>
                    <w:rPr>
                      <w:color w:val="auto"/>
                    </w:rPr>
                  </w:pPr>
                  <w:r>
                    <w:rPr>
                      <w:rFonts w:hint="eastAsia"/>
                      <w:color w:val="auto"/>
                    </w:rPr>
                    <w:t>减振、消声、隔声</w:t>
                  </w:r>
                </w:p>
              </w:tc>
              <w:tc>
                <w:tcPr>
                  <w:tcW w:w="1016" w:type="pct"/>
                  <w:tcBorders>
                    <w:top w:val="single" w:color="auto" w:sz="4" w:space="0"/>
                    <w:left w:val="single" w:color="auto" w:sz="4" w:space="0"/>
                    <w:bottom w:val="single" w:color="auto" w:sz="4" w:space="0"/>
                    <w:right w:val="nil"/>
                  </w:tcBorders>
                  <w:vAlign w:val="center"/>
                </w:tcPr>
                <w:p w14:paraId="54EA967D">
                  <w:pPr>
                    <w:jc w:val="center"/>
                    <w:rPr>
                      <w:color w:val="auto"/>
                    </w:rPr>
                  </w:pPr>
                  <w:r>
                    <w:rPr>
                      <w:color w:val="auto"/>
                    </w:rPr>
                    <w:t>0.5</w:t>
                  </w:r>
                </w:p>
              </w:tc>
            </w:tr>
            <w:tr w14:paraId="65BC114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6" w:type="pct"/>
                  <w:tcBorders>
                    <w:top w:val="single" w:color="auto" w:sz="4" w:space="0"/>
                    <w:left w:val="nil"/>
                    <w:bottom w:val="single" w:color="auto" w:sz="4" w:space="0"/>
                    <w:right w:val="single" w:color="auto" w:sz="4" w:space="0"/>
                  </w:tcBorders>
                  <w:vAlign w:val="center"/>
                </w:tcPr>
                <w:p w14:paraId="4643FBFC">
                  <w:pPr>
                    <w:jc w:val="center"/>
                    <w:rPr>
                      <w:color w:val="auto"/>
                    </w:rPr>
                  </w:pPr>
                  <w:r>
                    <w:rPr>
                      <w:rFonts w:hint="eastAsia"/>
                      <w:color w:val="auto"/>
                    </w:rPr>
                    <w:t>防渗</w:t>
                  </w:r>
                </w:p>
              </w:tc>
              <w:tc>
                <w:tcPr>
                  <w:tcW w:w="3257" w:type="pct"/>
                  <w:tcBorders>
                    <w:top w:val="single" w:color="auto" w:sz="4" w:space="0"/>
                    <w:left w:val="single" w:color="auto" w:sz="4" w:space="0"/>
                    <w:bottom w:val="single" w:color="auto" w:sz="4" w:space="0"/>
                    <w:right w:val="single" w:color="auto" w:sz="4" w:space="0"/>
                  </w:tcBorders>
                  <w:vAlign w:val="center"/>
                </w:tcPr>
                <w:p w14:paraId="238C1AB7">
                  <w:pPr>
                    <w:jc w:val="center"/>
                    <w:rPr>
                      <w:color w:val="auto"/>
                    </w:rPr>
                  </w:pPr>
                  <w:r>
                    <w:rPr>
                      <w:rFonts w:hint="eastAsia"/>
                      <w:color w:val="auto"/>
                    </w:rPr>
                    <w:t>车间</w:t>
                  </w:r>
                  <w:r>
                    <w:rPr>
                      <w:color w:val="auto"/>
                    </w:rPr>
                    <w:t>敷设10cm厚混凝土防渗层</w:t>
                  </w:r>
                </w:p>
              </w:tc>
              <w:tc>
                <w:tcPr>
                  <w:tcW w:w="1016" w:type="pct"/>
                  <w:tcBorders>
                    <w:top w:val="single" w:color="auto" w:sz="4" w:space="0"/>
                    <w:left w:val="single" w:color="auto" w:sz="4" w:space="0"/>
                    <w:bottom w:val="single" w:color="auto" w:sz="4" w:space="0"/>
                    <w:right w:val="nil"/>
                  </w:tcBorders>
                  <w:vAlign w:val="center"/>
                </w:tcPr>
                <w:p w14:paraId="646EB3CE">
                  <w:pPr>
                    <w:jc w:val="center"/>
                    <w:rPr>
                      <w:color w:val="auto"/>
                    </w:rPr>
                  </w:pPr>
                  <w:r>
                    <w:rPr>
                      <w:rFonts w:hint="eastAsia"/>
                      <w:color w:val="auto"/>
                    </w:rPr>
                    <w:t>5</w:t>
                  </w:r>
                </w:p>
              </w:tc>
            </w:tr>
            <w:tr w14:paraId="16802AD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726" w:type="pct"/>
                  <w:tcBorders>
                    <w:top w:val="single" w:color="auto" w:sz="4" w:space="0"/>
                    <w:left w:val="nil"/>
                    <w:bottom w:val="single" w:color="auto" w:sz="4" w:space="0"/>
                    <w:right w:val="single" w:color="auto" w:sz="4" w:space="0"/>
                  </w:tcBorders>
                  <w:vAlign w:val="center"/>
                </w:tcPr>
                <w:p w14:paraId="056EBAA0">
                  <w:pPr>
                    <w:jc w:val="center"/>
                    <w:rPr>
                      <w:color w:val="auto"/>
                    </w:rPr>
                  </w:pPr>
                  <w:r>
                    <w:rPr>
                      <w:rFonts w:hint="eastAsia"/>
                      <w:color w:val="auto"/>
                    </w:rPr>
                    <w:t>环境风险</w:t>
                  </w:r>
                </w:p>
              </w:tc>
              <w:tc>
                <w:tcPr>
                  <w:tcW w:w="3257" w:type="pct"/>
                  <w:tcBorders>
                    <w:top w:val="single" w:color="auto" w:sz="4" w:space="0"/>
                    <w:left w:val="single" w:color="auto" w:sz="4" w:space="0"/>
                    <w:bottom w:val="single" w:color="auto" w:sz="4" w:space="0"/>
                    <w:right w:val="single" w:color="auto" w:sz="4" w:space="0"/>
                  </w:tcBorders>
                  <w:vAlign w:val="center"/>
                </w:tcPr>
                <w:p w14:paraId="4FF5251D">
                  <w:pPr>
                    <w:jc w:val="center"/>
                    <w:rPr>
                      <w:color w:val="auto"/>
                    </w:rPr>
                  </w:pPr>
                  <w:r>
                    <w:rPr>
                      <w:rFonts w:hint="eastAsia"/>
                      <w:color w:val="auto"/>
                      <w:szCs w:val="21"/>
                    </w:rPr>
                    <w:t>生产区四周设置0</w:t>
                  </w:r>
                  <w:r>
                    <w:rPr>
                      <w:color w:val="auto"/>
                      <w:szCs w:val="21"/>
                    </w:rPr>
                    <w:t>.</w:t>
                  </w:r>
                  <w:r>
                    <w:rPr>
                      <w:rFonts w:hint="eastAsia"/>
                      <w:color w:val="auto"/>
                      <w:szCs w:val="21"/>
                      <w:lang w:val="en-US" w:eastAsia="zh-CN"/>
                    </w:rPr>
                    <w:t>5</w:t>
                  </w:r>
                  <w:r>
                    <w:rPr>
                      <w:rFonts w:hint="eastAsia"/>
                      <w:color w:val="auto"/>
                      <w:szCs w:val="21"/>
                    </w:rPr>
                    <w:t>m高围堰</w:t>
                  </w:r>
                  <w:r>
                    <w:rPr>
                      <w:rFonts w:hint="eastAsia"/>
                      <w:color w:val="auto"/>
                      <w:szCs w:val="21"/>
                      <w:lang w:eastAsia="zh-CN"/>
                    </w:rPr>
                    <w:t>，</w:t>
                  </w:r>
                  <w:r>
                    <w:rPr>
                      <w:rFonts w:hint="eastAsia"/>
                      <w:color w:val="auto"/>
                      <w:szCs w:val="21"/>
                    </w:rPr>
                    <w:t>车间设置监控装置</w:t>
                  </w:r>
                </w:p>
              </w:tc>
              <w:tc>
                <w:tcPr>
                  <w:tcW w:w="1016" w:type="pct"/>
                  <w:tcBorders>
                    <w:top w:val="single" w:color="auto" w:sz="4" w:space="0"/>
                    <w:left w:val="single" w:color="auto" w:sz="4" w:space="0"/>
                    <w:bottom w:val="single" w:color="auto" w:sz="4" w:space="0"/>
                    <w:right w:val="nil"/>
                  </w:tcBorders>
                  <w:vAlign w:val="center"/>
                </w:tcPr>
                <w:p w14:paraId="41B6A6D6">
                  <w:pPr>
                    <w:jc w:val="center"/>
                    <w:rPr>
                      <w:color w:val="auto"/>
                    </w:rPr>
                  </w:pPr>
                  <w:r>
                    <w:rPr>
                      <w:rFonts w:hint="eastAsia"/>
                      <w:color w:val="auto"/>
                    </w:rPr>
                    <w:t>1</w:t>
                  </w:r>
                  <w:r>
                    <w:rPr>
                      <w:color w:val="auto"/>
                    </w:rPr>
                    <w:t>0</w:t>
                  </w:r>
                </w:p>
              </w:tc>
            </w:tr>
            <w:tr w14:paraId="13C2CE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984" w:type="pct"/>
                  <w:gridSpan w:val="2"/>
                  <w:tcBorders>
                    <w:top w:val="single" w:color="auto" w:sz="4" w:space="0"/>
                    <w:left w:val="nil"/>
                    <w:bottom w:val="single" w:color="auto" w:sz="4" w:space="0"/>
                    <w:right w:val="single" w:color="auto" w:sz="4" w:space="0"/>
                  </w:tcBorders>
                  <w:vAlign w:val="center"/>
                </w:tcPr>
                <w:p w14:paraId="296FD656">
                  <w:pPr>
                    <w:jc w:val="center"/>
                    <w:rPr>
                      <w:color w:val="auto"/>
                    </w:rPr>
                  </w:pPr>
                  <w:r>
                    <w:rPr>
                      <w:rFonts w:hint="eastAsia"/>
                      <w:color w:val="auto"/>
                    </w:rPr>
                    <w:t>环保设施运营期维护管理费用</w:t>
                  </w:r>
                </w:p>
              </w:tc>
              <w:tc>
                <w:tcPr>
                  <w:tcW w:w="1016" w:type="pct"/>
                  <w:tcBorders>
                    <w:top w:val="single" w:color="auto" w:sz="4" w:space="0"/>
                    <w:left w:val="single" w:color="auto" w:sz="4" w:space="0"/>
                    <w:bottom w:val="single" w:color="auto" w:sz="4" w:space="0"/>
                    <w:right w:val="nil"/>
                  </w:tcBorders>
                  <w:vAlign w:val="center"/>
                </w:tcPr>
                <w:p w14:paraId="315435A7">
                  <w:pPr>
                    <w:jc w:val="center"/>
                    <w:rPr>
                      <w:color w:val="auto"/>
                    </w:rPr>
                  </w:pPr>
                  <w:r>
                    <w:rPr>
                      <w:color w:val="auto"/>
                    </w:rPr>
                    <w:t>2.0</w:t>
                  </w:r>
                </w:p>
              </w:tc>
            </w:tr>
            <w:tr w14:paraId="080BA38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425" w:hRule="atLeast"/>
                <w:jc w:val="center"/>
              </w:trPr>
              <w:tc>
                <w:tcPr>
                  <w:tcW w:w="3984" w:type="pct"/>
                  <w:gridSpan w:val="2"/>
                  <w:tcBorders>
                    <w:top w:val="single" w:color="auto" w:sz="4" w:space="0"/>
                    <w:left w:val="nil"/>
                    <w:bottom w:val="single" w:color="auto" w:sz="12" w:space="0"/>
                    <w:right w:val="single" w:color="auto" w:sz="4" w:space="0"/>
                  </w:tcBorders>
                  <w:vAlign w:val="center"/>
                </w:tcPr>
                <w:p w14:paraId="4DA8FDAC">
                  <w:pPr>
                    <w:jc w:val="center"/>
                    <w:rPr>
                      <w:color w:val="auto"/>
                    </w:rPr>
                  </w:pPr>
                  <w:r>
                    <w:rPr>
                      <w:rFonts w:hint="eastAsia"/>
                      <w:color w:val="auto"/>
                    </w:rPr>
                    <w:t>合计</w:t>
                  </w:r>
                </w:p>
              </w:tc>
              <w:tc>
                <w:tcPr>
                  <w:tcW w:w="1016" w:type="pct"/>
                  <w:tcBorders>
                    <w:top w:val="single" w:color="auto" w:sz="4" w:space="0"/>
                    <w:left w:val="single" w:color="auto" w:sz="4" w:space="0"/>
                    <w:bottom w:val="single" w:color="auto" w:sz="12" w:space="0"/>
                    <w:right w:val="nil"/>
                  </w:tcBorders>
                  <w:vAlign w:val="center"/>
                </w:tcPr>
                <w:p w14:paraId="0B54EC5E">
                  <w:pPr>
                    <w:jc w:val="center"/>
                    <w:rPr>
                      <w:color w:val="auto"/>
                    </w:rPr>
                  </w:pPr>
                  <w:r>
                    <w:rPr>
                      <w:color w:val="auto"/>
                    </w:rPr>
                    <w:fldChar w:fldCharType="begin"/>
                  </w:r>
                  <w:r>
                    <w:rPr>
                      <w:color w:val="auto"/>
                    </w:rPr>
                    <w:instrText xml:space="preserve"> =SUM(ABOVE) </w:instrText>
                  </w:r>
                  <w:r>
                    <w:rPr>
                      <w:color w:val="auto"/>
                    </w:rPr>
                    <w:fldChar w:fldCharType="separate"/>
                  </w:r>
                  <w:r>
                    <w:rPr>
                      <w:color w:val="auto"/>
                    </w:rPr>
                    <w:t>29.5</w:t>
                  </w:r>
                  <w:r>
                    <w:rPr>
                      <w:color w:val="auto"/>
                    </w:rPr>
                    <w:fldChar w:fldCharType="end"/>
                  </w:r>
                </w:p>
              </w:tc>
            </w:tr>
          </w:tbl>
          <w:p w14:paraId="4E206BD0">
            <w:pPr>
              <w:pStyle w:val="102"/>
              <w:spacing w:line="240" w:lineRule="auto"/>
              <w:ind w:firstLine="0" w:firstLineChars="0"/>
              <w:rPr>
                <w:color w:val="auto"/>
              </w:rPr>
            </w:pPr>
          </w:p>
          <w:p w14:paraId="530C2184">
            <w:pPr>
              <w:pStyle w:val="102"/>
              <w:ind w:firstLine="0" w:firstLineChars="0"/>
              <w:rPr>
                <w:color w:val="auto"/>
              </w:rPr>
            </w:pPr>
          </w:p>
          <w:p w14:paraId="7FB2F87D">
            <w:pPr>
              <w:pStyle w:val="102"/>
              <w:ind w:firstLine="0" w:firstLineChars="0"/>
              <w:rPr>
                <w:color w:val="auto"/>
              </w:rPr>
            </w:pPr>
          </w:p>
          <w:p w14:paraId="0AEA5270">
            <w:pPr>
              <w:pStyle w:val="102"/>
              <w:ind w:firstLine="0" w:firstLineChars="0"/>
              <w:rPr>
                <w:color w:val="auto"/>
              </w:rPr>
            </w:pPr>
          </w:p>
          <w:p w14:paraId="703B23A4">
            <w:pPr>
              <w:pStyle w:val="102"/>
              <w:ind w:firstLine="0" w:firstLineChars="0"/>
              <w:rPr>
                <w:color w:val="auto"/>
              </w:rPr>
            </w:pPr>
          </w:p>
          <w:p w14:paraId="04087790">
            <w:pPr>
              <w:pStyle w:val="102"/>
              <w:ind w:firstLine="0" w:firstLineChars="0"/>
              <w:rPr>
                <w:color w:val="auto"/>
              </w:rPr>
            </w:pPr>
          </w:p>
          <w:p w14:paraId="2B9D7780">
            <w:pPr>
              <w:pStyle w:val="102"/>
              <w:ind w:firstLine="0" w:firstLineChars="0"/>
              <w:rPr>
                <w:color w:val="auto"/>
              </w:rPr>
            </w:pPr>
          </w:p>
          <w:p w14:paraId="47556C50">
            <w:pPr>
              <w:pStyle w:val="102"/>
              <w:ind w:firstLine="0" w:firstLineChars="0"/>
              <w:rPr>
                <w:color w:val="auto"/>
              </w:rPr>
            </w:pPr>
          </w:p>
          <w:p w14:paraId="6AB92CE1">
            <w:pPr>
              <w:pStyle w:val="102"/>
              <w:ind w:firstLine="0" w:firstLineChars="0"/>
              <w:rPr>
                <w:color w:val="auto"/>
              </w:rPr>
            </w:pPr>
          </w:p>
          <w:p w14:paraId="4986F261">
            <w:pPr>
              <w:pStyle w:val="102"/>
              <w:ind w:firstLine="0" w:firstLineChars="0"/>
              <w:rPr>
                <w:color w:val="auto"/>
              </w:rPr>
            </w:pPr>
          </w:p>
          <w:p w14:paraId="4453B048">
            <w:pPr>
              <w:pStyle w:val="102"/>
              <w:ind w:firstLine="0" w:firstLineChars="0"/>
              <w:rPr>
                <w:color w:val="auto"/>
              </w:rPr>
            </w:pPr>
          </w:p>
          <w:p w14:paraId="3BD9BEB6">
            <w:pPr>
              <w:pStyle w:val="102"/>
              <w:ind w:firstLine="0" w:firstLineChars="0"/>
              <w:rPr>
                <w:color w:val="auto"/>
              </w:rPr>
            </w:pPr>
          </w:p>
          <w:p w14:paraId="5193A59D">
            <w:pPr>
              <w:pStyle w:val="102"/>
              <w:ind w:firstLine="0" w:firstLineChars="0"/>
              <w:rPr>
                <w:color w:val="auto"/>
              </w:rPr>
            </w:pPr>
          </w:p>
          <w:p w14:paraId="09B92D4D">
            <w:pPr>
              <w:pStyle w:val="102"/>
              <w:ind w:firstLine="0" w:firstLineChars="0"/>
              <w:rPr>
                <w:color w:val="auto"/>
              </w:rPr>
            </w:pPr>
          </w:p>
          <w:p w14:paraId="1D9AAE48">
            <w:pPr>
              <w:pStyle w:val="102"/>
              <w:ind w:firstLine="0" w:firstLineChars="0"/>
              <w:rPr>
                <w:color w:val="auto"/>
              </w:rPr>
            </w:pPr>
          </w:p>
          <w:p w14:paraId="2CD7F3DA">
            <w:pPr>
              <w:pStyle w:val="102"/>
              <w:ind w:firstLine="0" w:firstLineChars="0"/>
              <w:rPr>
                <w:color w:val="auto"/>
              </w:rPr>
            </w:pPr>
          </w:p>
          <w:p w14:paraId="0A5551FA">
            <w:pPr>
              <w:pStyle w:val="102"/>
              <w:ind w:firstLine="0" w:firstLineChars="0"/>
              <w:rPr>
                <w:color w:val="auto"/>
              </w:rPr>
            </w:pPr>
          </w:p>
          <w:p w14:paraId="670FB9FE">
            <w:pPr>
              <w:pStyle w:val="102"/>
              <w:ind w:firstLine="0" w:firstLineChars="0"/>
              <w:rPr>
                <w:color w:val="auto"/>
              </w:rPr>
            </w:pPr>
          </w:p>
          <w:p w14:paraId="18FABBFC">
            <w:pPr>
              <w:pStyle w:val="102"/>
              <w:ind w:firstLine="0" w:firstLineChars="0"/>
              <w:rPr>
                <w:color w:val="auto"/>
              </w:rPr>
            </w:pPr>
          </w:p>
          <w:p w14:paraId="06F20320">
            <w:pPr>
              <w:pStyle w:val="102"/>
              <w:ind w:firstLine="0" w:firstLineChars="0"/>
              <w:rPr>
                <w:color w:val="auto"/>
              </w:rPr>
            </w:pPr>
          </w:p>
          <w:p w14:paraId="2159F256">
            <w:pPr>
              <w:pStyle w:val="102"/>
              <w:ind w:firstLine="0" w:firstLineChars="0"/>
              <w:rPr>
                <w:color w:val="auto"/>
              </w:rPr>
            </w:pPr>
          </w:p>
          <w:p w14:paraId="47ABDF41">
            <w:pPr>
              <w:pStyle w:val="102"/>
              <w:ind w:firstLine="0" w:firstLineChars="0"/>
              <w:rPr>
                <w:color w:val="auto"/>
              </w:rPr>
            </w:pPr>
          </w:p>
        </w:tc>
      </w:tr>
    </w:tbl>
    <w:p w14:paraId="1E93F761">
      <w:pPr>
        <w:adjustRightInd w:val="0"/>
        <w:snapToGrid w:val="0"/>
        <w:spacing w:line="360" w:lineRule="auto"/>
        <w:rPr>
          <w:b/>
          <w:color w:val="auto"/>
          <w:kern w:val="0"/>
          <w:sz w:val="28"/>
          <w:szCs w:val="28"/>
        </w:rPr>
        <w:sectPr>
          <w:pgSz w:w="11907" w:h="16840"/>
          <w:pgMar w:top="1701" w:right="1531" w:bottom="2127" w:left="1531" w:header="851" w:footer="851" w:gutter="0"/>
          <w:pgBorders>
            <w:top w:val="none" w:sz="0" w:space="0"/>
            <w:left w:val="none" w:sz="0" w:space="0"/>
            <w:bottom w:val="none" w:sz="0" w:space="0"/>
            <w:right w:val="none" w:sz="0" w:space="0"/>
          </w:pgBorders>
          <w:cols w:space="720" w:num="1"/>
          <w:docGrid w:linePitch="312" w:charSpace="0"/>
        </w:sectPr>
      </w:pPr>
    </w:p>
    <w:p w14:paraId="57A9CD99">
      <w:pPr>
        <w:pStyle w:val="38"/>
        <w:jc w:val="center"/>
        <w:outlineLvl w:val="0"/>
        <w:rPr>
          <w:rFonts w:ascii="Times New Roman" w:hAnsi="Times New Roman"/>
          <w:snapToGrid w:val="0"/>
          <w:color w:val="auto"/>
          <w:sz w:val="30"/>
          <w:szCs w:val="30"/>
        </w:rPr>
      </w:pPr>
      <w:bookmarkStart w:id="7" w:name="_Toc83393934"/>
      <w:r>
        <w:rPr>
          <w:rFonts w:ascii="Times New Roman" w:hAnsi="Times New Roman"/>
          <w:snapToGrid w:val="0"/>
          <w:color w:val="auto"/>
          <w:sz w:val="30"/>
          <w:szCs w:val="30"/>
        </w:rPr>
        <w:t>五、</w:t>
      </w:r>
      <w:bookmarkStart w:id="8" w:name="_Hlk54167917"/>
      <w:r>
        <w:rPr>
          <w:rFonts w:ascii="Times New Roman" w:hAnsi="Times New Roman"/>
          <w:snapToGrid w:val="0"/>
          <w:color w:val="auto"/>
          <w:sz w:val="30"/>
          <w:szCs w:val="30"/>
        </w:rPr>
        <w:t>环境保护措施监督检查清单</w:t>
      </w:r>
      <w:bookmarkEnd w:id="7"/>
      <w:bookmarkEnd w:id="8"/>
    </w:p>
    <w:tbl>
      <w:tblPr>
        <w:tblStyle w:val="4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autofit"/>
        <w:tblCellMar>
          <w:top w:w="0" w:type="dxa"/>
          <w:left w:w="108" w:type="dxa"/>
          <w:bottom w:w="0" w:type="dxa"/>
          <w:right w:w="108" w:type="dxa"/>
        </w:tblCellMar>
      </w:tblPr>
      <w:tblGrid>
        <w:gridCol w:w="1069"/>
        <w:gridCol w:w="1048"/>
        <w:gridCol w:w="1134"/>
        <w:gridCol w:w="2976"/>
        <w:gridCol w:w="2597"/>
      </w:tblGrid>
      <w:tr w14:paraId="1612063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69" w:type="dxa"/>
            <w:tcBorders>
              <w:tl2br w:val="single" w:color="auto" w:sz="4" w:space="0"/>
            </w:tcBorders>
          </w:tcPr>
          <w:p w14:paraId="6F24D6AF">
            <w:pPr>
              <w:adjustRightInd w:val="0"/>
              <w:snapToGrid w:val="0"/>
              <w:jc w:val="right"/>
              <w:rPr>
                <w:color w:val="auto"/>
                <w:szCs w:val="21"/>
              </w:rPr>
            </w:pPr>
            <w:r>
              <w:rPr>
                <w:color w:val="auto"/>
                <w:szCs w:val="21"/>
              </w:rPr>
              <w:t>内容</w:t>
            </w:r>
          </w:p>
          <w:p w14:paraId="55A3423C">
            <w:pPr>
              <w:adjustRightInd w:val="0"/>
              <w:snapToGrid w:val="0"/>
              <w:jc w:val="right"/>
              <w:rPr>
                <w:color w:val="auto"/>
                <w:szCs w:val="21"/>
              </w:rPr>
            </w:pPr>
          </w:p>
          <w:p w14:paraId="23FA21DB">
            <w:pPr>
              <w:adjustRightInd w:val="0"/>
              <w:snapToGrid w:val="0"/>
              <w:rPr>
                <w:color w:val="auto"/>
                <w:szCs w:val="21"/>
              </w:rPr>
            </w:pPr>
            <w:r>
              <w:rPr>
                <w:color w:val="auto"/>
                <w:szCs w:val="21"/>
              </w:rPr>
              <w:t>要素</w:t>
            </w:r>
          </w:p>
        </w:tc>
        <w:tc>
          <w:tcPr>
            <w:tcW w:w="1048" w:type="dxa"/>
            <w:vAlign w:val="center"/>
          </w:tcPr>
          <w:p w14:paraId="2D06BF98">
            <w:pPr>
              <w:adjustRightInd w:val="0"/>
              <w:snapToGrid w:val="0"/>
              <w:jc w:val="center"/>
              <w:rPr>
                <w:color w:val="auto"/>
                <w:szCs w:val="21"/>
              </w:rPr>
            </w:pPr>
            <w:r>
              <w:rPr>
                <w:color w:val="auto"/>
                <w:szCs w:val="21"/>
              </w:rPr>
              <w:t>排放口(编号、名称)/污染源</w:t>
            </w:r>
          </w:p>
        </w:tc>
        <w:tc>
          <w:tcPr>
            <w:tcW w:w="1134" w:type="dxa"/>
            <w:vAlign w:val="center"/>
          </w:tcPr>
          <w:p w14:paraId="0382FFDA">
            <w:pPr>
              <w:adjustRightInd w:val="0"/>
              <w:snapToGrid w:val="0"/>
              <w:jc w:val="center"/>
              <w:rPr>
                <w:color w:val="auto"/>
                <w:szCs w:val="21"/>
              </w:rPr>
            </w:pPr>
            <w:r>
              <w:rPr>
                <w:color w:val="auto"/>
                <w:szCs w:val="21"/>
              </w:rPr>
              <w:t>污染物项目</w:t>
            </w:r>
          </w:p>
        </w:tc>
        <w:tc>
          <w:tcPr>
            <w:tcW w:w="2976" w:type="dxa"/>
            <w:vAlign w:val="center"/>
          </w:tcPr>
          <w:p w14:paraId="6333C089">
            <w:pPr>
              <w:adjustRightInd w:val="0"/>
              <w:snapToGrid w:val="0"/>
              <w:jc w:val="center"/>
              <w:rPr>
                <w:color w:val="auto"/>
                <w:szCs w:val="21"/>
              </w:rPr>
            </w:pPr>
            <w:r>
              <w:rPr>
                <w:color w:val="auto"/>
                <w:szCs w:val="21"/>
              </w:rPr>
              <w:t>环境保护措施</w:t>
            </w:r>
          </w:p>
        </w:tc>
        <w:tc>
          <w:tcPr>
            <w:tcW w:w="2597" w:type="dxa"/>
            <w:vAlign w:val="center"/>
          </w:tcPr>
          <w:p w14:paraId="159E4AF9">
            <w:pPr>
              <w:adjustRightInd w:val="0"/>
              <w:snapToGrid w:val="0"/>
              <w:jc w:val="center"/>
              <w:rPr>
                <w:color w:val="auto"/>
                <w:szCs w:val="21"/>
              </w:rPr>
            </w:pPr>
            <w:r>
              <w:rPr>
                <w:color w:val="auto"/>
                <w:szCs w:val="21"/>
              </w:rPr>
              <w:t>执行标准</w:t>
            </w:r>
          </w:p>
        </w:tc>
      </w:tr>
      <w:tr w14:paraId="0ADF5F9B">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69" w:type="dxa"/>
            <w:vMerge w:val="restart"/>
            <w:vAlign w:val="center"/>
          </w:tcPr>
          <w:p w14:paraId="58B0787D">
            <w:pPr>
              <w:adjustRightInd w:val="0"/>
              <w:snapToGrid w:val="0"/>
              <w:jc w:val="center"/>
              <w:rPr>
                <w:color w:val="auto"/>
                <w:szCs w:val="21"/>
              </w:rPr>
            </w:pPr>
            <w:r>
              <w:rPr>
                <w:color w:val="auto"/>
                <w:szCs w:val="21"/>
              </w:rPr>
              <w:t>大气环境</w:t>
            </w:r>
          </w:p>
        </w:tc>
        <w:tc>
          <w:tcPr>
            <w:tcW w:w="1048" w:type="dxa"/>
            <w:vAlign w:val="center"/>
          </w:tcPr>
          <w:p w14:paraId="1250A3D2">
            <w:pPr>
              <w:pStyle w:val="101"/>
              <w:rPr>
                <w:color w:val="auto"/>
                <w:szCs w:val="21"/>
              </w:rPr>
            </w:pPr>
            <w:r>
              <w:rPr>
                <w:rFonts w:hint="eastAsia"/>
                <w:color w:val="auto"/>
              </w:rPr>
              <w:t>D</w:t>
            </w:r>
            <w:r>
              <w:rPr>
                <w:color w:val="auto"/>
              </w:rPr>
              <w:t>A001</w:t>
            </w:r>
            <w:r>
              <w:rPr>
                <w:rFonts w:hint="eastAsia"/>
                <w:color w:val="auto"/>
              </w:rPr>
              <w:t>除尘排气筒</w:t>
            </w:r>
          </w:p>
        </w:tc>
        <w:tc>
          <w:tcPr>
            <w:tcW w:w="1134" w:type="dxa"/>
            <w:vAlign w:val="center"/>
          </w:tcPr>
          <w:p w14:paraId="7BF32581">
            <w:pPr>
              <w:adjustRightInd w:val="0"/>
              <w:snapToGrid w:val="0"/>
              <w:jc w:val="center"/>
              <w:rPr>
                <w:color w:val="auto"/>
                <w:szCs w:val="21"/>
              </w:rPr>
            </w:pPr>
            <w:r>
              <w:rPr>
                <w:rFonts w:hint="eastAsia"/>
                <w:color w:val="auto"/>
                <w:szCs w:val="21"/>
                <w:lang w:val="zh-CN"/>
              </w:rPr>
              <w:t>V</w:t>
            </w:r>
            <w:r>
              <w:rPr>
                <w:color w:val="auto"/>
                <w:szCs w:val="21"/>
                <w:lang w:val="zh-CN"/>
              </w:rPr>
              <w:t>OC</w:t>
            </w:r>
            <w:r>
              <w:rPr>
                <w:rFonts w:hint="eastAsia"/>
                <w:color w:val="auto"/>
                <w:szCs w:val="21"/>
                <w:lang w:val="zh-CN"/>
              </w:rPr>
              <w:t>s</w:t>
            </w:r>
          </w:p>
        </w:tc>
        <w:tc>
          <w:tcPr>
            <w:tcW w:w="2976" w:type="dxa"/>
            <w:vAlign w:val="center"/>
          </w:tcPr>
          <w:p w14:paraId="470D464F">
            <w:pPr>
              <w:adjustRightInd w:val="0"/>
              <w:snapToGrid w:val="0"/>
              <w:jc w:val="center"/>
              <w:rPr>
                <w:color w:val="auto"/>
                <w:szCs w:val="21"/>
              </w:rPr>
            </w:pPr>
            <w:r>
              <w:rPr>
                <w:rFonts w:hint="eastAsia"/>
                <w:color w:val="auto"/>
              </w:rPr>
              <w:t>储罐大小呼吸产生的废气经管道密闭收集后</w:t>
            </w:r>
            <w:r>
              <w:rPr>
                <w:rFonts w:hint="eastAsia"/>
                <w:color w:val="auto"/>
                <w:lang w:eastAsia="zh-CN"/>
              </w:rPr>
              <w:t>，</w:t>
            </w:r>
            <w:r>
              <w:rPr>
                <w:rFonts w:hint="eastAsia"/>
                <w:color w:val="auto"/>
              </w:rPr>
              <w:t>全部送厂区活性炭吸附装置进行处理</w:t>
            </w:r>
            <w:r>
              <w:rPr>
                <w:rFonts w:hint="eastAsia"/>
                <w:color w:val="auto"/>
                <w:lang w:eastAsia="zh-CN"/>
              </w:rPr>
              <w:t>，</w:t>
            </w:r>
            <w:r>
              <w:rPr>
                <w:rFonts w:hint="eastAsia"/>
                <w:bCs/>
                <w:color w:val="auto"/>
                <w:szCs w:val="21"/>
              </w:rPr>
              <w:t>包装机</w:t>
            </w:r>
            <w:r>
              <w:rPr>
                <w:rFonts w:hint="eastAsia"/>
                <w:bCs/>
                <w:color w:val="auto"/>
              </w:rPr>
              <w:t>灌装区设有</w:t>
            </w:r>
            <w:r>
              <w:rPr>
                <w:rFonts w:hint="eastAsia"/>
                <w:bCs/>
                <w:color w:val="auto"/>
                <w:szCs w:val="21"/>
              </w:rPr>
              <w:t>密闭罩壳</w:t>
            </w:r>
            <w:r>
              <w:rPr>
                <w:rFonts w:hint="eastAsia"/>
                <w:bCs/>
                <w:color w:val="auto"/>
                <w:szCs w:val="21"/>
                <w:lang w:eastAsia="zh-CN"/>
              </w:rPr>
              <w:t>，</w:t>
            </w:r>
            <w:r>
              <w:rPr>
                <w:rFonts w:hint="eastAsia"/>
                <w:bCs/>
                <w:color w:val="auto"/>
                <w:szCs w:val="21"/>
              </w:rPr>
              <w:t>罩壳内部设置集气管收集灌装过程产生的废气</w:t>
            </w:r>
            <w:r>
              <w:rPr>
                <w:rFonts w:hint="eastAsia"/>
                <w:bCs/>
                <w:color w:val="auto"/>
                <w:szCs w:val="21"/>
                <w:lang w:eastAsia="zh-CN"/>
              </w:rPr>
              <w:t>，</w:t>
            </w:r>
            <w:r>
              <w:rPr>
                <w:rFonts w:hint="eastAsia"/>
                <w:bCs/>
                <w:color w:val="auto"/>
                <w:szCs w:val="21"/>
              </w:rPr>
              <w:t>收集的废气</w:t>
            </w:r>
            <w:r>
              <w:rPr>
                <w:rFonts w:hint="eastAsia"/>
                <w:color w:val="auto"/>
              </w:rPr>
              <w:t>全部送厂区活性炭吸附装置进行处理</w:t>
            </w:r>
            <w:r>
              <w:rPr>
                <w:rFonts w:hint="eastAsia"/>
                <w:color w:val="auto"/>
                <w:lang w:eastAsia="zh-CN"/>
              </w:rPr>
              <w:t>，</w:t>
            </w:r>
            <w:r>
              <w:rPr>
                <w:rFonts w:hint="eastAsia"/>
                <w:color w:val="auto"/>
              </w:rPr>
              <w:t>处理后经1</w:t>
            </w:r>
            <w:r>
              <w:rPr>
                <w:color w:val="auto"/>
              </w:rPr>
              <w:t>5</w:t>
            </w:r>
            <w:r>
              <w:rPr>
                <w:rFonts w:hint="eastAsia"/>
                <w:color w:val="auto"/>
              </w:rPr>
              <w:t>m高排气筒（</w:t>
            </w:r>
            <w:r>
              <w:rPr>
                <w:color w:val="auto"/>
              </w:rPr>
              <w:t>DA001</w:t>
            </w:r>
            <w:r>
              <w:rPr>
                <w:rFonts w:hint="eastAsia"/>
                <w:color w:val="auto"/>
              </w:rPr>
              <w:t>）排放</w:t>
            </w:r>
          </w:p>
        </w:tc>
        <w:tc>
          <w:tcPr>
            <w:tcW w:w="2597" w:type="dxa"/>
            <w:vAlign w:val="center"/>
          </w:tcPr>
          <w:p w14:paraId="06B5052B">
            <w:pPr>
              <w:adjustRightInd w:val="0"/>
              <w:snapToGrid w:val="0"/>
              <w:jc w:val="center"/>
              <w:rPr>
                <w:color w:val="auto"/>
                <w:szCs w:val="21"/>
              </w:rPr>
            </w:pPr>
            <w:r>
              <w:rPr>
                <w:color w:val="auto"/>
              </w:rPr>
              <w:t>《大气污染物综合排放标准》(GB16297-1996)表2中</w:t>
            </w:r>
            <w:r>
              <w:rPr>
                <w:rFonts w:hint="eastAsia"/>
                <w:color w:val="auto"/>
              </w:rPr>
              <w:t>二级标准</w:t>
            </w:r>
          </w:p>
        </w:tc>
      </w:tr>
      <w:tr w14:paraId="70C92490">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69" w:type="dxa"/>
            <w:vMerge w:val="continue"/>
            <w:vAlign w:val="center"/>
          </w:tcPr>
          <w:p w14:paraId="7E808274">
            <w:pPr>
              <w:adjustRightInd w:val="0"/>
              <w:snapToGrid w:val="0"/>
              <w:jc w:val="center"/>
              <w:rPr>
                <w:color w:val="auto"/>
                <w:szCs w:val="21"/>
              </w:rPr>
            </w:pPr>
          </w:p>
        </w:tc>
        <w:tc>
          <w:tcPr>
            <w:tcW w:w="1048" w:type="dxa"/>
            <w:vAlign w:val="center"/>
          </w:tcPr>
          <w:p w14:paraId="2DC3204F">
            <w:pPr>
              <w:pStyle w:val="101"/>
              <w:rPr>
                <w:color w:val="auto"/>
              </w:rPr>
            </w:pPr>
            <w:r>
              <w:rPr>
                <w:rFonts w:hint="eastAsia"/>
                <w:color w:val="auto"/>
              </w:rPr>
              <w:t>无组织排放</w:t>
            </w:r>
          </w:p>
        </w:tc>
        <w:tc>
          <w:tcPr>
            <w:tcW w:w="1134" w:type="dxa"/>
            <w:vAlign w:val="center"/>
          </w:tcPr>
          <w:p w14:paraId="2C221D64">
            <w:pPr>
              <w:adjustRightInd w:val="0"/>
              <w:snapToGrid w:val="0"/>
              <w:jc w:val="center"/>
              <w:rPr>
                <w:color w:val="auto"/>
                <w:szCs w:val="21"/>
                <w:lang w:val="zh-CN"/>
              </w:rPr>
            </w:pPr>
            <w:r>
              <w:rPr>
                <w:rFonts w:hint="eastAsia"/>
                <w:color w:val="auto"/>
                <w:szCs w:val="21"/>
                <w:lang w:val="zh-CN"/>
              </w:rPr>
              <w:t>V</w:t>
            </w:r>
            <w:r>
              <w:rPr>
                <w:color w:val="auto"/>
                <w:szCs w:val="21"/>
                <w:lang w:val="zh-CN"/>
              </w:rPr>
              <w:t>OC</w:t>
            </w:r>
            <w:r>
              <w:rPr>
                <w:rFonts w:hint="eastAsia"/>
                <w:color w:val="auto"/>
                <w:szCs w:val="21"/>
                <w:lang w:val="zh-CN"/>
              </w:rPr>
              <w:t>s</w:t>
            </w:r>
          </w:p>
        </w:tc>
        <w:tc>
          <w:tcPr>
            <w:tcW w:w="2976" w:type="dxa"/>
            <w:vAlign w:val="center"/>
          </w:tcPr>
          <w:p w14:paraId="19C29E40">
            <w:pPr>
              <w:adjustRightInd w:val="0"/>
              <w:snapToGrid w:val="0"/>
              <w:jc w:val="center"/>
              <w:rPr>
                <w:color w:val="auto"/>
              </w:rPr>
            </w:pPr>
            <w:r>
              <w:rPr>
                <w:rFonts w:hint="eastAsia"/>
                <w:color w:val="auto"/>
              </w:rPr>
              <w:t>未收集的废气</w:t>
            </w:r>
          </w:p>
        </w:tc>
        <w:tc>
          <w:tcPr>
            <w:tcW w:w="2597" w:type="dxa"/>
            <w:vAlign w:val="center"/>
          </w:tcPr>
          <w:p w14:paraId="31B4469B">
            <w:pPr>
              <w:adjustRightInd w:val="0"/>
              <w:snapToGrid w:val="0"/>
              <w:jc w:val="center"/>
              <w:rPr>
                <w:color w:val="auto"/>
              </w:rPr>
            </w:pPr>
            <w:r>
              <w:rPr>
                <w:rFonts w:hint="eastAsia"/>
                <w:color w:val="auto"/>
              </w:rPr>
              <w:t>厂区内V</w:t>
            </w:r>
            <w:r>
              <w:rPr>
                <w:color w:val="auto"/>
              </w:rPr>
              <w:t>OC</w:t>
            </w:r>
            <w:r>
              <w:rPr>
                <w:rFonts w:hint="eastAsia"/>
                <w:color w:val="auto"/>
              </w:rPr>
              <w:t>s满足</w:t>
            </w:r>
            <w:r>
              <w:rPr>
                <w:color w:val="auto"/>
              </w:rPr>
              <w:t>《</w:t>
            </w:r>
            <w:r>
              <w:rPr>
                <w:rFonts w:hint="eastAsia"/>
                <w:color w:val="auto"/>
              </w:rPr>
              <w:t>挥发性</w:t>
            </w:r>
            <w:r>
              <w:rPr>
                <w:color w:val="auto"/>
              </w:rPr>
              <w:t>有机物无组织排放控制标准》</w:t>
            </w:r>
            <w:r>
              <w:rPr>
                <w:rFonts w:hint="eastAsia"/>
                <w:color w:val="auto"/>
              </w:rPr>
              <w:t>（GB37822-2019</w:t>
            </w:r>
            <w:r>
              <w:rPr>
                <w:color w:val="auto"/>
              </w:rPr>
              <w:t>）</w:t>
            </w:r>
            <w:r>
              <w:rPr>
                <w:rFonts w:hint="eastAsia"/>
                <w:color w:val="auto"/>
              </w:rPr>
              <w:t>附录A厂区</w:t>
            </w:r>
            <w:r>
              <w:rPr>
                <w:color w:val="auto"/>
              </w:rPr>
              <w:t>内</w:t>
            </w:r>
            <w:r>
              <w:rPr>
                <w:rFonts w:hint="eastAsia"/>
                <w:color w:val="auto"/>
              </w:rPr>
              <w:t>VOC</w:t>
            </w:r>
            <w:r>
              <w:rPr>
                <w:color w:val="auto"/>
              </w:rPr>
              <w:t>s无组织排放限值</w:t>
            </w:r>
            <w:r>
              <w:rPr>
                <w:rFonts w:hint="eastAsia"/>
                <w:color w:val="auto"/>
                <w:lang w:eastAsia="zh-CN"/>
              </w:rPr>
              <w:t>，</w:t>
            </w:r>
            <w:r>
              <w:rPr>
                <w:rFonts w:hint="eastAsia"/>
                <w:color w:val="auto"/>
              </w:rPr>
              <w:t>厂界V</w:t>
            </w:r>
            <w:r>
              <w:rPr>
                <w:color w:val="auto"/>
              </w:rPr>
              <w:t>OC</w:t>
            </w:r>
            <w:r>
              <w:rPr>
                <w:rFonts w:hint="eastAsia"/>
                <w:color w:val="auto"/>
              </w:rPr>
              <w:t>s满足</w:t>
            </w:r>
            <w:r>
              <w:rPr>
                <w:color w:val="auto"/>
              </w:rPr>
              <w:t>《大气污染物综合排放标准》（GB16297-1996）</w:t>
            </w:r>
            <w:r>
              <w:rPr>
                <w:rFonts w:hint="eastAsia"/>
                <w:color w:val="auto"/>
              </w:rPr>
              <w:t>表2</w:t>
            </w:r>
            <w:r>
              <w:rPr>
                <w:color w:val="auto"/>
              </w:rPr>
              <w:t>中</w:t>
            </w:r>
            <w:r>
              <w:rPr>
                <w:rFonts w:hint="eastAsia"/>
                <w:color w:val="auto"/>
              </w:rPr>
              <w:t>无组织排放标准要求</w:t>
            </w:r>
          </w:p>
        </w:tc>
      </w:tr>
      <w:tr w14:paraId="0AD948A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69" w:type="dxa"/>
            <w:vAlign w:val="center"/>
          </w:tcPr>
          <w:p w14:paraId="7DE47845">
            <w:pPr>
              <w:adjustRightInd w:val="0"/>
              <w:snapToGrid w:val="0"/>
              <w:jc w:val="center"/>
              <w:rPr>
                <w:color w:val="auto"/>
                <w:szCs w:val="21"/>
              </w:rPr>
            </w:pPr>
            <w:r>
              <w:rPr>
                <w:color w:val="auto"/>
                <w:szCs w:val="21"/>
              </w:rPr>
              <w:t>地表水环境</w:t>
            </w:r>
          </w:p>
        </w:tc>
        <w:tc>
          <w:tcPr>
            <w:tcW w:w="1048" w:type="dxa"/>
            <w:vAlign w:val="center"/>
          </w:tcPr>
          <w:p w14:paraId="4262D7A7">
            <w:pPr>
              <w:adjustRightInd w:val="0"/>
              <w:snapToGrid w:val="0"/>
              <w:jc w:val="center"/>
              <w:rPr>
                <w:color w:val="auto"/>
                <w:szCs w:val="21"/>
              </w:rPr>
            </w:pPr>
            <w:r>
              <w:rPr>
                <w:rFonts w:hint="eastAsia"/>
                <w:color w:val="auto"/>
                <w:szCs w:val="21"/>
              </w:rPr>
              <w:t>职工</w:t>
            </w:r>
          </w:p>
        </w:tc>
        <w:tc>
          <w:tcPr>
            <w:tcW w:w="1134" w:type="dxa"/>
            <w:vAlign w:val="center"/>
          </w:tcPr>
          <w:p w14:paraId="3795808E">
            <w:pPr>
              <w:adjustRightInd w:val="0"/>
              <w:snapToGrid w:val="0"/>
              <w:jc w:val="center"/>
              <w:rPr>
                <w:color w:val="auto"/>
                <w:szCs w:val="21"/>
              </w:rPr>
            </w:pPr>
            <w:r>
              <w:rPr>
                <w:rFonts w:hint="eastAsia"/>
                <w:color w:val="auto"/>
                <w:szCs w:val="21"/>
              </w:rPr>
              <w:t>生活污水</w:t>
            </w:r>
          </w:p>
        </w:tc>
        <w:tc>
          <w:tcPr>
            <w:tcW w:w="2976" w:type="dxa"/>
            <w:vAlign w:val="center"/>
          </w:tcPr>
          <w:p w14:paraId="2E4F7769">
            <w:pPr>
              <w:adjustRightInd w:val="0"/>
              <w:snapToGrid w:val="0"/>
              <w:jc w:val="center"/>
              <w:rPr>
                <w:color w:val="auto"/>
                <w:szCs w:val="21"/>
              </w:rPr>
            </w:pPr>
            <w:r>
              <w:rPr>
                <w:rFonts w:hint="eastAsia"/>
                <w:color w:val="auto"/>
                <w:szCs w:val="21"/>
              </w:rPr>
              <w:t>排入防渗旱厕</w:t>
            </w:r>
            <w:r>
              <w:rPr>
                <w:rFonts w:hint="eastAsia"/>
                <w:color w:val="auto"/>
                <w:szCs w:val="21"/>
                <w:lang w:eastAsia="zh-CN"/>
              </w:rPr>
              <w:t>，</w:t>
            </w:r>
            <w:r>
              <w:rPr>
                <w:rFonts w:hint="eastAsia"/>
                <w:color w:val="auto"/>
                <w:szCs w:val="21"/>
              </w:rPr>
              <w:t>定期清掏堆肥</w:t>
            </w:r>
          </w:p>
        </w:tc>
        <w:tc>
          <w:tcPr>
            <w:tcW w:w="2597" w:type="dxa"/>
            <w:vAlign w:val="center"/>
          </w:tcPr>
          <w:p w14:paraId="453DB2D6">
            <w:pPr>
              <w:adjustRightInd w:val="0"/>
              <w:snapToGrid w:val="0"/>
              <w:jc w:val="center"/>
              <w:rPr>
                <w:color w:val="auto"/>
                <w:szCs w:val="21"/>
              </w:rPr>
            </w:pPr>
            <w:r>
              <w:rPr>
                <w:rFonts w:hint="eastAsia"/>
                <w:color w:val="auto"/>
                <w:szCs w:val="21"/>
              </w:rPr>
              <w:t>不外排</w:t>
            </w:r>
          </w:p>
        </w:tc>
      </w:tr>
      <w:tr w14:paraId="5AFEF997">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69" w:type="dxa"/>
            <w:vAlign w:val="center"/>
          </w:tcPr>
          <w:p w14:paraId="0A2C2186">
            <w:pPr>
              <w:adjustRightInd w:val="0"/>
              <w:snapToGrid w:val="0"/>
              <w:jc w:val="center"/>
              <w:rPr>
                <w:color w:val="auto"/>
                <w:szCs w:val="21"/>
              </w:rPr>
            </w:pPr>
            <w:r>
              <w:rPr>
                <w:color w:val="auto"/>
                <w:szCs w:val="21"/>
              </w:rPr>
              <w:t>声环境</w:t>
            </w:r>
          </w:p>
        </w:tc>
        <w:tc>
          <w:tcPr>
            <w:tcW w:w="1048" w:type="dxa"/>
            <w:vAlign w:val="center"/>
          </w:tcPr>
          <w:p w14:paraId="0766956F">
            <w:pPr>
              <w:adjustRightInd w:val="0"/>
              <w:snapToGrid w:val="0"/>
              <w:jc w:val="center"/>
              <w:rPr>
                <w:color w:val="auto"/>
                <w:szCs w:val="21"/>
              </w:rPr>
            </w:pPr>
            <w:r>
              <w:rPr>
                <w:color w:val="auto"/>
                <w:szCs w:val="21"/>
              </w:rPr>
              <w:t>噪声</w:t>
            </w:r>
          </w:p>
        </w:tc>
        <w:tc>
          <w:tcPr>
            <w:tcW w:w="1134" w:type="dxa"/>
            <w:vAlign w:val="center"/>
          </w:tcPr>
          <w:p w14:paraId="2A4D9851">
            <w:pPr>
              <w:adjustRightInd w:val="0"/>
              <w:snapToGrid w:val="0"/>
              <w:jc w:val="center"/>
              <w:rPr>
                <w:color w:val="auto"/>
                <w:szCs w:val="21"/>
              </w:rPr>
            </w:pPr>
            <w:r>
              <w:rPr>
                <w:color w:val="auto"/>
                <w:szCs w:val="21"/>
              </w:rPr>
              <w:t>昼/夜Leq</w:t>
            </w:r>
          </w:p>
        </w:tc>
        <w:tc>
          <w:tcPr>
            <w:tcW w:w="2976" w:type="dxa"/>
            <w:vAlign w:val="center"/>
          </w:tcPr>
          <w:p w14:paraId="47EB38D7">
            <w:pPr>
              <w:adjustRightInd w:val="0"/>
              <w:snapToGrid w:val="0"/>
              <w:jc w:val="center"/>
              <w:rPr>
                <w:color w:val="auto"/>
                <w:szCs w:val="21"/>
              </w:rPr>
            </w:pPr>
            <w:r>
              <w:rPr>
                <w:rFonts w:hint="eastAsia"/>
                <w:color w:val="auto"/>
                <w:szCs w:val="21"/>
              </w:rPr>
              <w:t>选用低噪声设备、</w:t>
            </w:r>
            <w:r>
              <w:rPr>
                <w:color w:val="auto"/>
                <w:szCs w:val="21"/>
              </w:rPr>
              <w:t>减振、消声、隔声</w:t>
            </w:r>
          </w:p>
        </w:tc>
        <w:tc>
          <w:tcPr>
            <w:tcW w:w="2597" w:type="dxa"/>
            <w:vAlign w:val="center"/>
          </w:tcPr>
          <w:p w14:paraId="007E0D41">
            <w:pPr>
              <w:adjustRightInd w:val="0"/>
              <w:snapToGrid w:val="0"/>
              <w:jc w:val="center"/>
              <w:rPr>
                <w:color w:val="auto"/>
                <w:szCs w:val="21"/>
              </w:rPr>
            </w:pPr>
            <w:r>
              <w:rPr>
                <w:color w:val="auto"/>
                <w:szCs w:val="21"/>
              </w:rPr>
              <w:t>《工业企业厂界环境噪声排放标准》（GB12348-2008）表1中2类标准</w:t>
            </w:r>
          </w:p>
        </w:tc>
      </w:tr>
      <w:tr w14:paraId="2EDB9D13">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69" w:type="dxa"/>
            <w:vAlign w:val="center"/>
          </w:tcPr>
          <w:p w14:paraId="13B2AE81">
            <w:pPr>
              <w:adjustRightInd w:val="0"/>
              <w:snapToGrid w:val="0"/>
              <w:jc w:val="center"/>
              <w:rPr>
                <w:color w:val="auto"/>
                <w:szCs w:val="21"/>
              </w:rPr>
            </w:pPr>
            <w:r>
              <w:rPr>
                <w:color w:val="auto"/>
                <w:szCs w:val="21"/>
              </w:rPr>
              <w:t>电磁辐射</w:t>
            </w:r>
          </w:p>
        </w:tc>
        <w:tc>
          <w:tcPr>
            <w:tcW w:w="1048" w:type="dxa"/>
            <w:vAlign w:val="center"/>
          </w:tcPr>
          <w:p w14:paraId="7D1394CC">
            <w:pPr>
              <w:adjustRightInd w:val="0"/>
              <w:snapToGrid w:val="0"/>
              <w:jc w:val="center"/>
              <w:rPr>
                <w:color w:val="auto"/>
                <w:szCs w:val="21"/>
              </w:rPr>
            </w:pPr>
            <w:r>
              <w:rPr>
                <w:color w:val="auto"/>
                <w:szCs w:val="21"/>
              </w:rPr>
              <w:t>/</w:t>
            </w:r>
          </w:p>
        </w:tc>
        <w:tc>
          <w:tcPr>
            <w:tcW w:w="1134" w:type="dxa"/>
            <w:vAlign w:val="center"/>
          </w:tcPr>
          <w:p w14:paraId="1BA9129A">
            <w:pPr>
              <w:adjustRightInd w:val="0"/>
              <w:snapToGrid w:val="0"/>
              <w:jc w:val="center"/>
              <w:rPr>
                <w:color w:val="auto"/>
                <w:szCs w:val="21"/>
              </w:rPr>
            </w:pPr>
            <w:r>
              <w:rPr>
                <w:color w:val="auto"/>
                <w:szCs w:val="21"/>
              </w:rPr>
              <w:t>/</w:t>
            </w:r>
          </w:p>
        </w:tc>
        <w:tc>
          <w:tcPr>
            <w:tcW w:w="2976" w:type="dxa"/>
            <w:vAlign w:val="center"/>
          </w:tcPr>
          <w:p w14:paraId="54D1E42F">
            <w:pPr>
              <w:adjustRightInd w:val="0"/>
              <w:snapToGrid w:val="0"/>
              <w:jc w:val="center"/>
              <w:rPr>
                <w:color w:val="auto"/>
                <w:szCs w:val="21"/>
              </w:rPr>
            </w:pPr>
            <w:r>
              <w:rPr>
                <w:color w:val="auto"/>
                <w:szCs w:val="21"/>
              </w:rPr>
              <w:t>/</w:t>
            </w:r>
          </w:p>
        </w:tc>
        <w:tc>
          <w:tcPr>
            <w:tcW w:w="2597" w:type="dxa"/>
            <w:vAlign w:val="center"/>
          </w:tcPr>
          <w:p w14:paraId="62E21CC3">
            <w:pPr>
              <w:adjustRightInd w:val="0"/>
              <w:snapToGrid w:val="0"/>
              <w:jc w:val="center"/>
              <w:rPr>
                <w:color w:val="auto"/>
                <w:szCs w:val="21"/>
              </w:rPr>
            </w:pPr>
            <w:r>
              <w:rPr>
                <w:color w:val="auto"/>
                <w:szCs w:val="21"/>
              </w:rPr>
              <w:t>/</w:t>
            </w:r>
          </w:p>
        </w:tc>
      </w:tr>
      <w:tr w14:paraId="381E5B7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69" w:type="dxa"/>
            <w:vAlign w:val="center"/>
          </w:tcPr>
          <w:p w14:paraId="32395ECA">
            <w:pPr>
              <w:adjustRightInd w:val="0"/>
              <w:snapToGrid w:val="0"/>
              <w:jc w:val="center"/>
              <w:rPr>
                <w:color w:val="auto"/>
                <w:szCs w:val="21"/>
              </w:rPr>
            </w:pPr>
            <w:r>
              <w:rPr>
                <w:color w:val="auto"/>
                <w:szCs w:val="21"/>
              </w:rPr>
              <w:t>固体废物</w:t>
            </w:r>
          </w:p>
        </w:tc>
        <w:tc>
          <w:tcPr>
            <w:tcW w:w="7755" w:type="dxa"/>
            <w:gridSpan w:val="4"/>
            <w:vAlign w:val="center"/>
          </w:tcPr>
          <w:p w14:paraId="02F6AB94">
            <w:pPr>
              <w:pStyle w:val="101"/>
              <w:jc w:val="left"/>
              <w:rPr>
                <w:color w:val="auto"/>
              </w:rPr>
            </w:pPr>
            <w:r>
              <w:rPr>
                <w:color w:val="auto"/>
              </w:rPr>
              <w:t>生活垃圾由</w:t>
            </w:r>
            <w:r>
              <w:rPr>
                <w:rFonts w:hint="eastAsia"/>
                <w:color w:val="auto"/>
              </w:rPr>
              <w:t>当地</w:t>
            </w:r>
            <w:r>
              <w:rPr>
                <w:color w:val="auto"/>
              </w:rPr>
              <w:t>环卫部门统一处置</w:t>
            </w:r>
            <w:r>
              <w:rPr>
                <w:rFonts w:hint="eastAsia"/>
                <w:color w:val="auto"/>
              </w:rPr>
              <w:t>；</w:t>
            </w:r>
            <w:r>
              <w:rPr>
                <w:color w:val="auto"/>
              </w:rPr>
              <w:t>废</w:t>
            </w:r>
            <w:r>
              <w:rPr>
                <w:rFonts w:hint="eastAsia"/>
                <w:color w:val="auto"/>
              </w:rPr>
              <w:t>活性炭</w:t>
            </w:r>
            <w:r>
              <w:rPr>
                <w:color w:val="auto"/>
              </w:rPr>
              <w:t>暂存在危废暂存间内</w:t>
            </w:r>
            <w:r>
              <w:rPr>
                <w:rFonts w:hint="eastAsia"/>
                <w:color w:val="auto"/>
                <w:lang w:eastAsia="zh-CN"/>
              </w:rPr>
              <w:t>，</w:t>
            </w:r>
            <w:r>
              <w:rPr>
                <w:color w:val="auto"/>
              </w:rPr>
              <w:t>定期交由有资质单位处置。项目危废暂存间位于</w:t>
            </w:r>
            <w:r>
              <w:rPr>
                <w:rFonts w:hint="eastAsia"/>
                <w:color w:val="auto"/>
              </w:rPr>
              <w:t>车间</w:t>
            </w:r>
            <w:r>
              <w:rPr>
                <w:color w:val="auto"/>
              </w:rPr>
              <w:t>内</w:t>
            </w:r>
            <w:r>
              <w:rPr>
                <w:rFonts w:hint="eastAsia"/>
                <w:color w:val="auto"/>
                <w:lang w:eastAsia="zh-CN"/>
              </w:rPr>
              <w:t>，</w:t>
            </w:r>
            <w:r>
              <w:rPr>
                <w:color w:val="auto"/>
                <w:szCs w:val="24"/>
              </w:rPr>
              <w:t>面积2m</w:t>
            </w:r>
            <w:r>
              <w:rPr>
                <w:color w:val="auto"/>
                <w:szCs w:val="24"/>
                <w:vertAlign w:val="superscript"/>
              </w:rPr>
              <w:t>2</w:t>
            </w:r>
            <w:r>
              <w:rPr>
                <w:rFonts w:hint="eastAsia"/>
                <w:color w:val="auto"/>
                <w:szCs w:val="24"/>
                <w:lang w:eastAsia="zh-CN"/>
              </w:rPr>
              <w:t>，</w:t>
            </w:r>
            <w:r>
              <w:rPr>
                <w:rFonts w:hint="eastAsia"/>
                <w:color w:val="auto"/>
                <w:szCs w:val="24"/>
              </w:rPr>
              <w:t>地面及裙脚</w:t>
            </w:r>
            <w:r>
              <w:rPr>
                <w:color w:val="auto"/>
              </w:rPr>
              <w:t>采用2mm厚的高密度聚乙烯+防渗混凝土进行防渗处理</w:t>
            </w:r>
            <w:r>
              <w:rPr>
                <w:rFonts w:hint="eastAsia"/>
                <w:color w:val="auto"/>
                <w:lang w:eastAsia="zh-CN"/>
              </w:rPr>
              <w:t>，</w:t>
            </w:r>
            <w:r>
              <w:rPr>
                <w:color w:val="auto"/>
              </w:rPr>
              <w:t>渗透系数≤10</w:t>
            </w:r>
            <w:r>
              <w:rPr>
                <w:color w:val="auto"/>
                <w:vertAlign w:val="superscript"/>
              </w:rPr>
              <w:t>-10</w:t>
            </w:r>
            <w:r>
              <w:rPr>
                <w:color w:val="auto"/>
              </w:rPr>
              <w:t>cm/s</w:t>
            </w:r>
            <w:r>
              <w:rPr>
                <w:rFonts w:hint="eastAsia"/>
                <w:color w:val="auto"/>
                <w:lang w:eastAsia="zh-CN"/>
              </w:rPr>
              <w:t>，</w:t>
            </w:r>
            <w:r>
              <w:rPr>
                <w:color w:val="auto"/>
                <w:szCs w:val="24"/>
              </w:rPr>
              <w:t>满足</w:t>
            </w:r>
            <w:r>
              <w:rPr>
                <w:rFonts w:hint="eastAsia"/>
                <w:color w:val="auto"/>
                <w:szCs w:val="24"/>
              </w:rPr>
              <w:t>《危险废物贮存污染控制标准》（GB18597-2023）</w:t>
            </w:r>
            <w:r>
              <w:rPr>
                <w:color w:val="auto"/>
              </w:rPr>
              <w:t>的要求。</w:t>
            </w:r>
          </w:p>
        </w:tc>
      </w:tr>
      <w:tr w14:paraId="7BCD223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69" w:type="dxa"/>
            <w:vAlign w:val="center"/>
          </w:tcPr>
          <w:p w14:paraId="7A3C562B">
            <w:pPr>
              <w:adjustRightInd w:val="0"/>
              <w:snapToGrid w:val="0"/>
              <w:jc w:val="center"/>
              <w:rPr>
                <w:color w:val="auto"/>
                <w:szCs w:val="21"/>
              </w:rPr>
            </w:pPr>
            <w:r>
              <w:rPr>
                <w:color w:val="auto"/>
                <w:szCs w:val="21"/>
              </w:rPr>
              <w:t>土壤及地下水污染防治措施</w:t>
            </w:r>
          </w:p>
        </w:tc>
        <w:tc>
          <w:tcPr>
            <w:tcW w:w="7755" w:type="dxa"/>
            <w:gridSpan w:val="4"/>
            <w:vAlign w:val="center"/>
          </w:tcPr>
          <w:p w14:paraId="0FFDF06F">
            <w:pPr>
              <w:adjustRightInd w:val="0"/>
              <w:snapToGrid w:val="0"/>
              <w:jc w:val="center"/>
              <w:rPr>
                <w:color w:val="auto"/>
                <w:szCs w:val="21"/>
              </w:rPr>
            </w:pPr>
            <w:r>
              <w:rPr>
                <w:rFonts w:hint="eastAsia"/>
                <w:color w:val="auto"/>
                <w:szCs w:val="21"/>
                <w:lang w:val="en-US" w:eastAsia="zh-CN"/>
              </w:rPr>
              <w:t>项目储罐均采用不锈钢专用储罐，车间地面敷设2mm厚的高密度聚乙烯防水层，上部敷设10cm厚混凝土防渗层，混凝土的抗渗等级不低于P8，满足《石油化工工程防渗技术规范》（GB/T50934-2013）重点防治区的防渗要求，可有效保护厂区地下水和土壤不受污染。车间敷设10cm厚混凝土防渗层，混凝土的抗渗等级不低于P8，渗透系数≤10</w:t>
            </w:r>
            <w:r>
              <w:rPr>
                <w:rFonts w:hint="eastAsia"/>
                <w:color w:val="auto"/>
                <w:szCs w:val="21"/>
                <w:vertAlign w:val="superscript"/>
                <w:lang w:val="en-US" w:eastAsia="zh-CN"/>
              </w:rPr>
              <w:t xml:space="preserve">-10 </w:t>
            </w:r>
            <w:r>
              <w:rPr>
                <w:rFonts w:hint="eastAsia"/>
                <w:color w:val="auto"/>
                <w:szCs w:val="21"/>
                <w:vertAlign w:val="baseline"/>
                <w:lang w:val="en-US" w:eastAsia="zh-CN"/>
              </w:rPr>
              <w:t>cm/s，满足《环境影响评价技术导则·地下水环境》（HJ610-2016）表7中一般防渗区防渗技术要求（等效黏土防渗层Mb≥1.5m，渗透系数≤10</w:t>
            </w:r>
            <w:r>
              <w:rPr>
                <w:rFonts w:hint="eastAsia"/>
                <w:color w:val="auto"/>
                <w:szCs w:val="21"/>
                <w:vertAlign w:val="superscript"/>
                <w:lang w:val="en-US" w:eastAsia="zh-CN"/>
              </w:rPr>
              <w:t>-7</w:t>
            </w:r>
            <w:r>
              <w:rPr>
                <w:rFonts w:hint="eastAsia"/>
                <w:color w:val="auto"/>
                <w:szCs w:val="21"/>
                <w:vertAlign w:val="baseline"/>
                <w:lang w:val="en-US" w:eastAsia="zh-CN"/>
              </w:rPr>
              <w:t>cm/s）</w:t>
            </w:r>
          </w:p>
        </w:tc>
      </w:tr>
      <w:tr w14:paraId="2EB78E48">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69" w:type="dxa"/>
            <w:vAlign w:val="center"/>
          </w:tcPr>
          <w:p w14:paraId="74112220">
            <w:pPr>
              <w:adjustRightInd w:val="0"/>
              <w:snapToGrid w:val="0"/>
              <w:jc w:val="center"/>
              <w:rPr>
                <w:color w:val="auto"/>
                <w:szCs w:val="21"/>
              </w:rPr>
            </w:pPr>
            <w:r>
              <w:rPr>
                <w:color w:val="auto"/>
                <w:szCs w:val="21"/>
              </w:rPr>
              <w:t>生态保护措施</w:t>
            </w:r>
          </w:p>
        </w:tc>
        <w:tc>
          <w:tcPr>
            <w:tcW w:w="7755" w:type="dxa"/>
            <w:gridSpan w:val="4"/>
            <w:vAlign w:val="center"/>
          </w:tcPr>
          <w:p w14:paraId="4A963174">
            <w:pPr>
              <w:adjustRightInd w:val="0"/>
              <w:snapToGrid w:val="0"/>
              <w:jc w:val="center"/>
              <w:rPr>
                <w:color w:val="auto"/>
                <w:szCs w:val="21"/>
              </w:rPr>
            </w:pPr>
            <w:r>
              <w:rPr>
                <w:color w:val="auto"/>
                <w:szCs w:val="21"/>
              </w:rPr>
              <w:t>/</w:t>
            </w:r>
          </w:p>
        </w:tc>
      </w:tr>
      <w:tr w14:paraId="61CD8E81">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69" w:type="dxa"/>
            <w:vAlign w:val="center"/>
          </w:tcPr>
          <w:p w14:paraId="0FA20F5A">
            <w:pPr>
              <w:adjustRightInd w:val="0"/>
              <w:snapToGrid w:val="0"/>
              <w:jc w:val="center"/>
              <w:rPr>
                <w:color w:val="auto"/>
                <w:spacing w:val="-8"/>
                <w:szCs w:val="21"/>
              </w:rPr>
            </w:pPr>
            <w:r>
              <w:rPr>
                <w:color w:val="auto"/>
                <w:spacing w:val="-8"/>
                <w:szCs w:val="21"/>
              </w:rPr>
              <w:t>环境风险</w:t>
            </w:r>
          </w:p>
          <w:p w14:paraId="05A819AA">
            <w:pPr>
              <w:adjustRightInd w:val="0"/>
              <w:snapToGrid w:val="0"/>
              <w:jc w:val="center"/>
              <w:rPr>
                <w:color w:val="auto"/>
                <w:spacing w:val="-8"/>
                <w:szCs w:val="21"/>
              </w:rPr>
            </w:pPr>
            <w:r>
              <w:rPr>
                <w:color w:val="auto"/>
                <w:spacing w:val="-8"/>
                <w:szCs w:val="21"/>
              </w:rPr>
              <w:t>防范措施</w:t>
            </w:r>
          </w:p>
        </w:tc>
        <w:tc>
          <w:tcPr>
            <w:tcW w:w="7755" w:type="dxa"/>
            <w:gridSpan w:val="4"/>
            <w:vAlign w:val="center"/>
          </w:tcPr>
          <w:p w14:paraId="36065366">
            <w:pPr>
              <w:pStyle w:val="101"/>
              <w:rPr>
                <w:color w:val="auto"/>
                <w:szCs w:val="21"/>
              </w:rPr>
            </w:pPr>
            <w:r>
              <w:rPr>
                <w:color w:val="auto"/>
              </w:rPr>
              <w:t>加强车间工作人员安全教育工作</w:t>
            </w:r>
            <w:r>
              <w:rPr>
                <w:rFonts w:hint="eastAsia"/>
                <w:color w:val="auto"/>
                <w:lang w:eastAsia="zh-CN"/>
              </w:rPr>
              <w:t>，</w:t>
            </w:r>
            <w:r>
              <w:rPr>
                <w:color w:val="auto"/>
              </w:rPr>
              <w:t>每个工作人员在业务上、工作上与安全管理上的职责、责任必须明确</w:t>
            </w:r>
            <w:r>
              <w:rPr>
                <w:rFonts w:hint="eastAsia"/>
                <w:color w:val="auto"/>
              </w:rPr>
              <w:t>；</w:t>
            </w:r>
            <w:r>
              <w:rPr>
                <w:color w:val="auto"/>
              </w:rPr>
              <w:t>加强</w:t>
            </w:r>
            <w:r>
              <w:rPr>
                <w:rFonts w:hint="eastAsia"/>
                <w:color w:val="auto"/>
              </w:rPr>
              <w:t>化学品</w:t>
            </w:r>
            <w:r>
              <w:rPr>
                <w:color w:val="auto"/>
              </w:rPr>
              <w:t>存储设施的维护及管理</w:t>
            </w:r>
            <w:r>
              <w:rPr>
                <w:rFonts w:hint="eastAsia"/>
                <w:color w:val="auto"/>
                <w:lang w:eastAsia="zh-CN"/>
              </w:rPr>
              <w:t>，</w:t>
            </w:r>
            <w:r>
              <w:rPr>
                <w:color w:val="auto"/>
              </w:rPr>
              <w:t>严格防止跑、冒、滴、漏现象发生</w:t>
            </w:r>
            <w:r>
              <w:rPr>
                <w:rFonts w:hint="eastAsia"/>
                <w:color w:val="auto"/>
              </w:rPr>
              <w:t>；</w:t>
            </w:r>
            <w:r>
              <w:rPr>
                <w:rFonts w:hint="eastAsia"/>
                <w:color w:val="auto"/>
                <w:szCs w:val="21"/>
              </w:rPr>
              <w:t>生产区和存储区四周设置0</w:t>
            </w:r>
            <w:r>
              <w:rPr>
                <w:color w:val="auto"/>
                <w:szCs w:val="21"/>
              </w:rPr>
              <w:t>.</w:t>
            </w:r>
            <w:r>
              <w:rPr>
                <w:rFonts w:hint="eastAsia"/>
                <w:color w:val="auto"/>
                <w:szCs w:val="21"/>
                <w:lang w:val="en-US" w:eastAsia="zh-CN"/>
              </w:rPr>
              <w:t>5</w:t>
            </w:r>
            <w:r>
              <w:rPr>
                <w:rFonts w:hint="eastAsia"/>
                <w:color w:val="auto"/>
                <w:szCs w:val="21"/>
              </w:rPr>
              <w:t>m高防渗围堰</w:t>
            </w:r>
            <w:r>
              <w:rPr>
                <w:rFonts w:hint="eastAsia"/>
                <w:color w:val="auto"/>
                <w:szCs w:val="21"/>
                <w:lang w:eastAsia="zh-CN"/>
              </w:rPr>
              <w:t>，</w:t>
            </w:r>
            <w:r>
              <w:rPr>
                <w:rFonts w:hint="eastAsia"/>
                <w:color w:val="auto"/>
                <w:szCs w:val="21"/>
              </w:rPr>
              <w:t>采用防渗混凝土结构</w:t>
            </w:r>
            <w:r>
              <w:rPr>
                <w:rFonts w:hint="eastAsia"/>
                <w:color w:val="auto"/>
                <w:szCs w:val="21"/>
                <w:lang w:eastAsia="zh-CN"/>
              </w:rPr>
              <w:t>，</w:t>
            </w:r>
            <w:r>
              <w:rPr>
                <w:color w:val="auto"/>
              </w:rPr>
              <w:t>渗透系数≤10</w:t>
            </w:r>
            <w:r>
              <w:rPr>
                <w:color w:val="auto"/>
                <w:vertAlign w:val="superscript"/>
              </w:rPr>
              <w:t>-10</w:t>
            </w:r>
            <w:r>
              <w:rPr>
                <w:color w:val="auto"/>
              </w:rPr>
              <w:t>cm/s</w:t>
            </w:r>
            <w:r>
              <w:rPr>
                <w:rFonts w:hint="eastAsia"/>
                <w:color w:val="auto"/>
                <w:lang w:eastAsia="zh-CN"/>
              </w:rPr>
              <w:t>，</w:t>
            </w:r>
            <w:r>
              <w:rPr>
                <w:rFonts w:hint="eastAsia"/>
                <w:color w:val="auto"/>
              </w:rPr>
              <w:t>围堰内</w:t>
            </w:r>
            <w:r>
              <w:rPr>
                <w:rFonts w:hint="eastAsia"/>
                <w:color w:val="auto"/>
                <w:szCs w:val="21"/>
              </w:rPr>
              <w:t>有效容积</w:t>
            </w:r>
            <w:r>
              <w:rPr>
                <w:color w:val="auto"/>
                <w:szCs w:val="21"/>
              </w:rPr>
              <w:t>48</w:t>
            </w:r>
            <w:r>
              <w:rPr>
                <w:rFonts w:hint="eastAsia"/>
                <w:color w:val="auto"/>
                <w:szCs w:val="21"/>
              </w:rPr>
              <w:t>m</w:t>
            </w:r>
            <w:r>
              <w:rPr>
                <w:color w:val="auto"/>
                <w:szCs w:val="21"/>
                <w:vertAlign w:val="superscript"/>
              </w:rPr>
              <w:t>3</w:t>
            </w:r>
            <w:r>
              <w:rPr>
                <w:rFonts w:hint="eastAsia"/>
                <w:color w:val="auto"/>
                <w:szCs w:val="21"/>
              </w:rPr>
              <w:t>（大于车间总的物料存在量）；车间设置泄漏报警及监控装置</w:t>
            </w:r>
            <w:r>
              <w:rPr>
                <w:rFonts w:hint="eastAsia"/>
                <w:color w:val="auto"/>
                <w:szCs w:val="21"/>
                <w:lang w:eastAsia="zh-CN"/>
              </w:rPr>
              <w:t>，</w:t>
            </w:r>
            <w:r>
              <w:rPr>
                <w:rFonts w:hint="eastAsia"/>
                <w:color w:val="auto"/>
                <w:szCs w:val="21"/>
              </w:rPr>
              <w:t>一旦泄漏及时发现并处理</w:t>
            </w:r>
            <w:r>
              <w:rPr>
                <w:bCs/>
                <w:color w:val="auto"/>
              </w:rPr>
              <w:t>。</w:t>
            </w:r>
          </w:p>
        </w:tc>
      </w:tr>
      <w:tr w14:paraId="0872DEC6">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67" w:hRule="atLeast"/>
          <w:jc w:val="center"/>
        </w:trPr>
        <w:tc>
          <w:tcPr>
            <w:tcW w:w="1069" w:type="dxa"/>
            <w:vAlign w:val="center"/>
          </w:tcPr>
          <w:p w14:paraId="6A02BAA9">
            <w:pPr>
              <w:adjustRightInd w:val="0"/>
              <w:snapToGrid w:val="0"/>
              <w:jc w:val="center"/>
              <w:rPr>
                <w:color w:val="auto"/>
                <w:spacing w:val="-8"/>
                <w:szCs w:val="21"/>
              </w:rPr>
            </w:pPr>
            <w:r>
              <w:rPr>
                <w:color w:val="auto"/>
                <w:spacing w:val="-8"/>
                <w:szCs w:val="21"/>
              </w:rPr>
              <w:t>其他环境</w:t>
            </w:r>
          </w:p>
          <w:p w14:paraId="6943DA3F">
            <w:pPr>
              <w:adjustRightInd w:val="0"/>
              <w:snapToGrid w:val="0"/>
              <w:jc w:val="center"/>
              <w:rPr>
                <w:color w:val="auto"/>
                <w:spacing w:val="-8"/>
                <w:szCs w:val="21"/>
              </w:rPr>
            </w:pPr>
            <w:r>
              <w:rPr>
                <w:color w:val="auto"/>
                <w:spacing w:val="-8"/>
                <w:szCs w:val="21"/>
              </w:rPr>
              <w:t>管理要求</w:t>
            </w:r>
          </w:p>
        </w:tc>
        <w:tc>
          <w:tcPr>
            <w:tcW w:w="7755" w:type="dxa"/>
            <w:gridSpan w:val="4"/>
            <w:vAlign w:val="center"/>
          </w:tcPr>
          <w:p w14:paraId="3B99D4AE">
            <w:pPr>
              <w:ind w:firstLine="420" w:firstLineChars="200"/>
              <w:rPr>
                <w:color w:val="auto"/>
                <w:szCs w:val="21"/>
              </w:rPr>
            </w:pPr>
            <w:r>
              <w:rPr>
                <w:color w:val="auto"/>
              </w:rPr>
              <w:t>在项目建成投运之前</w:t>
            </w:r>
            <w:r>
              <w:rPr>
                <w:rFonts w:hint="eastAsia"/>
                <w:color w:val="auto"/>
                <w:lang w:eastAsia="zh-CN"/>
              </w:rPr>
              <w:t>，</w:t>
            </w:r>
            <w:r>
              <w:rPr>
                <w:rFonts w:hint="eastAsia"/>
                <w:color w:val="auto"/>
              </w:rPr>
              <w:t>按照</w:t>
            </w:r>
            <w:r>
              <w:rPr>
                <w:color w:val="auto"/>
              </w:rPr>
              <w:t>《固定污染源排污许可分类管理名录（2019年版）》</w:t>
            </w:r>
            <w:r>
              <w:rPr>
                <w:rFonts w:hint="eastAsia"/>
                <w:color w:val="auto"/>
              </w:rPr>
              <w:t>的</w:t>
            </w:r>
            <w:r>
              <w:rPr>
                <w:color w:val="auto"/>
              </w:rPr>
              <w:t>要求</w:t>
            </w:r>
            <w:r>
              <w:rPr>
                <w:rFonts w:hint="eastAsia"/>
                <w:color w:val="auto"/>
              </w:rPr>
              <w:t>填报排污许可手续</w:t>
            </w:r>
            <w:r>
              <w:rPr>
                <w:color w:val="auto"/>
              </w:rPr>
              <w:t>。</w:t>
            </w:r>
          </w:p>
        </w:tc>
      </w:tr>
    </w:tbl>
    <w:p w14:paraId="03E4402C">
      <w:pPr>
        <w:pStyle w:val="38"/>
        <w:jc w:val="center"/>
        <w:outlineLvl w:val="0"/>
        <w:rPr>
          <w:rFonts w:ascii="Times New Roman" w:hAnsi="Times New Roman"/>
          <w:snapToGrid w:val="0"/>
          <w:color w:val="auto"/>
          <w:sz w:val="30"/>
          <w:szCs w:val="30"/>
        </w:rPr>
      </w:pPr>
      <w:r>
        <w:rPr>
          <w:rFonts w:ascii="Times New Roman" w:hAnsi="Times New Roman"/>
          <w:snapToGrid w:val="0"/>
          <w:color w:val="auto"/>
        </w:rPr>
        <w:br w:type="page"/>
      </w:r>
      <w:bookmarkStart w:id="9" w:name="_Toc83393935"/>
      <w:r>
        <w:rPr>
          <w:rFonts w:ascii="Times New Roman" w:hAnsi="Times New Roman"/>
          <w:snapToGrid w:val="0"/>
          <w:color w:val="auto"/>
          <w:sz w:val="30"/>
          <w:szCs w:val="30"/>
        </w:rPr>
        <w:t>六、结论</w:t>
      </w:r>
      <w:bookmarkEnd w:id="9"/>
    </w:p>
    <w:tbl>
      <w:tblPr>
        <w:tblStyle w:val="43"/>
        <w:tblW w:w="0" w:type="auto"/>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8865"/>
      </w:tblGrid>
      <w:tr w14:paraId="784D587E">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1991" w:hRule="atLeast"/>
          <w:jc w:val="center"/>
        </w:trPr>
        <w:tc>
          <w:tcPr>
            <w:tcW w:w="8865" w:type="dxa"/>
          </w:tcPr>
          <w:p w14:paraId="1CACEB29">
            <w:pPr>
              <w:pStyle w:val="102"/>
              <w:ind w:firstLine="480"/>
              <w:rPr>
                <w:color w:val="auto"/>
              </w:rPr>
            </w:pPr>
            <w:r>
              <w:rPr>
                <w:color w:val="auto"/>
              </w:rPr>
              <w:t>本</w:t>
            </w:r>
            <w:r>
              <w:rPr>
                <w:color w:val="auto"/>
                <w:szCs w:val="24"/>
              </w:rPr>
              <w:t>项目</w:t>
            </w:r>
            <w:r>
              <w:rPr>
                <w:bCs/>
                <w:color w:val="auto"/>
              </w:rPr>
              <w:t>符合国家产业政策要求</w:t>
            </w:r>
            <w:r>
              <w:rPr>
                <w:rFonts w:hint="eastAsia"/>
                <w:bCs/>
                <w:color w:val="auto"/>
                <w:lang w:eastAsia="zh-CN"/>
              </w:rPr>
              <w:t>，</w:t>
            </w:r>
            <w:r>
              <w:rPr>
                <w:bCs/>
                <w:color w:val="auto"/>
              </w:rPr>
              <w:t>符合</w:t>
            </w:r>
            <w:r>
              <w:rPr>
                <w:color w:val="auto"/>
              </w:rPr>
              <w:t>“三线一单”相关要求</w:t>
            </w:r>
            <w:r>
              <w:rPr>
                <w:rFonts w:hint="eastAsia"/>
                <w:color w:val="auto"/>
                <w:lang w:eastAsia="zh-CN"/>
              </w:rPr>
              <w:t>，</w:t>
            </w:r>
            <w:r>
              <w:rPr>
                <w:bCs/>
                <w:color w:val="auto"/>
              </w:rPr>
              <w:t>符合相关环境保护政策要求；</w:t>
            </w:r>
            <w:r>
              <w:rPr>
                <w:color w:val="auto"/>
              </w:rPr>
              <w:t>项目在运营期产生的污染物在按本报告中所提出的措施及方案进行治理、控制</w:t>
            </w:r>
            <w:r>
              <w:rPr>
                <w:rFonts w:hint="eastAsia"/>
                <w:color w:val="auto"/>
                <w:lang w:eastAsia="zh-CN"/>
              </w:rPr>
              <w:t>，</w:t>
            </w:r>
            <w:r>
              <w:rPr>
                <w:color w:val="auto"/>
              </w:rPr>
              <w:t>并加强内部管理</w:t>
            </w:r>
            <w:r>
              <w:rPr>
                <w:rFonts w:hint="eastAsia"/>
                <w:color w:val="auto"/>
                <w:lang w:eastAsia="zh-CN"/>
              </w:rPr>
              <w:t>，</w:t>
            </w:r>
            <w:r>
              <w:rPr>
                <w:color w:val="auto"/>
              </w:rPr>
              <w:t>实现环保设施的稳定运行</w:t>
            </w:r>
            <w:r>
              <w:rPr>
                <w:rFonts w:hint="eastAsia"/>
                <w:color w:val="auto"/>
                <w:lang w:eastAsia="zh-CN"/>
              </w:rPr>
              <w:t>，</w:t>
            </w:r>
            <w:r>
              <w:rPr>
                <w:color w:val="auto"/>
              </w:rPr>
              <w:t>确保污染物达标排放的前提下</w:t>
            </w:r>
            <w:r>
              <w:rPr>
                <w:rFonts w:hint="eastAsia"/>
                <w:color w:val="auto"/>
                <w:lang w:eastAsia="zh-CN"/>
              </w:rPr>
              <w:t>，</w:t>
            </w:r>
            <w:r>
              <w:rPr>
                <w:color w:val="auto"/>
              </w:rPr>
              <w:t>项目对周围环境影响可接受。从环境保护角度而言</w:t>
            </w:r>
            <w:r>
              <w:rPr>
                <w:rFonts w:hint="eastAsia"/>
                <w:color w:val="auto"/>
                <w:lang w:eastAsia="zh-CN"/>
              </w:rPr>
              <w:t>，</w:t>
            </w:r>
            <w:r>
              <w:rPr>
                <w:rFonts w:hint="eastAsia"/>
                <w:color w:val="auto"/>
              </w:rPr>
              <w:t>本</w:t>
            </w:r>
            <w:r>
              <w:rPr>
                <w:color w:val="auto"/>
              </w:rPr>
              <w:t>项目</w:t>
            </w:r>
            <w:r>
              <w:rPr>
                <w:rFonts w:hint="eastAsia"/>
                <w:color w:val="auto"/>
              </w:rPr>
              <w:t>建设</w:t>
            </w:r>
            <w:r>
              <w:rPr>
                <w:color w:val="auto"/>
              </w:rPr>
              <w:t>是可行的。</w:t>
            </w:r>
          </w:p>
        </w:tc>
      </w:tr>
    </w:tbl>
    <w:p w14:paraId="5922F8D0">
      <w:pPr>
        <w:rPr>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FE0EC4A">
      <w:pPr>
        <w:pStyle w:val="38"/>
        <w:adjustRightInd w:val="0"/>
        <w:snapToGrid w:val="0"/>
        <w:spacing w:before="0" w:beforeAutospacing="0" w:after="0" w:afterAutospacing="0"/>
        <w:outlineLvl w:val="0"/>
        <w:rPr>
          <w:rFonts w:ascii="Times New Roman" w:hAnsi="Times New Roman"/>
          <w:snapToGrid w:val="0"/>
          <w:color w:val="auto"/>
          <w:sz w:val="32"/>
          <w:szCs w:val="32"/>
        </w:rPr>
      </w:pPr>
      <w:bookmarkStart w:id="10" w:name="_Toc83393936"/>
      <w:r>
        <w:rPr>
          <w:rFonts w:ascii="Times New Roman" w:hAnsi="Times New Roman"/>
          <w:snapToGrid w:val="0"/>
          <w:color w:val="auto"/>
          <w:sz w:val="32"/>
          <w:szCs w:val="32"/>
        </w:rPr>
        <w:t>附表</w:t>
      </w:r>
      <w:bookmarkEnd w:id="10"/>
    </w:p>
    <w:p w14:paraId="6F976C61">
      <w:pPr>
        <w:pStyle w:val="38"/>
        <w:adjustRightInd w:val="0"/>
        <w:snapToGrid w:val="0"/>
        <w:spacing w:before="0" w:beforeAutospacing="0" w:after="0" w:afterAutospacing="0"/>
        <w:jc w:val="center"/>
        <w:outlineLvl w:val="0"/>
        <w:rPr>
          <w:rFonts w:ascii="Times New Roman" w:hAnsi="Times New Roman"/>
          <w:snapToGrid w:val="0"/>
          <w:color w:val="auto"/>
          <w:sz w:val="38"/>
          <w:szCs w:val="38"/>
        </w:rPr>
      </w:pPr>
      <w:bookmarkStart w:id="11" w:name="_Toc83393937"/>
      <w:r>
        <w:rPr>
          <w:rFonts w:ascii="Times New Roman" w:hAnsi="Times New Roman"/>
          <w:snapToGrid w:val="0"/>
          <w:color w:val="auto"/>
          <w:sz w:val="38"/>
          <w:szCs w:val="38"/>
        </w:rPr>
        <w:t>建设项目污染物排放量汇总表</w:t>
      </w:r>
      <w:bookmarkEnd w:id="11"/>
    </w:p>
    <w:tbl>
      <w:tblPr>
        <w:tblStyle w:val="43"/>
        <w:tblW w:w="13788" w:type="dxa"/>
        <w:tblInd w:w="0" w:type="dxa"/>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1162"/>
        <w:gridCol w:w="1560"/>
        <w:gridCol w:w="1701"/>
        <w:gridCol w:w="1275"/>
        <w:gridCol w:w="1560"/>
        <w:gridCol w:w="1417"/>
        <w:gridCol w:w="1559"/>
        <w:gridCol w:w="1985"/>
        <w:gridCol w:w="1569"/>
      </w:tblGrid>
      <w:tr w14:paraId="795B782F">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162" w:type="dxa"/>
            <w:tcBorders>
              <w:tl2br w:val="single" w:color="auto" w:sz="4" w:space="0"/>
            </w:tcBorders>
            <w:tcMar>
              <w:left w:w="28" w:type="dxa"/>
              <w:right w:w="28" w:type="dxa"/>
            </w:tcMar>
            <w:vAlign w:val="center"/>
          </w:tcPr>
          <w:p w14:paraId="0D81B886">
            <w:pPr>
              <w:pStyle w:val="84"/>
              <w:spacing w:beforeLines="0" w:afterLines="0" w:line="240" w:lineRule="auto"/>
              <w:jc w:val="right"/>
              <w:rPr>
                <w:rFonts w:ascii="Times New Roman"/>
                <w:snapToGrid w:val="0"/>
                <w:color w:val="auto"/>
                <w:spacing w:val="-6"/>
                <w:kern w:val="21"/>
                <w:szCs w:val="21"/>
              </w:rPr>
            </w:pPr>
            <w:r>
              <w:rPr>
                <w:rFonts w:ascii="Times New Roman"/>
                <w:snapToGrid w:val="0"/>
                <w:color w:val="auto"/>
                <w:spacing w:val="-6"/>
                <w:kern w:val="21"/>
                <w:szCs w:val="21"/>
              </w:rPr>
              <w:t>项目</w:t>
            </w:r>
          </w:p>
          <w:p w14:paraId="769CFA45">
            <w:pPr>
              <w:pStyle w:val="84"/>
              <w:spacing w:beforeLines="0" w:afterLines="0" w:line="240" w:lineRule="auto"/>
              <w:jc w:val="left"/>
              <w:rPr>
                <w:rFonts w:ascii="Times New Roman"/>
                <w:snapToGrid w:val="0"/>
                <w:color w:val="auto"/>
                <w:spacing w:val="-6"/>
                <w:kern w:val="21"/>
                <w:szCs w:val="21"/>
              </w:rPr>
            </w:pPr>
            <w:r>
              <w:rPr>
                <w:rFonts w:ascii="Times New Roman"/>
                <w:snapToGrid w:val="0"/>
                <w:color w:val="auto"/>
                <w:spacing w:val="-6"/>
                <w:kern w:val="21"/>
                <w:szCs w:val="21"/>
              </w:rPr>
              <w:t>分类</w:t>
            </w:r>
          </w:p>
        </w:tc>
        <w:tc>
          <w:tcPr>
            <w:tcW w:w="1560" w:type="dxa"/>
            <w:tcMar>
              <w:left w:w="28" w:type="dxa"/>
              <w:right w:w="28" w:type="dxa"/>
            </w:tcMar>
            <w:vAlign w:val="center"/>
          </w:tcPr>
          <w:p w14:paraId="7BEA7191">
            <w:pPr>
              <w:pStyle w:val="8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污染物名称</w:t>
            </w:r>
          </w:p>
        </w:tc>
        <w:tc>
          <w:tcPr>
            <w:tcW w:w="1701" w:type="dxa"/>
            <w:tcMar>
              <w:left w:w="28" w:type="dxa"/>
              <w:right w:w="28" w:type="dxa"/>
            </w:tcMar>
            <w:vAlign w:val="center"/>
          </w:tcPr>
          <w:p w14:paraId="3F614F58">
            <w:pPr>
              <w:pStyle w:val="8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311A032E">
            <w:pPr>
              <w:pStyle w:val="8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①</w:t>
            </w:r>
            <w:r>
              <w:rPr>
                <w:rFonts w:ascii="Times New Roman"/>
                <w:snapToGrid w:val="0"/>
                <w:color w:val="auto"/>
                <w:spacing w:val="-6"/>
                <w:kern w:val="21"/>
                <w:szCs w:val="21"/>
              </w:rPr>
              <w:fldChar w:fldCharType="end"/>
            </w:r>
          </w:p>
        </w:tc>
        <w:tc>
          <w:tcPr>
            <w:tcW w:w="1275" w:type="dxa"/>
            <w:tcMar>
              <w:left w:w="28" w:type="dxa"/>
              <w:right w:w="28" w:type="dxa"/>
            </w:tcMar>
            <w:vAlign w:val="center"/>
          </w:tcPr>
          <w:p w14:paraId="01492B47">
            <w:pPr>
              <w:pStyle w:val="8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现有工程</w:t>
            </w:r>
          </w:p>
          <w:p w14:paraId="42531BE3">
            <w:pPr>
              <w:pStyle w:val="8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许可排放量</w:t>
            </w:r>
          </w:p>
          <w:p w14:paraId="5DB76D4E">
            <w:pPr>
              <w:pStyle w:val="84"/>
              <w:spacing w:beforeLines="0" w:afterLines="0"/>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2 \* GB3 \* MERGEFORMAT </w:instrText>
            </w:r>
            <w:r>
              <w:rPr>
                <w:rFonts w:ascii="Times New Roman"/>
                <w:snapToGrid w:val="0"/>
                <w:color w:val="auto"/>
                <w:spacing w:val="-6"/>
                <w:kern w:val="21"/>
                <w:szCs w:val="21"/>
              </w:rPr>
              <w:fldChar w:fldCharType="separate"/>
            </w:r>
            <w:r>
              <w:rPr>
                <w:rFonts w:hint="eastAsia" w:hAnsi="宋体" w:cs="宋体"/>
                <w:snapToGrid w:val="0"/>
                <w:color w:val="auto"/>
                <w:spacing w:val="-6"/>
                <w:kern w:val="21"/>
                <w:szCs w:val="21"/>
              </w:rPr>
              <w:t>②</w:t>
            </w:r>
            <w:r>
              <w:rPr>
                <w:rFonts w:ascii="Times New Roman"/>
                <w:snapToGrid w:val="0"/>
                <w:color w:val="auto"/>
                <w:spacing w:val="-6"/>
                <w:kern w:val="21"/>
                <w:szCs w:val="21"/>
              </w:rPr>
              <w:fldChar w:fldCharType="end"/>
            </w:r>
          </w:p>
        </w:tc>
        <w:tc>
          <w:tcPr>
            <w:tcW w:w="1560" w:type="dxa"/>
            <w:tcMar>
              <w:left w:w="28" w:type="dxa"/>
              <w:right w:w="28" w:type="dxa"/>
            </w:tcMar>
            <w:vAlign w:val="center"/>
          </w:tcPr>
          <w:p w14:paraId="5573BD2B">
            <w:pPr>
              <w:pStyle w:val="8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在建工程</w:t>
            </w:r>
          </w:p>
          <w:p w14:paraId="07E8E094">
            <w:pPr>
              <w:pStyle w:val="8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③</w:t>
            </w:r>
            <w:r>
              <w:rPr>
                <w:rFonts w:ascii="Times New Roman"/>
                <w:snapToGrid w:val="0"/>
                <w:color w:val="auto"/>
                <w:spacing w:val="-6"/>
                <w:kern w:val="21"/>
                <w:szCs w:val="21"/>
              </w:rPr>
              <w:fldChar w:fldCharType="end"/>
            </w:r>
          </w:p>
        </w:tc>
        <w:tc>
          <w:tcPr>
            <w:tcW w:w="1417" w:type="dxa"/>
            <w:tcMar>
              <w:left w:w="28" w:type="dxa"/>
              <w:right w:w="28" w:type="dxa"/>
            </w:tcMar>
            <w:vAlign w:val="center"/>
          </w:tcPr>
          <w:p w14:paraId="53355A1D">
            <w:pPr>
              <w:pStyle w:val="8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本项目</w:t>
            </w:r>
          </w:p>
          <w:p w14:paraId="5CC0E66F">
            <w:pPr>
              <w:pStyle w:val="8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排放量（固体废物产生量）</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④</w:t>
            </w:r>
            <w:r>
              <w:rPr>
                <w:rFonts w:ascii="Times New Roman"/>
                <w:snapToGrid w:val="0"/>
                <w:color w:val="auto"/>
                <w:spacing w:val="-6"/>
                <w:kern w:val="21"/>
                <w:szCs w:val="21"/>
              </w:rPr>
              <w:fldChar w:fldCharType="end"/>
            </w:r>
          </w:p>
        </w:tc>
        <w:tc>
          <w:tcPr>
            <w:tcW w:w="1559" w:type="dxa"/>
            <w:tcMar>
              <w:left w:w="28" w:type="dxa"/>
              <w:right w:w="28" w:type="dxa"/>
            </w:tcMar>
            <w:vAlign w:val="center"/>
          </w:tcPr>
          <w:p w14:paraId="470E8405">
            <w:pPr>
              <w:pStyle w:val="84"/>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以新带老削减量</w:t>
            </w:r>
          </w:p>
          <w:p w14:paraId="682520BD">
            <w:pPr>
              <w:pStyle w:val="84"/>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（新建项目不填）</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hint="eastAsia" w:hAnsi="宋体" w:cs="宋体"/>
                <w:color w:val="auto"/>
                <w:kern w:val="2"/>
                <w:szCs w:val="21"/>
              </w:rPr>
              <w:t>⑤</w:t>
            </w:r>
            <w:r>
              <w:rPr>
                <w:rFonts w:ascii="Times New Roman"/>
                <w:snapToGrid w:val="0"/>
                <w:color w:val="auto"/>
                <w:spacing w:val="-16"/>
                <w:kern w:val="21"/>
                <w:szCs w:val="21"/>
              </w:rPr>
              <w:fldChar w:fldCharType="end"/>
            </w:r>
          </w:p>
        </w:tc>
        <w:tc>
          <w:tcPr>
            <w:tcW w:w="1985" w:type="dxa"/>
            <w:tcMar>
              <w:left w:w="28" w:type="dxa"/>
              <w:right w:w="28" w:type="dxa"/>
            </w:tcMar>
            <w:vAlign w:val="center"/>
          </w:tcPr>
          <w:p w14:paraId="4197B7E4">
            <w:pPr>
              <w:pStyle w:val="84"/>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本项目建成后</w:t>
            </w:r>
          </w:p>
          <w:p w14:paraId="3D790466">
            <w:pPr>
              <w:pStyle w:val="84"/>
              <w:spacing w:beforeLines="0" w:afterLines="0" w:line="240" w:lineRule="auto"/>
              <w:rPr>
                <w:rFonts w:ascii="Times New Roman"/>
                <w:snapToGrid w:val="0"/>
                <w:color w:val="auto"/>
                <w:spacing w:val="-16"/>
                <w:kern w:val="21"/>
                <w:szCs w:val="21"/>
              </w:rPr>
            </w:pPr>
            <w:r>
              <w:rPr>
                <w:rFonts w:ascii="Times New Roman"/>
                <w:snapToGrid w:val="0"/>
                <w:color w:val="auto"/>
                <w:spacing w:val="-16"/>
                <w:kern w:val="21"/>
                <w:szCs w:val="21"/>
              </w:rPr>
              <w:t>全厂排放量（固体废物产生量）</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hAnsi="宋体" w:cs="宋体"/>
                <w:color w:val="auto"/>
                <w:kern w:val="2"/>
                <w:szCs w:val="21"/>
              </w:rPr>
              <w:t>⑥</w:t>
            </w:r>
            <w:r>
              <w:rPr>
                <w:rFonts w:ascii="Times New Roman"/>
                <w:snapToGrid w:val="0"/>
                <w:color w:val="auto"/>
                <w:spacing w:val="-16"/>
                <w:kern w:val="21"/>
                <w:szCs w:val="21"/>
              </w:rPr>
              <w:fldChar w:fldCharType="end"/>
            </w:r>
          </w:p>
        </w:tc>
        <w:tc>
          <w:tcPr>
            <w:tcW w:w="1569" w:type="dxa"/>
            <w:tcMar>
              <w:left w:w="28" w:type="dxa"/>
              <w:right w:w="28" w:type="dxa"/>
            </w:tcMar>
            <w:vAlign w:val="center"/>
          </w:tcPr>
          <w:p w14:paraId="2975F4E8">
            <w:pPr>
              <w:pStyle w:val="8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t>变化量</w:t>
            </w:r>
          </w:p>
          <w:p w14:paraId="74B0FE7E">
            <w:pPr>
              <w:pStyle w:val="84"/>
              <w:spacing w:beforeLines="0" w:afterLines="0" w:line="240" w:lineRule="auto"/>
              <w:rPr>
                <w:rFonts w:ascii="Times New Roman"/>
                <w:snapToGrid w:val="0"/>
                <w:color w:val="auto"/>
                <w:spacing w:val="-6"/>
                <w:kern w:val="21"/>
                <w:szCs w:val="21"/>
              </w:rPr>
            </w:pP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hint="eastAsia" w:hAnsi="宋体" w:cs="宋体"/>
                <w:color w:val="auto"/>
                <w:kern w:val="2"/>
                <w:szCs w:val="21"/>
              </w:rPr>
              <w:t>⑦</w:t>
            </w:r>
            <w:r>
              <w:rPr>
                <w:rFonts w:ascii="Times New Roman"/>
                <w:snapToGrid w:val="0"/>
                <w:color w:val="auto"/>
                <w:spacing w:val="-6"/>
                <w:kern w:val="21"/>
                <w:szCs w:val="21"/>
              </w:rPr>
              <w:fldChar w:fldCharType="end"/>
            </w:r>
          </w:p>
        </w:tc>
      </w:tr>
      <w:tr w14:paraId="5AE5B435">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162" w:type="dxa"/>
            <w:vAlign w:val="center"/>
          </w:tcPr>
          <w:p w14:paraId="007E9AF3">
            <w:pPr>
              <w:pStyle w:val="101"/>
              <w:rPr>
                <w:color w:val="auto"/>
                <w:szCs w:val="21"/>
                <w:highlight w:val="none"/>
              </w:rPr>
            </w:pPr>
            <w:r>
              <w:rPr>
                <w:color w:val="auto"/>
                <w:szCs w:val="21"/>
                <w:highlight w:val="none"/>
              </w:rPr>
              <w:t>废气</w:t>
            </w:r>
          </w:p>
        </w:tc>
        <w:tc>
          <w:tcPr>
            <w:tcW w:w="1560" w:type="dxa"/>
            <w:vAlign w:val="center"/>
          </w:tcPr>
          <w:p w14:paraId="29B55511">
            <w:pPr>
              <w:pStyle w:val="101"/>
              <w:rPr>
                <w:color w:val="auto"/>
                <w:highlight w:val="none"/>
              </w:rPr>
            </w:pPr>
            <w:r>
              <w:rPr>
                <w:rFonts w:hint="eastAsia"/>
                <w:color w:val="auto"/>
                <w:highlight w:val="none"/>
              </w:rPr>
              <w:t>V</w:t>
            </w:r>
            <w:r>
              <w:rPr>
                <w:color w:val="auto"/>
                <w:highlight w:val="none"/>
              </w:rPr>
              <w:t>OC</w:t>
            </w:r>
            <w:r>
              <w:rPr>
                <w:rFonts w:hint="eastAsia"/>
                <w:color w:val="auto"/>
                <w:highlight w:val="none"/>
              </w:rPr>
              <w:t>s</w:t>
            </w:r>
          </w:p>
        </w:tc>
        <w:tc>
          <w:tcPr>
            <w:tcW w:w="1701" w:type="dxa"/>
            <w:vAlign w:val="center"/>
          </w:tcPr>
          <w:p w14:paraId="208CD3CB">
            <w:pPr>
              <w:pStyle w:val="101"/>
              <w:rPr>
                <w:color w:val="auto"/>
                <w:szCs w:val="21"/>
                <w:highlight w:val="none"/>
              </w:rPr>
            </w:pPr>
          </w:p>
        </w:tc>
        <w:tc>
          <w:tcPr>
            <w:tcW w:w="1275" w:type="dxa"/>
            <w:vAlign w:val="center"/>
          </w:tcPr>
          <w:p w14:paraId="39A18A3B">
            <w:pPr>
              <w:pStyle w:val="101"/>
              <w:rPr>
                <w:color w:val="auto"/>
                <w:szCs w:val="21"/>
                <w:highlight w:val="none"/>
              </w:rPr>
            </w:pPr>
          </w:p>
        </w:tc>
        <w:tc>
          <w:tcPr>
            <w:tcW w:w="1560" w:type="dxa"/>
            <w:vAlign w:val="center"/>
          </w:tcPr>
          <w:p w14:paraId="06497686">
            <w:pPr>
              <w:pStyle w:val="101"/>
              <w:rPr>
                <w:color w:val="auto"/>
                <w:szCs w:val="21"/>
                <w:highlight w:val="none"/>
              </w:rPr>
            </w:pPr>
          </w:p>
        </w:tc>
        <w:tc>
          <w:tcPr>
            <w:tcW w:w="1417" w:type="dxa"/>
            <w:vAlign w:val="center"/>
          </w:tcPr>
          <w:p w14:paraId="3D14B20A">
            <w:pPr>
              <w:pStyle w:val="101"/>
              <w:rPr>
                <w:rFonts w:hint="default" w:eastAsia="宋体"/>
                <w:color w:val="auto"/>
                <w:highlight w:val="none"/>
                <w:lang w:val="en-US" w:eastAsia="zh-CN"/>
              </w:rPr>
            </w:pPr>
            <w:r>
              <w:rPr>
                <w:rFonts w:hint="eastAsia"/>
                <w:color w:val="auto"/>
                <w:highlight w:val="none"/>
                <w:lang w:val="en-US" w:eastAsia="zh-CN"/>
              </w:rPr>
              <w:t>0.37</w:t>
            </w:r>
          </w:p>
        </w:tc>
        <w:tc>
          <w:tcPr>
            <w:tcW w:w="1559" w:type="dxa"/>
            <w:vAlign w:val="center"/>
          </w:tcPr>
          <w:p w14:paraId="57E2DE56">
            <w:pPr>
              <w:pStyle w:val="101"/>
              <w:rPr>
                <w:color w:val="auto"/>
                <w:szCs w:val="21"/>
                <w:highlight w:val="none"/>
              </w:rPr>
            </w:pPr>
          </w:p>
        </w:tc>
        <w:tc>
          <w:tcPr>
            <w:tcW w:w="1985" w:type="dxa"/>
            <w:vAlign w:val="center"/>
          </w:tcPr>
          <w:p w14:paraId="3F511D4F">
            <w:pPr>
              <w:pStyle w:val="101"/>
              <w:rPr>
                <w:rFonts w:hint="eastAsia" w:eastAsia="宋体"/>
                <w:color w:val="auto"/>
                <w:highlight w:val="none"/>
                <w:lang w:eastAsia="zh-CN"/>
              </w:rPr>
            </w:pPr>
            <w:r>
              <w:rPr>
                <w:rFonts w:hint="eastAsia"/>
                <w:color w:val="auto"/>
                <w:highlight w:val="none"/>
                <w:lang w:eastAsia="zh-CN"/>
              </w:rPr>
              <w:t>0.37</w:t>
            </w:r>
          </w:p>
        </w:tc>
        <w:tc>
          <w:tcPr>
            <w:tcW w:w="1569" w:type="dxa"/>
            <w:vAlign w:val="center"/>
          </w:tcPr>
          <w:p w14:paraId="6D3F9D88">
            <w:pPr>
              <w:pStyle w:val="101"/>
              <w:rPr>
                <w:rFonts w:hint="eastAsia" w:eastAsia="宋体"/>
                <w:color w:val="auto"/>
                <w:highlight w:val="none"/>
                <w:lang w:eastAsia="zh-CN"/>
              </w:rPr>
            </w:pPr>
            <w:r>
              <w:rPr>
                <w:rFonts w:hint="eastAsia"/>
                <w:color w:val="auto"/>
                <w:highlight w:val="none"/>
                <w:lang w:eastAsia="zh-CN"/>
              </w:rPr>
              <w:t>0.37</w:t>
            </w:r>
          </w:p>
        </w:tc>
      </w:tr>
      <w:tr w14:paraId="2949DAB2">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162" w:type="dxa"/>
            <w:vAlign w:val="center"/>
          </w:tcPr>
          <w:p w14:paraId="1D440C54">
            <w:pPr>
              <w:pStyle w:val="101"/>
              <w:rPr>
                <w:color w:val="auto"/>
                <w:szCs w:val="21"/>
                <w:highlight w:val="none"/>
              </w:rPr>
            </w:pPr>
            <w:r>
              <w:rPr>
                <w:color w:val="auto"/>
                <w:szCs w:val="21"/>
                <w:highlight w:val="none"/>
              </w:rPr>
              <w:t>废水</w:t>
            </w:r>
          </w:p>
        </w:tc>
        <w:tc>
          <w:tcPr>
            <w:tcW w:w="1560" w:type="dxa"/>
            <w:vAlign w:val="center"/>
          </w:tcPr>
          <w:p w14:paraId="06F0EF19">
            <w:pPr>
              <w:pStyle w:val="101"/>
              <w:rPr>
                <w:color w:val="auto"/>
                <w:szCs w:val="21"/>
                <w:highlight w:val="none"/>
              </w:rPr>
            </w:pPr>
            <w:r>
              <w:rPr>
                <w:rFonts w:hint="eastAsia"/>
                <w:color w:val="auto"/>
                <w:szCs w:val="21"/>
                <w:highlight w:val="none"/>
              </w:rPr>
              <w:t>/</w:t>
            </w:r>
          </w:p>
        </w:tc>
        <w:tc>
          <w:tcPr>
            <w:tcW w:w="1701" w:type="dxa"/>
            <w:vAlign w:val="center"/>
          </w:tcPr>
          <w:p w14:paraId="5244DB68">
            <w:pPr>
              <w:pStyle w:val="101"/>
              <w:rPr>
                <w:color w:val="auto"/>
                <w:szCs w:val="21"/>
                <w:highlight w:val="none"/>
              </w:rPr>
            </w:pPr>
          </w:p>
        </w:tc>
        <w:tc>
          <w:tcPr>
            <w:tcW w:w="1275" w:type="dxa"/>
            <w:vAlign w:val="center"/>
          </w:tcPr>
          <w:p w14:paraId="46228E1E">
            <w:pPr>
              <w:pStyle w:val="101"/>
              <w:rPr>
                <w:color w:val="auto"/>
                <w:szCs w:val="21"/>
                <w:highlight w:val="none"/>
              </w:rPr>
            </w:pPr>
          </w:p>
        </w:tc>
        <w:tc>
          <w:tcPr>
            <w:tcW w:w="1560" w:type="dxa"/>
            <w:vAlign w:val="center"/>
          </w:tcPr>
          <w:p w14:paraId="54C58FC4">
            <w:pPr>
              <w:pStyle w:val="101"/>
              <w:rPr>
                <w:color w:val="auto"/>
                <w:szCs w:val="21"/>
                <w:highlight w:val="none"/>
              </w:rPr>
            </w:pPr>
          </w:p>
        </w:tc>
        <w:tc>
          <w:tcPr>
            <w:tcW w:w="1417" w:type="dxa"/>
            <w:vAlign w:val="center"/>
          </w:tcPr>
          <w:p w14:paraId="52E6951B">
            <w:pPr>
              <w:pStyle w:val="101"/>
              <w:rPr>
                <w:color w:val="auto"/>
                <w:szCs w:val="21"/>
                <w:highlight w:val="none"/>
              </w:rPr>
            </w:pPr>
          </w:p>
        </w:tc>
        <w:tc>
          <w:tcPr>
            <w:tcW w:w="1559" w:type="dxa"/>
            <w:vAlign w:val="center"/>
          </w:tcPr>
          <w:p w14:paraId="72B48C4F">
            <w:pPr>
              <w:pStyle w:val="101"/>
              <w:rPr>
                <w:color w:val="auto"/>
                <w:szCs w:val="21"/>
                <w:highlight w:val="none"/>
              </w:rPr>
            </w:pPr>
          </w:p>
        </w:tc>
        <w:tc>
          <w:tcPr>
            <w:tcW w:w="1985" w:type="dxa"/>
            <w:vAlign w:val="center"/>
          </w:tcPr>
          <w:p w14:paraId="7F1A6132">
            <w:pPr>
              <w:pStyle w:val="101"/>
              <w:rPr>
                <w:color w:val="auto"/>
                <w:szCs w:val="21"/>
                <w:highlight w:val="none"/>
              </w:rPr>
            </w:pPr>
          </w:p>
        </w:tc>
        <w:tc>
          <w:tcPr>
            <w:tcW w:w="1569" w:type="dxa"/>
            <w:vAlign w:val="center"/>
          </w:tcPr>
          <w:p w14:paraId="487A3E83">
            <w:pPr>
              <w:pStyle w:val="101"/>
              <w:rPr>
                <w:color w:val="auto"/>
                <w:szCs w:val="21"/>
                <w:highlight w:val="none"/>
              </w:rPr>
            </w:pPr>
          </w:p>
        </w:tc>
      </w:tr>
      <w:tr w14:paraId="32BDA53A">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162" w:type="dxa"/>
            <w:vAlign w:val="center"/>
          </w:tcPr>
          <w:p w14:paraId="19E45578">
            <w:pPr>
              <w:pStyle w:val="101"/>
              <w:rPr>
                <w:color w:val="auto"/>
                <w:szCs w:val="21"/>
                <w:highlight w:val="none"/>
              </w:rPr>
            </w:pPr>
            <w:r>
              <w:rPr>
                <w:color w:val="auto"/>
                <w:szCs w:val="21"/>
                <w:highlight w:val="none"/>
              </w:rPr>
              <w:t>一般工业</w:t>
            </w:r>
          </w:p>
          <w:p w14:paraId="199E9948">
            <w:pPr>
              <w:pStyle w:val="101"/>
              <w:rPr>
                <w:color w:val="auto"/>
                <w:szCs w:val="21"/>
                <w:highlight w:val="none"/>
              </w:rPr>
            </w:pPr>
            <w:r>
              <w:rPr>
                <w:color w:val="auto"/>
                <w:szCs w:val="21"/>
                <w:highlight w:val="none"/>
              </w:rPr>
              <w:t>固体废物</w:t>
            </w:r>
          </w:p>
        </w:tc>
        <w:tc>
          <w:tcPr>
            <w:tcW w:w="1560" w:type="dxa"/>
            <w:vAlign w:val="center"/>
          </w:tcPr>
          <w:p w14:paraId="51007BA5">
            <w:pPr>
              <w:pStyle w:val="101"/>
              <w:rPr>
                <w:rFonts w:hint="eastAsia" w:eastAsia="宋体"/>
                <w:color w:val="auto"/>
                <w:highlight w:val="none"/>
                <w:lang w:eastAsia="zh-CN"/>
              </w:rPr>
            </w:pPr>
            <w:r>
              <w:rPr>
                <w:rFonts w:hint="eastAsia"/>
                <w:color w:val="auto"/>
                <w:highlight w:val="none"/>
                <w:lang w:val="en-US" w:eastAsia="zh-CN"/>
              </w:rPr>
              <w:t>/</w:t>
            </w:r>
          </w:p>
        </w:tc>
        <w:tc>
          <w:tcPr>
            <w:tcW w:w="1701" w:type="dxa"/>
            <w:vAlign w:val="center"/>
          </w:tcPr>
          <w:p w14:paraId="4ED549E0">
            <w:pPr>
              <w:pStyle w:val="101"/>
              <w:rPr>
                <w:color w:val="auto"/>
                <w:szCs w:val="21"/>
                <w:highlight w:val="none"/>
              </w:rPr>
            </w:pPr>
          </w:p>
        </w:tc>
        <w:tc>
          <w:tcPr>
            <w:tcW w:w="1275" w:type="dxa"/>
            <w:vAlign w:val="center"/>
          </w:tcPr>
          <w:p w14:paraId="014B3D89">
            <w:pPr>
              <w:pStyle w:val="101"/>
              <w:rPr>
                <w:color w:val="auto"/>
                <w:szCs w:val="21"/>
                <w:highlight w:val="none"/>
              </w:rPr>
            </w:pPr>
          </w:p>
        </w:tc>
        <w:tc>
          <w:tcPr>
            <w:tcW w:w="1560" w:type="dxa"/>
            <w:vAlign w:val="center"/>
          </w:tcPr>
          <w:p w14:paraId="1A9A3463">
            <w:pPr>
              <w:pStyle w:val="101"/>
              <w:rPr>
                <w:color w:val="auto"/>
                <w:szCs w:val="21"/>
                <w:highlight w:val="none"/>
              </w:rPr>
            </w:pPr>
          </w:p>
        </w:tc>
        <w:tc>
          <w:tcPr>
            <w:tcW w:w="1417" w:type="dxa"/>
            <w:vAlign w:val="center"/>
          </w:tcPr>
          <w:p w14:paraId="7914A009">
            <w:pPr>
              <w:pStyle w:val="101"/>
              <w:rPr>
                <w:color w:val="auto"/>
                <w:highlight w:val="none"/>
              </w:rPr>
            </w:pPr>
          </w:p>
        </w:tc>
        <w:tc>
          <w:tcPr>
            <w:tcW w:w="1559" w:type="dxa"/>
            <w:vAlign w:val="center"/>
          </w:tcPr>
          <w:p w14:paraId="4783C6AB">
            <w:pPr>
              <w:pStyle w:val="84"/>
              <w:spacing w:beforeLines="0" w:afterLines="0" w:line="240" w:lineRule="auto"/>
              <w:rPr>
                <w:rFonts w:ascii="Times New Roman"/>
                <w:snapToGrid w:val="0"/>
                <w:color w:val="auto"/>
                <w:kern w:val="21"/>
                <w:szCs w:val="21"/>
                <w:highlight w:val="none"/>
              </w:rPr>
            </w:pPr>
          </w:p>
        </w:tc>
        <w:tc>
          <w:tcPr>
            <w:tcW w:w="1985" w:type="dxa"/>
            <w:vAlign w:val="center"/>
          </w:tcPr>
          <w:p w14:paraId="6636CCD6">
            <w:pPr>
              <w:pStyle w:val="101"/>
              <w:rPr>
                <w:color w:val="auto"/>
                <w:highlight w:val="none"/>
              </w:rPr>
            </w:pPr>
          </w:p>
        </w:tc>
        <w:tc>
          <w:tcPr>
            <w:tcW w:w="1569" w:type="dxa"/>
            <w:vAlign w:val="center"/>
          </w:tcPr>
          <w:p w14:paraId="1643DD76">
            <w:pPr>
              <w:pStyle w:val="101"/>
              <w:rPr>
                <w:color w:val="auto"/>
                <w:highlight w:val="none"/>
              </w:rPr>
            </w:pPr>
          </w:p>
        </w:tc>
      </w:tr>
      <w:tr w14:paraId="1ADD827C">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850" w:hRule="atLeast"/>
        </w:trPr>
        <w:tc>
          <w:tcPr>
            <w:tcW w:w="1162" w:type="dxa"/>
            <w:vAlign w:val="center"/>
          </w:tcPr>
          <w:p w14:paraId="2F2479FF">
            <w:pPr>
              <w:pStyle w:val="101"/>
              <w:rPr>
                <w:color w:val="auto"/>
                <w:szCs w:val="21"/>
                <w:highlight w:val="none"/>
              </w:rPr>
            </w:pPr>
            <w:r>
              <w:rPr>
                <w:color w:val="auto"/>
                <w:szCs w:val="21"/>
                <w:highlight w:val="none"/>
              </w:rPr>
              <w:t>危险废物</w:t>
            </w:r>
          </w:p>
        </w:tc>
        <w:tc>
          <w:tcPr>
            <w:tcW w:w="1560" w:type="dxa"/>
            <w:vAlign w:val="center"/>
          </w:tcPr>
          <w:p w14:paraId="4F5CA84A">
            <w:pPr>
              <w:pStyle w:val="101"/>
              <w:rPr>
                <w:color w:val="auto"/>
                <w:highlight w:val="none"/>
              </w:rPr>
            </w:pPr>
            <w:r>
              <w:rPr>
                <w:color w:val="auto"/>
                <w:highlight w:val="none"/>
              </w:rPr>
              <w:t>废活性炭</w:t>
            </w:r>
          </w:p>
        </w:tc>
        <w:tc>
          <w:tcPr>
            <w:tcW w:w="1701" w:type="dxa"/>
            <w:vAlign w:val="center"/>
          </w:tcPr>
          <w:p w14:paraId="53FAC840">
            <w:pPr>
              <w:pStyle w:val="101"/>
              <w:rPr>
                <w:color w:val="auto"/>
                <w:szCs w:val="21"/>
                <w:highlight w:val="none"/>
              </w:rPr>
            </w:pPr>
          </w:p>
        </w:tc>
        <w:tc>
          <w:tcPr>
            <w:tcW w:w="1275" w:type="dxa"/>
            <w:vAlign w:val="center"/>
          </w:tcPr>
          <w:p w14:paraId="6D58580D">
            <w:pPr>
              <w:pStyle w:val="101"/>
              <w:rPr>
                <w:color w:val="auto"/>
                <w:szCs w:val="21"/>
                <w:highlight w:val="none"/>
              </w:rPr>
            </w:pPr>
          </w:p>
        </w:tc>
        <w:tc>
          <w:tcPr>
            <w:tcW w:w="1560" w:type="dxa"/>
            <w:vAlign w:val="center"/>
          </w:tcPr>
          <w:p w14:paraId="168C0465">
            <w:pPr>
              <w:pStyle w:val="101"/>
              <w:rPr>
                <w:color w:val="auto"/>
                <w:szCs w:val="21"/>
                <w:highlight w:val="none"/>
              </w:rPr>
            </w:pPr>
          </w:p>
        </w:tc>
        <w:tc>
          <w:tcPr>
            <w:tcW w:w="1417" w:type="dxa"/>
            <w:vAlign w:val="center"/>
          </w:tcPr>
          <w:p w14:paraId="5DB81340">
            <w:pPr>
              <w:pStyle w:val="101"/>
              <w:rPr>
                <w:rFonts w:hint="eastAsia" w:eastAsia="宋体"/>
                <w:color w:val="auto"/>
                <w:highlight w:val="none"/>
                <w:lang w:eastAsia="zh-CN"/>
              </w:rPr>
            </w:pPr>
            <w:r>
              <w:rPr>
                <w:rFonts w:hint="eastAsia"/>
                <w:color w:val="auto"/>
                <w:highlight w:val="none"/>
                <w:lang w:eastAsia="zh-CN"/>
              </w:rPr>
              <w:t>3.45</w:t>
            </w:r>
          </w:p>
        </w:tc>
        <w:tc>
          <w:tcPr>
            <w:tcW w:w="1559" w:type="dxa"/>
            <w:vAlign w:val="center"/>
          </w:tcPr>
          <w:p w14:paraId="521EC528">
            <w:pPr>
              <w:pStyle w:val="84"/>
              <w:spacing w:beforeLines="0" w:afterLines="0" w:line="240" w:lineRule="auto"/>
              <w:rPr>
                <w:rFonts w:ascii="Times New Roman"/>
                <w:snapToGrid w:val="0"/>
                <w:color w:val="auto"/>
                <w:kern w:val="21"/>
                <w:szCs w:val="21"/>
                <w:highlight w:val="none"/>
              </w:rPr>
            </w:pPr>
          </w:p>
        </w:tc>
        <w:tc>
          <w:tcPr>
            <w:tcW w:w="1985" w:type="dxa"/>
            <w:vAlign w:val="center"/>
          </w:tcPr>
          <w:p w14:paraId="686F95DC">
            <w:pPr>
              <w:pStyle w:val="101"/>
              <w:rPr>
                <w:rFonts w:hint="eastAsia" w:eastAsia="宋体"/>
                <w:color w:val="auto"/>
                <w:highlight w:val="none"/>
                <w:lang w:eastAsia="zh-CN"/>
              </w:rPr>
            </w:pPr>
            <w:r>
              <w:rPr>
                <w:rFonts w:hint="eastAsia"/>
                <w:color w:val="auto"/>
                <w:highlight w:val="none"/>
                <w:lang w:eastAsia="zh-CN"/>
              </w:rPr>
              <w:t>3.45</w:t>
            </w:r>
          </w:p>
        </w:tc>
        <w:tc>
          <w:tcPr>
            <w:tcW w:w="1569" w:type="dxa"/>
            <w:vAlign w:val="center"/>
          </w:tcPr>
          <w:p w14:paraId="13291464">
            <w:pPr>
              <w:pStyle w:val="101"/>
              <w:rPr>
                <w:rFonts w:hint="eastAsia" w:eastAsia="宋体"/>
                <w:color w:val="auto"/>
                <w:highlight w:val="none"/>
                <w:lang w:eastAsia="zh-CN"/>
              </w:rPr>
            </w:pPr>
            <w:r>
              <w:rPr>
                <w:rFonts w:hint="eastAsia"/>
                <w:color w:val="auto"/>
                <w:highlight w:val="none"/>
                <w:lang w:eastAsia="zh-CN"/>
              </w:rPr>
              <w:t>3.45</w:t>
            </w:r>
          </w:p>
        </w:tc>
      </w:tr>
    </w:tbl>
    <w:p w14:paraId="1AC3EB97">
      <w:pPr>
        <w:pStyle w:val="84"/>
        <w:spacing w:before="192" w:beforeLines="80" w:after="24"/>
        <w:jc w:val="left"/>
        <w:rPr>
          <w:rFonts w:ascii="Times New Roman"/>
          <w:color w:val="auto"/>
        </w:rPr>
      </w:pPr>
      <w:r>
        <w:rPr>
          <w:rFonts w:ascii="Times New Roman"/>
          <w:snapToGrid w:val="0"/>
          <w:color w:val="auto"/>
          <w:kern w:val="21"/>
          <w:szCs w:val="21"/>
        </w:rPr>
        <w:t>注：</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hAnsi="宋体"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hAnsi="宋体" w:cs="宋体"/>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3 \* GB3 \* MERGEFORMAT </w:instrText>
      </w:r>
      <w:r>
        <w:rPr>
          <w:rFonts w:ascii="Times New Roman"/>
          <w:snapToGrid w:val="0"/>
          <w:color w:val="auto"/>
          <w:spacing w:val="-6"/>
          <w:kern w:val="21"/>
          <w:szCs w:val="21"/>
        </w:rPr>
        <w:fldChar w:fldCharType="separate"/>
      </w:r>
      <w:r>
        <w:rPr>
          <w:rFonts w:hint="eastAsia" w:hAnsi="宋体" w:cs="宋体"/>
          <w:color w:val="auto"/>
          <w:szCs w:val="21"/>
        </w:rPr>
        <w:t>③</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4 \* GB3 \* MERGEFORMAT </w:instrText>
      </w:r>
      <w:r>
        <w:rPr>
          <w:rFonts w:ascii="Times New Roman"/>
          <w:snapToGrid w:val="0"/>
          <w:color w:val="auto"/>
          <w:spacing w:val="-6"/>
          <w:kern w:val="21"/>
          <w:szCs w:val="21"/>
        </w:rPr>
        <w:fldChar w:fldCharType="separate"/>
      </w:r>
      <w:r>
        <w:rPr>
          <w:rFonts w:hint="eastAsia" w:hAnsi="宋体" w:cs="宋体"/>
          <w:color w:val="auto"/>
          <w:szCs w:val="21"/>
        </w:rPr>
        <w:t>④</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5 \* GB3 \* MERGEFORMAT </w:instrText>
      </w:r>
      <w:r>
        <w:rPr>
          <w:rFonts w:ascii="Times New Roman"/>
          <w:snapToGrid w:val="0"/>
          <w:color w:val="auto"/>
          <w:spacing w:val="-16"/>
          <w:kern w:val="21"/>
          <w:szCs w:val="21"/>
        </w:rPr>
        <w:fldChar w:fldCharType="separate"/>
      </w:r>
      <w:r>
        <w:rPr>
          <w:rFonts w:hint="eastAsia" w:hAnsi="宋体" w:cs="宋体"/>
          <w:color w:val="auto"/>
          <w:szCs w:val="21"/>
        </w:rPr>
        <w:t>⑤</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7 \* GB3 \* MERGEFORMAT </w:instrText>
      </w:r>
      <w:r>
        <w:rPr>
          <w:rFonts w:ascii="Times New Roman"/>
          <w:snapToGrid w:val="0"/>
          <w:color w:val="auto"/>
          <w:spacing w:val="-6"/>
          <w:kern w:val="21"/>
          <w:szCs w:val="21"/>
        </w:rPr>
        <w:fldChar w:fldCharType="separate"/>
      </w:r>
      <w:r>
        <w:rPr>
          <w:rFonts w:hint="eastAsia" w:hAnsi="宋体" w:cs="宋体"/>
          <w:color w:val="auto"/>
          <w:szCs w:val="21"/>
        </w:rPr>
        <w:t>⑦</w:t>
      </w:r>
      <w:r>
        <w:rPr>
          <w:rFonts w:ascii="Times New Roman"/>
          <w:snapToGrid w:val="0"/>
          <w:color w:val="auto"/>
          <w:spacing w:val="-6"/>
          <w:kern w:val="21"/>
          <w:szCs w:val="21"/>
        </w:rPr>
        <w:fldChar w:fldCharType="end"/>
      </w:r>
      <w:r>
        <w:rPr>
          <w:rFonts w:ascii="Times New Roman"/>
          <w:snapToGrid w:val="0"/>
          <w:color w:val="auto"/>
          <w:spacing w:val="-6"/>
          <w:kern w:val="21"/>
          <w:szCs w:val="21"/>
        </w:rPr>
        <w:t>=</w:t>
      </w:r>
      <w:r>
        <w:rPr>
          <w:rFonts w:ascii="Times New Roman"/>
          <w:snapToGrid w:val="0"/>
          <w:color w:val="auto"/>
          <w:spacing w:val="-16"/>
          <w:kern w:val="21"/>
          <w:szCs w:val="21"/>
        </w:rPr>
        <w:fldChar w:fldCharType="begin"/>
      </w:r>
      <w:r>
        <w:rPr>
          <w:rFonts w:ascii="Times New Roman"/>
          <w:snapToGrid w:val="0"/>
          <w:color w:val="auto"/>
          <w:spacing w:val="-16"/>
          <w:kern w:val="21"/>
          <w:szCs w:val="21"/>
        </w:rPr>
        <w:instrText xml:space="preserve"> = 6 \* GB3 \* MERGEFORMAT </w:instrText>
      </w:r>
      <w:r>
        <w:rPr>
          <w:rFonts w:ascii="Times New Roman"/>
          <w:snapToGrid w:val="0"/>
          <w:color w:val="auto"/>
          <w:spacing w:val="-16"/>
          <w:kern w:val="21"/>
          <w:szCs w:val="21"/>
        </w:rPr>
        <w:fldChar w:fldCharType="separate"/>
      </w:r>
      <w:r>
        <w:rPr>
          <w:rFonts w:hint="eastAsia" w:hAnsi="宋体" w:cs="宋体"/>
          <w:color w:val="auto"/>
          <w:szCs w:val="21"/>
        </w:rPr>
        <w:t>⑥</w:t>
      </w:r>
      <w:r>
        <w:rPr>
          <w:rFonts w:ascii="Times New Roman"/>
          <w:snapToGrid w:val="0"/>
          <w:color w:val="auto"/>
          <w:spacing w:val="-16"/>
          <w:kern w:val="21"/>
          <w:szCs w:val="21"/>
        </w:rPr>
        <w:fldChar w:fldCharType="end"/>
      </w:r>
      <w:r>
        <w:rPr>
          <w:rFonts w:ascii="Times New Roman"/>
          <w:snapToGrid w:val="0"/>
          <w:color w:val="auto"/>
          <w:spacing w:val="-16"/>
          <w:kern w:val="21"/>
          <w:szCs w:val="21"/>
        </w:rPr>
        <w:t>-</w:t>
      </w:r>
      <w:r>
        <w:rPr>
          <w:rFonts w:ascii="Times New Roman"/>
          <w:snapToGrid w:val="0"/>
          <w:color w:val="auto"/>
          <w:spacing w:val="-6"/>
          <w:kern w:val="21"/>
          <w:szCs w:val="21"/>
        </w:rPr>
        <w:fldChar w:fldCharType="begin"/>
      </w:r>
      <w:r>
        <w:rPr>
          <w:rFonts w:ascii="Times New Roman"/>
          <w:snapToGrid w:val="0"/>
          <w:color w:val="auto"/>
          <w:spacing w:val="-6"/>
          <w:kern w:val="21"/>
          <w:szCs w:val="21"/>
        </w:rPr>
        <w:instrText xml:space="preserve"> = 1 \* GB3 \* MERGEFORMAT </w:instrText>
      </w:r>
      <w:r>
        <w:rPr>
          <w:rFonts w:ascii="Times New Roman"/>
          <w:snapToGrid w:val="0"/>
          <w:color w:val="auto"/>
          <w:spacing w:val="-6"/>
          <w:kern w:val="21"/>
          <w:szCs w:val="21"/>
        </w:rPr>
        <w:fldChar w:fldCharType="separate"/>
      </w:r>
      <w:r>
        <w:rPr>
          <w:rFonts w:hint="eastAsia" w:hAnsi="宋体" w:cs="宋体"/>
          <w:color w:val="auto"/>
          <w:szCs w:val="21"/>
        </w:rPr>
        <w:t>①</w:t>
      </w:r>
      <w:r>
        <w:rPr>
          <w:rFonts w:ascii="Times New Roman"/>
          <w:snapToGrid w:val="0"/>
          <w:color w:val="auto"/>
          <w:spacing w:val="-6"/>
          <w:kern w:val="21"/>
          <w:szCs w:val="21"/>
        </w:rPr>
        <w:fldChar w:fldCharType="end"/>
      </w:r>
      <w:r>
        <w:rPr>
          <w:rFonts w:ascii="Times New Roman"/>
          <w:snapToGrid w:val="0"/>
          <w:color w:val="auto"/>
          <w:spacing w:val="-6"/>
          <w:kern w:val="21"/>
          <w:szCs w:val="21"/>
        </w:rPr>
        <w:t>；单位：t/a</w:t>
      </w:r>
    </w:p>
    <w:p w14:paraId="3B384095">
      <w:pPr>
        <w:rPr>
          <w:color w:val="auto"/>
        </w:rPr>
        <w:sectPr>
          <w:footerReference r:id="rId6" w:type="default"/>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78F47F8D">
      <w:pPr>
        <w:rPr>
          <w:color w:val="auto"/>
        </w:rPr>
      </w:pPr>
    </w:p>
    <w:p w14:paraId="060AC0C9">
      <w:pPr>
        <w:rPr>
          <w:color w:val="auto"/>
        </w:rPr>
      </w:pPr>
    </w:p>
    <w:p w14:paraId="3FB44BB6">
      <w:pPr>
        <w:rPr>
          <w:color w:val="auto"/>
        </w:rPr>
      </w:pPr>
    </w:p>
    <w:p w14:paraId="7425ABAD">
      <w:pPr>
        <w:rPr>
          <w:color w:val="auto"/>
        </w:rPr>
      </w:pPr>
    </w:p>
    <w:p w14:paraId="679A7249">
      <w:pPr>
        <w:rPr>
          <w:color w:val="auto"/>
        </w:rPr>
      </w:pPr>
    </w:p>
    <w:p w14:paraId="70E222C3">
      <w:pPr>
        <w:rPr>
          <w:color w:val="auto"/>
        </w:rPr>
      </w:pPr>
    </w:p>
    <w:p w14:paraId="273927EA">
      <w:pPr>
        <w:rPr>
          <w:color w:val="auto"/>
        </w:rPr>
      </w:pPr>
    </w:p>
    <w:p w14:paraId="2841DE92">
      <w:pPr>
        <w:rPr>
          <w:color w:val="auto"/>
        </w:rPr>
      </w:pPr>
    </w:p>
    <w:p w14:paraId="30BCC63C">
      <w:pPr>
        <w:rPr>
          <w:color w:val="auto"/>
        </w:rPr>
      </w:pPr>
    </w:p>
    <w:p w14:paraId="5F250D9F">
      <w:pPr>
        <w:rPr>
          <w:color w:val="auto"/>
        </w:rPr>
      </w:pPr>
    </w:p>
    <w:p w14:paraId="68FEC34D">
      <w:pPr>
        <w:rPr>
          <w:color w:val="auto"/>
        </w:rPr>
      </w:pPr>
    </w:p>
    <w:p w14:paraId="551AC62F">
      <w:pPr>
        <w:rPr>
          <w:color w:val="auto"/>
        </w:rPr>
      </w:pPr>
    </w:p>
    <w:p w14:paraId="78C04FCB">
      <w:pPr>
        <w:spacing w:line="360" w:lineRule="auto"/>
        <w:jc w:val="center"/>
        <w:outlineLvl w:val="0"/>
        <w:rPr>
          <w:rFonts w:hint="eastAsia" w:eastAsia="宋体"/>
          <w:b/>
          <w:color w:val="auto"/>
          <w:sz w:val="48"/>
          <w:szCs w:val="32"/>
          <w:lang w:eastAsia="zh-CN"/>
        </w:rPr>
      </w:pPr>
      <w:r>
        <w:rPr>
          <w:rFonts w:hint="eastAsia"/>
          <w:b/>
          <w:color w:val="auto"/>
          <w:sz w:val="48"/>
          <w:szCs w:val="32"/>
          <w:lang w:eastAsia="zh-CN"/>
        </w:rPr>
        <w:t>长安工贸公司岩煤体加固材料生产项目</w:t>
      </w:r>
    </w:p>
    <w:p w14:paraId="05F0C706">
      <w:pPr>
        <w:spacing w:line="360" w:lineRule="auto"/>
        <w:jc w:val="center"/>
        <w:outlineLvl w:val="0"/>
        <w:rPr>
          <w:b/>
          <w:color w:val="auto"/>
          <w:sz w:val="48"/>
          <w:szCs w:val="32"/>
        </w:rPr>
      </w:pPr>
      <w:r>
        <w:rPr>
          <w:rFonts w:hint="eastAsia"/>
          <w:b/>
          <w:color w:val="auto"/>
          <w:sz w:val="48"/>
          <w:szCs w:val="32"/>
        </w:rPr>
        <w:t>环境风险专项评价</w:t>
      </w:r>
      <w:r>
        <w:rPr>
          <w:b/>
          <w:color w:val="auto"/>
          <w:sz w:val="48"/>
          <w:szCs w:val="32"/>
        </w:rPr>
        <w:t>报告</w:t>
      </w:r>
    </w:p>
    <w:p w14:paraId="67960529">
      <w:pPr>
        <w:pStyle w:val="102"/>
        <w:ind w:firstLine="480"/>
        <w:rPr>
          <w:color w:val="auto"/>
        </w:rPr>
      </w:pPr>
    </w:p>
    <w:p w14:paraId="70818435">
      <w:pPr>
        <w:pStyle w:val="102"/>
        <w:ind w:firstLine="480"/>
        <w:rPr>
          <w:color w:val="auto"/>
        </w:rPr>
      </w:pPr>
    </w:p>
    <w:p w14:paraId="43D19A66">
      <w:pPr>
        <w:pStyle w:val="102"/>
        <w:ind w:firstLine="480"/>
        <w:rPr>
          <w:color w:val="auto"/>
        </w:rPr>
      </w:pPr>
    </w:p>
    <w:p w14:paraId="1BB7464A">
      <w:pPr>
        <w:pStyle w:val="102"/>
        <w:ind w:firstLine="480"/>
        <w:rPr>
          <w:color w:val="auto"/>
        </w:rPr>
      </w:pPr>
    </w:p>
    <w:p w14:paraId="77EC15CF">
      <w:pPr>
        <w:pStyle w:val="102"/>
        <w:ind w:firstLine="480"/>
        <w:rPr>
          <w:color w:val="auto"/>
        </w:rPr>
      </w:pPr>
    </w:p>
    <w:p w14:paraId="07AD65F7">
      <w:pPr>
        <w:pStyle w:val="102"/>
        <w:ind w:firstLine="480"/>
        <w:rPr>
          <w:color w:val="auto"/>
        </w:rPr>
      </w:pPr>
    </w:p>
    <w:p w14:paraId="56C220C9">
      <w:pPr>
        <w:pStyle w:val="102"/>
        <w:ind w:firstLine="480"/>
        <w:rPr>
          <w:color w:val="auto"/>
        </w:rPr>
      </w:pPr>
    </w:p>
    <w:p w14:paraId="4D430FE0">
      <w:pPr>
        <w:pStyle w:val="102"/>
        <w:ind w:firstLine="480"/>
        <w:rPr>
          <w:color w:val="auto"/>
        </w:rPr>
      </w:pPr>
    </w:p>
    <w:p w14:paraId="4F34ACCE">
      <w:pPr>
        <w:pStyle w:val="102"/>
        <w:ind w:firstLine="480"/>
        <w:rPr>
          <w:color w:val="auto"/>
        </w:rPr>
      </w:pPr>
    </w:p>
    <w:p w14:paraId="0744DBEF">
      <w:pPr>
        <w:pStyle w:val="102"/>
        <w:ind w:firstLine="480"/>
        <w:rPr>
          <w:color w:val="auto"/>
        </w:rPr>
      </w:pPr>
    </w:p>
    <w:p w14:paraId="0FC988C6">
      <w:pPr>
        <w:pStyle w:val="102"/>
        <w:ind w:firstLine="480"/>
        <w:rPr>
          <w:color w:val="auto"/>
        </w:rPr>
      </w:pPr>
    </w:p>
    <w:p w14:paraId="62F62C71">
      <w:pPr>
        <w:pStyle w:val="102"/>
        <w:ind w:firstLine="480"/>
        <w:rPr>
          <w:color w:val="auto"/>
        </w:rPr>
      </w:pPr>
    </w:p>
    <w:p w14:paraId="6541505E">
      <w:pPr>
        <w:pStyle w:val="102"/>
        <w:ind w:firstLine="480"/>
        <w:rPr>
          <w:color w:val="auto"/>
        </w:rPr>
      </w:pPr>
    </w:p>
    <w:p w14:paraId="34ADEA03">
      <w:pPr>
        <w:pStyle w:val="102"/>
        <w:ind w:firstLine="480"/>
        <w:rPr>
          <w:color w:val="auto"/>
        </w:rPr>
      </w:pPr>
    </w:p>
    <w:p w14:paraId="0A016A15">
      <w:pPr>
        <w:pStyle w:val="102"/>
        <w:ind w:firstLine="0" w:firstLineChars="0"/>
        <w:jc w:val="center"/>
        <w:rPr>
          <w:b/>
          <w:color w:val="auto"/>
          <w:sz w:val="36"/>
        </w:rPr>
      </w:pPr>
      <w:r>
        <w:rPr>
          <w:rFonts w:hint="eastAsia"/>
          <w:b/>
          <w:color w:val="auto"/>
          <w:sz w:val="36"/>
        </w:rPr>
        <w:t>2</w:t>
      </w:r>
      <w:r>
        <w:rPr>
          <w:b/>
          <w:color w:val="auto"/>
          <w:sz w:val="36"/>
        </w:rPr>
        <w:t>02</w:t>
      </w:r>
      <w:r>
        <w:rPr>
          <w:rFonts w:hint="eastAsia"/>
          <w:b/>
          <w:color w:val="auto"/>
          <w:sz w:val="36"/>
          <w:lang w:val="en-US" w:eastAsia="zh-CN"/>
        </w:rPr>
        <w:t>5</w:t>
      </w:r>
      <w:r>
        <w:rPr>
          <w:rFonts w:hint="eastAsia"/>
          <w:b/>
          <w:color w:val="auto"/>
          <w:sz w:val="36"/>
        </w:rPr>
        <w:t>年</w:t>
      </w:r>
      <w:r>
        <w:rPr>
          <w:rFonts w:hint="eastAsia"/>
          <w:b/>
          <w:color w:val="auto"/>
          <w:sz w:val="36"/>
          <w:lang w:val="en-US" w:eastAsia="zh-CN"/>
        </w:rPr>
        <w:t>4</w:t>
      </w:r>
      <w:r>
        <w:rPr>
          <w:rFonts w:hint="eastAsia"/>
          <w:b/>
          <w:color w:val="auto"/>
          <w:sz w:val="36"/>
        </w:rPr>
        <w:t>月</w:t>
      </w:r>
    </w:p>
    <w:p w14:paraId="4766D6D7">
      <w:pPr>
        <w:pStyle w:val="102"/>
        <w:ind w:firstLine="0" w:firstLineChars="0"/>
        <w:jc w:val="center"/>
        <w:rPr>
          <w:b/>
          <w:color w:val="auto"/>
          <w:sz w:val="36"/>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C87BB93">
      <w:pPr>
        <w:pStyle w:val="3"/>
        <w:rPr>
          <w:color w:val="auto"/>
          <w:highlight w:val="none"/>
        </w:rPr>
      </w:pPr>
      <w:r>
        <w:rPr>
          <w:rFonts w:hint="eastAsia"/>
          <w:color w:val="auto"/>
          <w:highlight w:val="none"/>
        </w:rPr>
        <w:t>1风险</w:t>
      </w:r>
      <w:r>
        <w:rPr>
          <w:color w:val="auto"/>
          <w:highlight w:val="none"/>
        </w:rPr>
        <w:t>调查</w:t>
      </w:r>
    </w:p>
    <w:p w14:paraId="212254D2">
      <w:pPr>
        <w:pStyle w:val="2"/>
        <w:spacing w:before="120" w:after="120"/>
        <w:rPr>
          <w:color w:val="auto"/>
          <w:highlight w:val="none"/>
        </w:rPr>
      </w:pPr>
      <w:r>
        <w:rPr>
          <w:rFonts w:hint="eastAsia"/>
          <w:color w:val="auto"/>
          <w:highlight w:val="none"/>
        </w:rPr>
        <w:t>1</w:t>
      </w:r>
      <w:r>
        <w:rPr>
          <w:color w:val="auto"/>
          <w:highlight w:val="none"/>
        </w:rPr>
        <w:t>.1</w:t>
      </w:r>
      <w:r>
        <w:rPr>
          <w:rFonts w:hint="eastAsia"/>
          <w:color w:val="auto"/>
          <w:highlight w:val="none"/>
        </w:rPr>
        <w:t>风险源</w:t>
      </w:r>
      <w:r>
        <w:rPr>
          <w:color w:val="auto"/>
          <w:highlight w:val="none"/>
        </w:rPr>
        <w:t>调查</w:t>
      </w:r>
    </w:p>
    <w:p w14:paraId="662AEDA7">
      <w:pPr>
        <w:pStyle w:val="102"/>
        <w:ind w:firstLine="480"/>
        <w:rPr>
          <w:rStyle w:val="100"/>
          <w:color w:val="auto"/>
          <w:sz w:val="24"/>
          <w:highlight w:val="none"/>
        </w:rPr>
      </w:pPr>
      <w:r>
        <w:rPr>
          <w:rFonts w:hint="eastAsia"/>
          <w:color w:val="auto"/>
          <w:highlight w:val="none"/>
        </w:rPr>
        <w:t>本项目</w:t>
      </w:r>
      <w:r>
        <w:rPr>
          <w:rStyle w:val="100"/>
          <w:rFonts w:hint="eastAsia"/>
          <w:color w:val="auto"/>
          <w:sz w:val="24"/>
          <w:highlight w:val="none"/>
        </w:rPr>
        <w:t>车间共设置</w:t>
      </w:r>
      <w:r>
        <w:rPr>
          <w:rStyle w:val="100"/>
          <w:rFonts w:hint="eastAsia"/>
          <w:color w:val="auto"/>
          <w:sz w:val="24"/>
          <w:highlight w:val="none"/>
          <w:lang w:val="en-US" w:eastAsia="zh-CN"/>
        </w:rPr>
        <w:t>2</w:t>
      </w:r>
      <w:r>
        <w:rPr>
          <w:rStyle w:val="100"/>
          <w:rFonts w:hint="eastAsia"/>
          <w:color w:val="auto"/>
          <w:sz w:val="24"/>
          <w:highlight w:val="none"/>
        </w:rPr>
        <w:t>个</w:t>
      </w:r>
      <w:r>
        <w:rPr>
          <w:rStyle w:val="100"/>
          <w:rFonts w:hint="eastAsia"/>
          <w:color w:val="auto"/>
          <w:sz w:val="24"/>
          <w:highlight w:val="none"/>
          <w:lang w:val="en-US" w:eastAsia="zh-CN"/>
        </w:rPr>
        <w:t>20</w:t>
      </w:r>
      <w:r>
        <w:rPr>
          <w:rStyle w:val="100"/>
          <w:rFonts w:hint="eastAsia"/>
          <w:color w:val="auto"/>
          <w:sz w:val="24"/>
          <w:highlight w:val="none"/>
        </w:rPr>
        <w:t>m</w:t>
      </w:r>
      <w:r>
        <w:rPr>
          <w:rStyle w:val="100"/>
          <w:color w:val="auto"/>
          <w:sz w:val="24"/>
          <w:highlight w:val="none"/>
          <w:vertAlign w:val="superscript"/>
        </w:rPr>
        <w:t>3</w:t>
      </w:r>
      <w:r>
        <w:rPr>
          <w:rStyle w:val="100"/>
          <w:rFonts w:hint="eastAsia"/>
          <w:color w:val="auto"/>
          <w:sz w:val="24"/>
          <w:highlight w:val="none"/>
        </w:rPr>
        <w:t>的不锈钢储罐</w:t>
      </w:r>
      <w:r>
        <w:rPr>
          <w:rStyle w:val="100"/>
          <w:rFonts w:hint="eastAsia"/>
          <w:color w:val="auto"/>
          <w:sz w:val="24"/>
          <w:highlight w:val="none"/>
          <w:lang w:eastAsia="zh-CN"/>
        </w:rPr>
        <w:t>，</w:t>
      </w:r>
      <w:r>
        <w:rPr>
          <w:rStyle w:val="100"/>
          <w:rFonts w:hint="eastAsia"/>
          <w:color w:val="auto"/>
          <w:sz w:val="24"/>
          <w:highlight w:val="none"/>
          <w:lang w:val="en-US" w:eastAsia="zh-CN"/>
        </w:rPr>
        <w:t>1</w:t>
      </w:r>
      <w:r>
        <w:rPr>
          <w:rStyle w:val="100"/>
          <w:rFonts w:hint="eastAsia"/>
          <w:color w:val="auto"/>
          <w:sz w:val="24"/>
          <w:highlight w:val="none"/>
        </w:rPr>
        <w:t>个</w:t>
      </w:r>
      <w:r>
        <w:rPr>
          <w:rStyle w:val="100"/>
          <w:rFonts w:hint="eastAsia"/>
          <w:color w:val="auto"/>
          <w:sz w:val="24"/>
          <w:highlight w:val="none"/>
          <w:lang w:val="en-US" w:eastAsia="zh-CN"/>
        </w:rPr>
        <w:t>10</w:t>
      </w:r>
      <w:r>
        <w:rPr>
          <w:rStyle w:val="100"/>
          <w:rFonts w:hint="eastAsia"/>
          <w:color w:val="auto"/>
          <w:sz w:val="24"/>
          <w:highlight w:val="none"/>
        </w:rPr>
        <w:t>m</w:t>
      </w:r>
      <w:r>
        <w:rPr>
          <w:rStyle w:val="100"/>
          <w:color w:val="auto"/>
          <w:sz w:val="24"/>
          <w:highlight w:val="none"/>
          <w:vertAlign w:val="superscript"/>
        </w:rPr>
        <w:t>3</w:t>
      </w:r>
      <w:r>
        <w:rPr>
          <w:rStyle w:val="100"/>
          <w:rFonts w:hint="eastAsia"/>
          <w:color w:val="auto"/>
          <w:sz w:val="24"/>
          <w:highlight w:val="none"/>
        </w:rPr>
        <w:t>的不锈钢储罐</w:t>
      </w:r>
      <w:r>
        <w:rPr>
          <w:rStyle w:val="100"/>
          <w:rFonts w:hint="eastAsia"/>
          <w:color w:val="auto"/>
          <w:sz w:val="24"/>
          <w:highlight w:val="none"/>
          <w:lang w:eastAsia="zh-CN"/>
        </w:rPr>
        <w:t>，</w:t>
      </w:r>
      <w:r>
        <w:rPr>
          <w:rStyle w:val="100"/>
          <w:rFonts w:hint="eastAsia"/>
          <w:color w:val="auto"/>
          <w:sz w:val="24"/>
          <w:highlight w:val="none"/>
          <w:lang w:val="en-US" w:eastAsia="zh-CN"/>
        </w:rPr>
        <w:t>3</w:t>
      </w:r>
      <w:r>
        <w:rPr>
          <w:rStyle w:val="100"/>
          <w:rFonts w:hint="eastAsia"/>
          <w:color w:val="auto"/>
          <w:sz w:val="24"/>
          <w:highlight w:val="none"/>
        </w:rPr>
        <w:t>个</w:t>
      </w:r>
      <w:r>
        <w:rPr>
          <w:rStyle w:val="100"/>
          <w:rFonts w:hint="eastAsia"/>
          <w:color w:val="auto"/>
          <w:sz w:val="24"/>
          <w:highlight w:val="none"/>
          <w:lang w:val="en-US" w:eastAsia="zh-CN"/>
        </w:rPr>
        <w:t>1</w:t>
      </w:r>
      <w:r>
        <w:rPr>
          <w:rStyle w:val="100"/>
          <w:rFonts w:hint="eastAsia"/>
          <w:color w:val="auto"/>
          <w:sz w:val="24"/>
          <w:highlight w:val="none"/>
        </w:rPr>
        <w:t>m</w:t>
      </w:r>
      <w:r>
        <w:rPr>
          <w:rStyle w:val="100"/>
          <w:color w:val="auto"/>
          <w:sz w:val="24"/>
          <w:highlight w:val="none"/>
          <w:vertAlign w:val="superscript"/>
        </w:rPr>
        <w:t>3</w:t>
      </w:r>
      <w:r>
        <w:rPr>
          <w:rStyle w:val="100"/>
          <w:rFonts w:hint="eastAsia"/>
          <w:color w:val="auto"/>
          <w:sz w:val="24"/>
          <w:highlight w:val="none"/>
        </w:rPr>
        <w:t>的不锈钢储罐</w:t>
      </w:r>
      <w:r>
        <w:rPr>
          <w:rStyle w:val="100"/>
          <w:rFonts w:hint="eastAsia"/>
          <w:color w:val="auto"/>
          <w:sz w:val="24"/>
          <w:highlight w:val="none"/>
          <w:lang w:eastAsia="zh-CN"/>
        </w:rPr>
        <w:t>，</w:t>
      </w:r>
      <w:r>
        <w:rPr>
          <w:rFonts w:hint="eastAsia"/>
          <w:color w:val="auto"/>
          <w:highlight w:val="none"/>
        </w:rPr>
        <w:t>原料日常均存储在</w:t>
      </w:r>
      <w:r>
        <w:rPr>
          <w:rStyle w:val="100"/>
          <w:rFonts w:hint="eastAsia"/>
          <w:color w:val="auto"/>
          <w:sz w:val="24"/>
          <w:highlight w:val="none"/>
        </w:rPr>
        <w:t>不锈钢储罐内(日常存储为储罐容积的</w:t>
      </w:r>
      <w:r>
        <w:rPr>
          <w:rStyle w:val="100"/>
          <w:color w:val="auto"/>
          <w:sz w:val="24"/>
          <w:highlight w:val="none"/>
        </w:rPr>
        <w:t>80</w:t>
      </w:r>
      <w:r>
        <w:rPr>
          <w:rStyle w:val="100"/>
          <w:rFonts w:hint="eastAsia"/>
          <w:color w:val="auto"/>
          <w:sz w:val="24"/>
          <w:highlight w:val="none"/>
        </w:rPr>
        <w:t>%</w:t>
      </w:r>
      <w:r>
        <w:rPr>
          <w:rStyle w:val="100"/>
          <w:color w:val="auto"/>
          <w:sz w:val="24"/>
          <w:highlight w:val="none"/>
        </w:rPr>
        <w:t>)</w:t>
      </w:r>
      <w:r>
        <w:rPr>
          <w:rStyle w:val="100"/>
          <w:rFonts w:hint="eastAsia"/>
          <w:color w:val="auto"/>
          <w:sz w:val="24"/>
          <w:highlight w:val="none"/>
          <w:lang w:eastAsia="zh-CN"/>
        </w:rPr>
        <w:t>，</w:t>
      </w:r>
      <w:r>
        <w:rPr>
          <w:rStyle w:val="100"/>
          <w:rFonts w:hint="eastAsia"/>
          <w:color w:val="auto"/>
          <w:sz w:val="24"/>
          <w:highlight w:val="none"/>
        </w:rPr>
        <w:t>储罐均为</w:t>
      </w:r>
      <w:r>
        <w:rPr>
          <w:rFonts w:hint="eastAsia"/>
          <w:color w:val="auto"/>
          <w:highlight w:val="none"/>
        </w:rPr>
        <w:t>拱顶罐</w:t>
      </w:r>
      <w:r>
        <w:rPr>
          <w:rStyle w:val="100"/>
          <w:rFonts w:hint="eastAsia"/>
          <w:color w:val="auto"/>
          <w:sz w:val="24"/>
          <w:highlight w:val="none"/>
          <w:lang w:eastAsia="zh-CN"/>
        </w:rPr>
        <w:t>，</w:t>
      </w:r>
      <w:r>
        <w:rPr>
          <w:rStyle w:val="100"/>
          <w:rFonts w:hint="eastAsia"/>
          <w:color w:val="auto"/>
          <w:sz w:val="24"/>
          <w:highlight w:val="none"/>
        </w:rPr>
        <w:t>均为地上储罐</w:t>
      </w:r>
      <w:r>
        <w:rPr>
          <w:rStyle w:val="100"/>
          <w:rFonts w:hint="eastAsia"/>
          <w:color w:val="auto"/>
          <w:sz w:val="24"/>
          <w:highlight w:val="none"/>
          <w:lang w:eastAsia="zh-CN"/>
        </w:rPr>
        <w:t>，</w:t>
      </w:r>
      <w:r>
        <w:rPr>
          <w:rStyle w:val="100"/>
          <w:rFonts w:hint="eastAsia"/>
          <w:color w:val="auto"/>
          <w:sz w:val="24"/>
          <w:highlight w:val="none"/>
        </w:rPr>
        <w:t>罐底离地高度0</w:t>
      </w:r>
      <w:r>
        <w:rPr>
          <w:rStyle w:val="100"/>
          <w:color w:val="auto"/>
          <w:sz w:val="24"/>
          <w:highlight w:val="none"/>
        </w:rPr>
        <w:t>.</w:t>
      </w:r>
      <w:r>
        <w:rPr>
          <w:rStyle w:val="100"/>
          <w:rFonts w:hint="eastAsia"/>
          <w:color w:val="auto"/>
          <w:sz w:val="24"/>
          <w:highlight w:val="none"/>
          <w:lang w:val="en-US" w:eastAsia="zh-CN"/>
        </w:rPr>
        <w:t>5</w:t>
      </w:r>
      <w:r>
        <w:rPr>
          <w:rStyle w:val="100"/>
          <w:rFonts w:hint="eastAsia"/>
          <w:color w:val="auto"/>
          <w:sz w:val="24"/>
          <w:highlight w:val="none"/>
        </w:rPr>
        <w:t>m。日常进料由厂家负责运送</w:t>
      </w:r>
      <w:r>
        <w:rPr>
          <w:rStyle w:val="100"/>
          <w:rFonts w:hint="eastAsia"/>
          <w:color w:val="auto"/>
          <w:sz w:val="24"/>
          <w:highlight w:val="none"/>
          <w:lang w:eastAsia="zh-CN"/>
        </w:rPr>
        <w:t>，</w:t>
      </w:r>
      <w:r>
        <w:rPr>
          <w:rStyle w:val="100"/>
          <w:rFonts w:hint="eastAsia"/>
          <w:color w:val="auto"/>
          <w:sz w:val="24"/>
          <w:highlight w:val="none"/>
        </w:rPr>
        <w:t>原料进厂后直接输送至储罐内。</w:t>
      </w:r>
    </w:p>
    <w:p w14:paraId="22097BFD">
      <w:pPr>
        <w:pStyle w:val="102"/>
        <w:ind w:firstLine="480"/>
        <w:rPr>
          <w:color w:val="auto"/>
          <w:highlight w:val="none"/>
        </w:rPr>
      </w:pPr>
      <w:r>
        <w:rPr>
          <w:rFonts w:hint="eastAsia"/>
          <w:color w:val="auto"/>
          <w:highlight w:val="none"/>
        </w:rPr>
        <w:t>本项目使用的原料包括硅酸钠、多元醇、甘油、聚合M</w:t>
      </w:r>
      <w:r>
        <w:rPr>
          <w:color w:val="auto"/>
          <w:highlight w:val="none"/>
        </w:rPr>
        <w:t>DI</w:t>
      </w:r>
      <w:r>
        <w:rPr>
          <w:rFonts w:hint="eastAsia"/>
          <w:color w:val="auto"/>
          <w:highlight w:val="none"/>
        </w:rPr>
        <w:t>、阻燃剂（</w:t>
      </w:r>
      <w:r>
        <w:rPr>
          <w:color w:val="auto"/>
          <w:highlight w:val="none"/>
        </w:rPr>
        <w:t>TCPP</w:t>
      </w:r>
      <w:r>
        <w:rPr>
          <w:rFonts w:hint="eastAsia"/>
          <w:color w:val="auto"/>
          <w:highlight w:val="none"/>
        </w:rPr>
        <w:t>）、增塑剂（二丁酯）</w:t>
      </w:r>
      <w:r>
        <w:rPr>
          <w:rFonts w:hint="eastAsia"/>
          <w:color w:val="auto"/>
          <w:highlight w:val="none"/>
          <w:lang w:eastAsia="zh-CN"/>
        </w:rPr>
        <w:t>，</w:t>
      </w:r>
      <w:r>
        <w:rPr>
          <w:rFonts w:hint="eastAsia"/>
          <w:color w:val="auto"/>
          <w:highlight w:val="none"/>
        </w:rPr>
        <w:t>硅酸钠</w:t>
      </w:r>
      <w:r>
        <w:rPr>
          <w:rFonts w:hint="eastAsia"/>
          <w:color w:val="auto"/>
          <w:highlight w:val="none"/>
          <w:lang w:val="en-US" w:eastAsia="zh-CN"/>
        </w:rPr>
        <w:t>和</w:t>
      </w:r>
      <w:r>
        <w:rPr>
          <w:rFonts w:hint="eastAsia"/>
          <w:color w:val="auto"/>
          <w:highlight w:val="none"/>
        </w:rPr>
        <w:t>聚合M</w:t>
      </w:r>
      <w:r>
        <w:rPr>
          <w:color w:val="auto"/>
          <w:highlight w:val="none"/>
        </w:rPr>
        <w:t>DI</w:t>
      </w:r>
      <w:r>
        <w:rPr>
          <w:rFonts w:hint="eastAsia"/>
          <w:color w:val="auto"/>
          <w:highlight w:val="none"/>
        </w:rPr>
        <w:t>采用</w:t>
      </w:r>
      <w:r>
        <w:rPr>
          <w:rFonts w:hint="eastAsia"/>
          <w:color w:val="auto"/>
          <w:highlight w:val="none"/>
          <w:lang w:val="en-US" w:eastAsia="zh-CN"/>
        </w:rPr>
        <w:t>20</w:t>
      </w:r>
      <w:r>
        <w:rPr>
          <w:rFonts w:hint="eastAsia"/>
          <w:color w:val="auto"/>
          <w:highlight w:val="none"/>
        </w:rPr>
        <w:t>m</w:t>
      </w:r>
      <w:r>
        <w:rPr>
          <w:color w:val="auto"/>
          <w:highlight w:val="none"/>
          <w:vertAlign w:val="superscript"/>
        </w:rPr>
        <w:t>3</w:t>
      </w:r>
      <w:r>
        <w:rPr>
          <w:rFonts w:hint="eastAsia"/>
          <w:color w:val="auto"/>
          <w:highlight w:val="none"/>
        </w:rPr>
        <w:t>的不锈钢储罐存储</w:t>
      </w:r>
      <w:r>
        <w:rPr>
          <w:rFonts w:hint="eastAsia"/>
          <w:color w:val="auto"/>
          <w:highlight w:val="none"/>
          <w:lang w:eastAsia="zh-CN"/>
        </w:rPr>
        <w:t>，</w:t>
      </w:r>
      <w:r>
        <w:rPr>
          <w:rFonts w:hint="eastAsia"/>
          <w:color w:val="auto"/>
          <w:highlight w:val="none"/>
        </w:rPr>
        <w:t>日常均存储在厂房内</w:t>
      </w:r>
      <w:r>
        <w:rPr>
          <w:rFonts w:hint="eastAsia"/>
          <w:color w:val="auto"/>
          <w:highlight w:val="none"/>
          <w:lang w:eastAsia="zh-CN"/>
        </w:rPr>
        <w:t>，</w:t>
      </w:r>
      <w:r>
        <w:rPr>
          <w:rFonts w:hint="eastAsia"/>
          <w:color w:val="auto"/>
          <w:highlight w:val="none"/>
        </w:rPr>
        <w:t>每类原料最大存储量均为</w:t>
      </w:r>
      <w:r>
        <w:rPr>
          <w:rStyle w:val="100"/>
          <w:rFonts w:hint="eastAsia"/>
          <w:color w:val="auto"/>
          <w:sz w:val="24"/>
          <w:highlight w:val="none"/>
          <w:lang w:val="en-US" w:eastAsia="zh-CN"/>
        </w:rPr>
        <w:t>16</w:t>
      </w:r>
      <w:r>
        <w:rPr>
          <w:rStyle w:val="100"/>
          <w:rFonts w:hint="eastAsia"/>
          <w:color w:val="auto"/>
          <w:sz w:val="24"/>
          <w:highlight w:val="none"/>
        </w:rPr>
        <w:t>m</w:t>
      </w:r>
      <w:r>
        <w:rPr>
          <w:rStyle w:val="100"/>
          <w:color w:val="auto"/>
          <w:sz w:val="24"/>
          <w:highlight w:val="none"/>
          <w:vertAlign w:val="superscript"/>
        </w:rPr>
        <w:t>3</w:t>
      </w:r>
      <w:r>
        <w:rPr>
          <w:rFonts w:hint="eastAsia"/>
          <w:color w:val="auto"/>
          <w:highlight w:val="none"/>
        </w:rPr>
        <w:t>。甘油采用</w:t>
      </w:r>
      <w:r>
        <w:rPr>
          <w:rFonts w:hint="eastAsia"/>
          <w:color w:val="auto"/>
          <w:highlight w:val="none"/>
          <w:lang w:val="en-US" w:eastAsia="zh-CN"/>
        </w:rPr>
        <w:t>10</w:t>
      </w:r>
      <w:r>
        <w:rPr>
          <w:rFonts w:hint="eastAsia"/>
          <w:color w:val="auto"/>
          <w:highlight w:val="none"/>
        </w:rPr>
        <w:t>m</w:t>
      </w:r>
      <w:r>
        <w:rPr>
          <w:color w:val="auto"/>
          <w:highlight w:val="none"/>
          <w:vertAlign w:val="superscript"/>
        </w:rPr>
        <w:t>3</w:t>
      </w:r>
      <w:r>
        <w:rPr>
          <w:rFonts w:hint="eastAsia"/>
          <w:color w:val="auto"/>
          <w:highlight w:val="none"/>
        </w:rPr>
        <w:t>的不锈钢储罐存储</w:t>
      </w:r>
      <w:r>
        <w:rPr>
          <w:rFonts w:hint="eastAsia"/>
          <w:color w:val="auto"/>
          <w:highlight w:val="none"/>
          <w:lang w:eastAsia="zh-CN"/>
        </w:rPr>
        <w:t>，</w:t>
      </w:r>
      <w:r>
        <w:rPr>
          <w:rFonts w:hint="eastAsia"/>
          <w:color w:val="auto"/>
          <w:highlight w:val="none"/>
        </w:rPr>
        <w:t>日常均存储在厂房内</w:t>
      </w:r>
      <w:r>
        <w:rPr>
          <w:rFonts w:hint="eastAsia"/>
          <w:color w:val="auto"/>
          <w:highlight w:val="none"/>
          <w:lang w:eastAsia="zh-CN"/>
        </w:rPr>
        <w:t>，</w:t>
      </w:r>
      <w:r>
        <w:rPr>
          <w:rFonts w:hint="eastAsia"/>
          <w:color w:val="auto"/>
          <w:highlight w:val="none"/>
        </w:rPr>
        <w:t>每类原料最大存储量均为</w:t>
      </w:r>
      <w:r>
        <w:rPr>
          <w:rStyle w:val="100"/>
          <w:rFonts w:hint="eastAsia"/>
          <w:color w:val="auto"/>
          <w:sz w:val="24"/>
          <w:highlight w:val="none"/>
          <w:lang w:val="en-US" w:eastAsia="zh-CN"/>
        </w:rPr>
        <w:t>8</w:t>
      </w:r>
      <w:r>
        <w:rPr>
          <w:rStyle w:val="100"/>
          <w:rFonts w:hint="eastAsia"/>
          <w:color w:val="auto"/>
          <w:sz w:val="24"/>
          <w:highlight w:val="none"/>
        </w:rPr>
        <w:t>m</w:t>
      </w:r>
      <w:r>
        <w:rPr>
          <w:rStyle w:val="100"/>
          <w:color w:val="auto"/>
          <w:sz w:val="24"/>
          <w:highlight w:val="none"/>
          <w:vertAlign w:val="superscript"/>
        </w:rPr>
        <w:t>3</w:t>
      </w:r>
      <w:r>
        <w:rPr>
          <w:rFonts w:hint="eastAsia"/>
          <w:color w:val="auto"/>
          <w:highlight w:val="none"/>
        </w:rPr>
        <w:t>。多元醇、阻燃剂（</w:t>
      </w:r>
      <w:r>
        <w:rPr>
          <w:color w:val="auto"/>
          <w:highlight w:val="none"/>
        </w:rPr>
        <w:t>TCPP</w:t>
      </w:r>
      <w:r>
        <w:rPr>
          <w:rFonts w:hint="eastAsia"/>
          <w:color w:val="auto"/>
          <w:highlight w:val="none"/>
        </w:rPr>
        <w:t>）、增塑剂（二丁酯）均采用</w:t>
      </w:r>
      <w:r>
        <w:rPr>
          <w:rFonts w:hint="eastAsia"/>
          <w:color w:val="auto"/>
          <w:highlight w:val="none"/>
          <w:lang w:val="en-US" w:eastAsia="zh-CN"/>
        </w:rPr>
        <w:t>1</w:t>
      </w:r>
      <w:r>
        <w:rPr>
          <w:rFonts w:hint="eastAsia"/>
          <w:color w:val="auto"/>
          <w:highlight w:val="none"/>
        </w:rPr>
        <w:t>m</w:t>
      </w:r>
      <w:r>
        <w:rPr>
          <w:color w:val="auto"/>
          <w:highlight w:val="none"/>
          <w:vertAlign w:val="superscript"/>
        </w:rPr>
        <w:t>3</w:t>
      </w:r>
      <w:r>
        <w:rPr>
          <w:rFonts w:hint="eastAsia"/>
          <w:color w:val="auto"/>
          <w:highlight w:val="none"/>
        </w:rPr>
        <w:t>的不锈钢储罐存储</w:t>
      </w:r>
      <w:r>
        <w:rPr>
          <w:rFonts w:hint="eastAsia"/>
          <w:color w:val="auto"/>
          <w:highlight w:val="none"/>
          <w:lang w:eastAsia="zh-CN"/>
        </w:rPr>
        <w:t>，</w:t>
      </w:r>
      <w:r>
        <w:rPr>
          <w:rFonts w:hint="eastAsia"/>
          <w:color w:val="auto"/>
          <w:highlight w:val="none"/>
        </w:rPr>
        <w:t>日常均存储在厂房内</w:t>
      </w:r>
      <w:r>
        <w:rPr>
          <w:rFonts w:hint="eastAsia"/>
          <w:color w:val="auto"/>
          <w:highlight w:val="none"/>
          <w:lang w:eastAsia="zh-CN"/>
        </w:rPr>
        <w:t>，</w:t>
      </w:r>
      <w:r>
        <w:rPr>
          <w:rFonts w:hint="eastAsia"/>
          <w:color w:val="auto"/>
          <w:highlight w:val="none"/>
        </w:rPr>
        <w:t>每类原料最大存储量均为</w:t>
      </w:r>
      <w:r>
        <w:rPr>
          <w:rStyle w:val="100"/>
          <w:rFonts w:hint="eastAsia"/>
          <w:color w:val="auto"/>
          <w:sz w:val="24"/>
          <w:highlight w:val="none"/>
          <w:lang w:val="en-US" w:eastAsia="zh-CN"/>
        </w:rPr>
        <w:t>0.8</w:t>
      </w:r>
      <w:r>
        <w:rPr>
          <w:rStyle w:val="100"/>
          <w:rFonts w:hint="eastAsia"/>
          <w:color w:val="auto"/>
          <w:sz w:val="24"/>
          <w:highlight w:val="none"/>
        </w:rPr>
        <w:t>m</w:t>
      </w:r>
      <w:r>
        <w:rPr>
          <w:rStyle w:val="100"/>
          <w:color w:val="auto"/>
          <w:sz w:val="24"/>
          <w:highlight w:val="none"/>
          <w:vertAlign w:val="superscript"/>
        </w:rPr>
        <w:t>3</w:t>
      </w:r>
      <w:r>
        <w:rPr>
          <w:rFonts w:hint="eastAsia"/>
          <w:color w:val="auto"/>
          <w:highlight w:val="none"/>
        </w:rPr>
        <w:t>。</w:t>
      </w:r>
    </w:p>
    <w:p w14:paraId="26049CAA">
      <w:pPr>
        <w:pStyle w:val="102"/>
        <w:ind w:firstLine="480"/>
        <w:rPr>
          <w:color w:val="auto"/>
        </w:rPr>
      </w:pPr>
      <w:r>
        <w:rPr>
          <w:rFonts w:hint="eastAsia"/>
          <w:color w:val="auto"/>
          <w:highlight w:val="none"/>
        </w:rPr>
        <w:t>①根据《建设项目环境风险评价技术导则（HJ169-2018）》附录B重点关注的危险物质及临界量可知</w:t>
      </w:r>
      <w:r>
        <w:rPr>
          <w:rFonts w:hint="eastAsia"/>
          <w:color w:val="auto"/>
          <w:highlight w:val="none"/>
          <w:lang w:eastAsia="zh-CN"/>
        </w:rPr>
        <w:t>，</w:t>
      </w:r>
      <w:r>
        <w:rPr>
          <w:rFonts w:hint="eastAsia"/>
          <w:color w:val="auto"/>
          <w:highlight w:val="none"/>
        </w:rPr>
        <w:t>本项目重点关注</w:t>
      </w:r>
      <w:r>
        <w:rPr>
          <w:rFonts w:hint="eastAsia"/>
          <w:color w:val="auto"/>
        </w:rPr>
        <w:t>的危险物质（有临界量的危险物质）为聚合M</w:t>
      </w:r>
      <w:r>
        <w:rPr>
          <w:color w:val="auto"/>
        </w:rPr>
        <w:t>DI</w:t>
      </w:r>
      <w:r>
        <w:rPr>
          <w:rFonts w:hint="eastAsia"/>
          <w:color w:val="auto"/>
        </w:rPr>
        <w:t>、二丁酯；</w:t>
      </w:r>
    </w:p>
    <w:p w14:paraId="5719C28A">
      <w:pPr>
        <w:pStyle w:val="102"/>
        <w:ind w:firstLine="480"/>
        <w:rPr>
          <w:color w:val="auto"/>
        </w:rPr>
      </w:pPr>
      <w:r>
        <w:rPr>
          <w:rFonts w:hint="eastAsia"/>
          <w:color w:val="auto"/>
        </w:rPr>
        <w:t>②根据国家安监总局下发的《重点监管的危险化学品名录》（2013年完整版）</w:t>
      </w:r>
      <w:r>
        <w:rPr>
          <w:rFonts w:hint="eastAsia"/>
          <w:color w:val="auto"/>
          <w:lang w:eastAsia="zh-CN"/>
        </w:rPr>
        <w:t>，</w:t>
      </w:r>
      <w:r>
        <w:rPr>
          <w:rFonts w:hint="eastAsia"/>
          <w:color w:val="auto"/>
        </w:rPr>
        <w:t>本项目所用原料不包含在其中。</w:t>
      </w:r>
    </w:p>
    <w:p w14:paraId="43B6AB42">
      <w:pPr>
        <w:pStyle w:val="102"/>
        <w:ind w:firstLine="480"/>
        <w:rPr>
          <w:color w:val="auto"/>
        </w:rPr>
      </w:pPr>
      <w:r>
        <w:rPr>
          <w:rFonts w:hint="eastAsia"/>
          <w:color w:val="auto"/>
        </w:rPr>
        <w:t>根据《高毒物品目录》（2003年版）辨识</w:t>
      </w:r>
      <w:r>
        <w:rPr>
          <w:rFonts w:hint="eastAsia"/>
          <w:color w:val="auto"/>
          <w:lang w:eastAsia="zh-CN"/>
        </w:rPr>
        <w:t>，</w:t>
      </w:r>
      <w:r>
        <w:rPr>
          <w:rFonts w:hint="eastAsia"/>
          <w:color w:val="auto"/>
        </w:rPr>
        <w:t>本项目所用原料不包含在其中。</w:t>
      </w:r>
    </w:p>
    <w:p w14:paraId="6EC7183D">
      <w:pPr>
        <w:pStyle w:val="102"/>
        <w:ind w:firstLine="480"/>
        <w:rPr>
          <w:color w:val="auto"/>
        </w:rPr>
      </w:pPr>
      <w:r>
        <w:rPr>
          <w:rFonts w:hint="eastAsia"/>
          <w:color w:val="auto"/>
        </w:rPr>
        <w:t>根据《易制毒化学品管理条例》（国务院令第445号</w:t>
      </w:r>
      <w:r>
        <w:rPr>
          <w:rFonts w:hint="eastAsia"/>
          <w:color w:val="auto"/>
          <w:lang w:eastAsia="zh-CN"/>
        </w:rPr>
        <w:t>，</w:t>
      </w:r>
      <w:r>
        <w:rPr>
          <w:rFonts w:hint="eastAsia"/>
          <w:color w:val="auto"/>
        </w:rPr>
        <w:t>第653号修订）</w:t>
      </w:r>
      <w:r>
        <w:rPr>
          <w:rFonts w:hint="eastAsia"/>
          <w:color w:val="auto"/>
          <w:lang w:eastAsia="zh-CN"/>
        </w:rPr>
        <w:t>，</w:t>
      </w:r>
      <w:r>
        <w:rPr>
          <w:rFonts w:hint="eastAsia"/>
          <w:color w:val="auto"/>
        </w:rPr>
        <w:t>本项目所用原料中没有易制毒化学品。</w:t>
      </w:r>
    </w:p>
    <w:p w14:paraId="3173DFAC">
      <w:pPr>
        <w:pStyle w:val="2"/>
        <w:spacing w:before="120" w:after="120"/>
        <w:rPr>
          <w:color w:val="auto"/>
        </w:rPr>
      </w:pPr>
      <w:r>
        <w:rPr>
          <w:color w:val="auto"/>
        </w:rPr>
        <w:t>1.2</w:t>
      </w:r>
      <w:r>
        <w:rPr>
          <w:rFonts w:hint="eastAsia"/>
          <w:color w:val="auto"/>
        </w:rPr>
        <w:t>环境</w:t>
      </w:r>
      <w:r>
        <w:rPr>
          <w:color w:val="auto"/>
        </w:rPr>
        <w:t>保护目标调查</w:t>
      </w:r>
    </w:p>
    <w:p w14:paraId="3B986A66">
      <w:pPr>
        <w:pStyle w:val="102"/>
        <w:ind w:firstLine="480"/>
        <w:rPr>
          <w:color w:val="auto"/>
          <w:highlight w:val="none"/>
        </w:rPr>
      </w:pPr>
      <w:r>
        <w:rPr>
          <w:color w:val="auto"/>
        </w:rPr>
        <w:t>本项目</w:t>
      </w:r>
      <w:r>
        <w:rPr>
          <w:rFonts w:hint="eastAsia"/>
          <w:color w:val="auto"/>
        </w:rPr>
        <w:t>5</w:t>
      </w:r>
      <w:r>
        <w:rPr>
          <w:color w:val="auto"/>
        </w:rPr>
        <w:t>00</w:t>
      </w:r>
      <w:r>
        <w:rPr>
          <w:rFonts w:hint="eastAsia"/>
          <w:color w:val="auto"/>
        </w:rPr>
        <w:t>m范围内</w:t>
      </w:r>
      <w:r>
        <w:rPr>
          <w:color w:val="auto"/>
        </w:rPr>
        <w:t>无地下水集中式饮用水水源和热水、矿泉水、温泉等特殊地下水资源</w:t>
      </w:r>
      <w:r>
        <w:rPr>
          <w:rFonts w:hint="eastAsia"/>
          <w:color w:val="auto"/>
          <w:lang w:eastAsia="zh-CN"/>
        </w:rPr>
        <w:t>，</w:t>
      </w:r>
      <w:r>
        <w:rPr>
          <w:color w:val="auto"/>
        </w:rPr>
        <w:t>无地下水环境保护</w:t>
      </w:r>
      <w:r>
        <w:rPr>
          <w:rFonts w:hint="eastAsia"/>
          <w:color w:val="auto"/>
        </w:rPr>
        <w:t>目标</w:t>
      </w:r>
      <w:r>
        <w:rPr>
          <w:color w:val="auto"/>
        </w:rPr>
        <w:t>。</w:t>
      </w:r>
      <w:r>
        <w:rPr>
          <w:rFonts w:hint="eastAsia"/>
          <w:color w:val="auto"/>
        </w:rPr>
        <w:t>项</w:t>
      </w:r>
      <w:r>
        <w:rPr>
          <w:rFonts w:hint="eastAsia"/>
          <w:color w:val="auto"/>
          <w:highlight w:val="none"/>
        </w:rPr>
        <w:t>目厂区周围无地表水水体</w:t>
      </w:r>
      <w:r>
        <w:rPr>
          <w:rFonts w:hint="eastAsia"/>
          <w:color w:val="auto"/>
          <w:highlight w:val="none"/>
          <w:lang w:eastAsia="zh-CN"/>
        </w:rPr>
        <w:t>，</w:t>
      </w:r>
      <w:r>
        <w:rPr>
          <w:rFonts w:hint="eastAsia"/>
          <w:color w:val="auto"/>
          <w:highlight w:val="none"/>
        </w:rPr>
        <w:t>项目废水不直接进入地表水体</w:t>
      </w:r>
      <w:r>
        <w:rPr>
          <w:rFonts w:hint="eastAsia"/>
          <w:color w:val="auto"/>
          <w:highlight w:val="none"/>
          <w:lang w:eastAsia="zh-CN"/>
        </w:rPr>
        <w:t>，</w:t>
      </w:r>
      <w:r>
        <w:rPr>
          <w:rFonts w:hint="eastAsia"/>
          <w:color w:val="auto"/>
          <w:highlight w:val="none"/>
        </w:rPr>
        <w:t>故本项目不涉及地表水保护目标。</w:t>
      </w:r>
    </w:p>
    <w:p w14:paraId="1C89BB5E">
      <w:pPr>
        <w:pStyle w:val="102"/>
        <w:ind w:firstLine="480"/>
        <w:rPr>
          <w:color w:val="auto"/>
          <w:highlight w:val="none"/>
        </w:rPr>
      </w:pPr>
      <w:r>
        <w:rPr>
          <w:rFonts w:hint="eastAsia"/>
          <w:color w:val="auto"/>
          <w:highlight w:val="none"/>
        </w:rPr>
        <w:t>本项目环境</w:t>
      </w:r>
      <w:r>
        <w:rPr>
          <w:color w:val="auto"/>
          <w:highlight w:val="none"/>
        </w:rPr>
        <w:t>保护目标</w:t>
      </w:r>
      <w:r>
        <w:rPr>
          <w:rFonts w:hint="eastAsia"/>
          <w:color w:val="auto"/>
          <w:highlight w:val="none"/>
        </w:rPr>
        <w:t>分布情况见表</w:t>
      </w:r>
      <w:r>
        <w:rPr>
          <w:color w:val="auto"/>
          <w:highlight w:val="none"/>
        </w:rPr>
        <w:t>1-1</w:t>
      </w:r>
      <w:r>
        <w:rPr>
          <w:rFonts w:hint="eastAsia"/>
          <w:color w:val="auto"/>
          <w:highlight w:val="none"/>
          <w:lang w:eastAsia="zh-CN"/>
        </w:rPr>
        <w:t>，</w:t>
      </w:r>
      <w:r>
        <w:rPr>
          <w:rFonts w:hint="eastAsia"/>
          <w:color w:val="auto"/>
          <w:highlight w:val="none"/>
        </w:rPr>
        <w:t>环境敏感目标分布见附图。</w:t>
      </w:r>
    </w:p>
    <w:p w14:paraId="4295B3CA">
      <w:pPr>
        <w:rPr>
          <w:rFonts w:hint="eastAsia"/>
          <w:color w:val="auto"/>
          <w:highlight w:val="none"/>
        </w:rPr>
      </w:pPr>
      <w:r>
        <w:rPr>
          <w:rFonts w:hint="eastAsia"/>
          <w:color w:val="auto"/>
          <w:highlight w:val="none"/>
        </w:rPr>
        <w:br w:type="page"/>
      </w:r>
    </w:p>
    <w:p w14:paraId="2BE21375">
      <w:pPr>
        <w:pStyle w:val="114"/>
        <w:rPr>
          <w:rFonts w:hint="eastAsia"/>
          <w:color w:val="auto"/>
          <w:highlight w:val="none"/>
        </w:rPr>
      </w:pPr>
      <w:r>
        <w:rPr>
          <w:rFonts w:hint="eastAsia"/>
          <w:color w:val="auto"/>
          <w:highlight w:val="none"/>
        </w:rPr>
        <w:t>表</w:t>
      </w:r>
      <w:r>
        <w:rPr>
          <w:color w:val="auto"/>
          <w:highlight w:val="none"/>
        </w:rPr>
        <w:t xml:space="preserve">1-1  </w:t>
      </w:r>
      <w:r>
        <w:rPr>
          <w:rFonts w:hint="eastAsia"/>
          <w:color w:val="auto"/>
          <w:highlight w:val="none"/>
        </w:rPr>
        <w:t>环境风险保护目标一览表</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666"/>
        <w:gridCol w:w="706"/>
        <w:gridCol w:w="3105"/>
        <w:gridCol w:w="544"/>
        <w:gridCol w:w="571"/>
        <w:gridCol w:w="1075"/>
        <w:gridCol w:w="372"/>
        <w:gridCol w:w="950"/>
        <w:gridCol w:w="1071"/>
      </w:tblGrid>
      <w:tr w14:paraId="41E5CA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Align w:val="center"/>
          </w:tcPr>
          <w:p w14:paraId="3E121A1F">
            <w:pPr>
              <w:pStyle w:val="101"/>
              <w:jc w:val="center"/>
              <w:rPr>
                <w:color w:val="auto"/>
              </w:rPr>
            </w:pPr>
            <w:r>
              <w:rPr>
                <w:color w:val="auto"/>
              </w:rPr>
              <w:t>类别</w:t>
            </w:r>
          </w:p>
        </w:tc>
        <w:tc>
          <w:tcPr>
            <w:tcW w:w="4631" w:type="pct"/>
            <w:gridSpan w:val="8"/>
            <w:vAlign w:val="center"/>
          </w:tcPr>
          <w:p w14:paraId="5C807FA5">
            <w:pPr>
              <w:pStyle w:val="101"/>
              <w:jc w:val="center"/>
              <w:rPr>
                <w:color w:val="auto"/>
              </w:rPr>
            </w:pPr>
            <w:r>
              <w:rPr>
                <w:color w:val="auto"/>
              </w:rPr>
              <w:t>环境</w:t>
            </w:r>
            <w:r>
              <w:rPr>
                <w:rFonts w:hint="eastAsia"/>
                <w:color w:val="auto"/>
              </w:rPr>
              <w:t>保护目标</w:t>
            </w:r>
          </w:p>
        </w:tc>
      </w:tr>
      <w:tr w14:paraId="42B0BA5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restart"/>
            <w:vAlign w:val="center"/>
          </w:tcPr>
          <w:p w14:paraId="0B88BF16">
            <w:pPr>
              <w:pStyle w:val="101"/>
              <w:jc w:val="center"/>
              <w:rPr>
                <w:color w:val="auto"/>
              </w:rPr>
            </w:pPr>
            <w:r>
              <w:rPr>
                <w:color w:val="auto"/>
              </w:rPr>
              <w:t>环境空气</w:t>
            </w:r>
          </w:p>
        </w:tc>
        <w:tc>
          <w:tcPr>
            <w:tcW w:w="4631" w:type="pct"/>
            <w:gridSpan w:val="8"/>
            <w:vAlign w:val="center"/>
          </w:tcPr>
          <w:p w14:paraId="3D0BD117">
            <w:pPr>
              <w:pStyle w:val="101"/>
              <w:jc w:val="center"/>
              <w:rPr>
                <w:color w:val="auto"/>
              </w:rPr>
            </w:pPr>
            <w:r>
              <w:rPr>
                <w:color w:val="auto"/>
              </w:rPr>
              <w:t>厂址周边5km范围内</w:t>
            </w:r>
          </w:p>
        </w:tc>
      </w:tr>
      <w:tr w14:paraId="6B9A0BF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4E1C26D">
            <w:pPr>
              <w:pStyle w:val="101"/>
              <w:jc w:val="center"/>
              <w:rPr>
                <w:color w:val="auto"/>
              </w:rPr>
            </w:pPr>
          </w:p>
        </w:tc>
        <w:tc>
          <w:tcPr>
            <w:tcW w:w="390" w:type="pct"/>
            <w:vAlign w:val="center"/>
          </w:tcPr>
          <w:p w14:paraId="7D79FBDB">
            <w:pPr>
              <w:pStyle w:val="101"/>
              <w:jc w:val="center"/>
              <w:rPr>
                <w:color w:val="auto"/>
              </w:rPr>
            </w:pPr>
            <w:r>
              <w:rPr>
                <w:color w:val="auto"/>
              </w:rPr>
              <w:t>序号</w:t>
            </w:r>
          </w:p>
        </w:tc>
        <w:tc>
          <w:tcPr>
            <w:tcW w:w="1713" w:type="pct"/>
            <w:vAlign w:val="center"/>
          </w:tcPr>
          <w:p w14:paraId="126B4DF4">
            <w:pPr>
              <w:pStyle w:val="101"/>
              <w:jc w:val="center"/>
              <w:rPr>
                <w:color w:val="auto"/>
              </w:rPr>
            </w:pPr>
            <w:r>
              <w:rPr>
                <w:color w:val="auto"/>
              </w:rPr>
              <w:t>敏感目标名称</w:t>
            </w:r>
          </w:p>
        </w:tc>
        <w:tc>
          <w:tcPr>
            <w:tcW w:w="615" w:type="pct"/>
            <w:gridSpan w:val="2"/>
            <w:vAlign w:val="center"/>
          </w:tcPr>
          <w:p w14:paraId="69CA46DA">
            <w:pPr>
              <w:pStyle w:val="101"/>
              <w:jc w:val="center"/>
              <w:rPr>
                <w:color w:val="auto"/>
              </w:rPr>
            </w:pPr>
            <w:r>
              <w:rPr>
                <w:color w:val="auto"/>
              </w:rPr>
              <w:t>相对方位</w:t>
            </w:r>
          </w:p>
        </w:tc>
        <w:tc>
          <w:tcPr>
            <w:tcW w:w="592" w:type="pct"/>
            <w:vAlign w:val="center"/>
          </w:tcPr>
          <w:p w14:paraId="3C2DA336">
            <w:pPr>
              <w:pStyle w:val="101"/>
              <w:jc w:val="center"/>
              <w:rPr>
                <w:color w:val="auto"/>
              </w:rPr>
            </w:pPr>
            <w:r>
              <w:rPr>
                <w:color w:val="auto"/>
              </w:rPr>
              <w:t>距离/m</w:t>
            </w:r>
          </w:p>
        </w:tc>
        <w:tc>
          <w:tcPr>
            <w:tcW w:w="729" w:type="pct"/>
            <w:gridSpan w:val="2"/>
            <w:vAlign w:val="center"/>
          </w:tcPr>
          <w:p w14:paraId="0CBAF66A">
            <w:pPr>
              <w:pStyle w:val="101"/>
              <w:jc w:val="center"/>
              <w:rPr>
                <w:color w:val="auto"/>
              </w:rPr>
            </w:pPr>
            <w:r>
              <w:rPr>
                <w:color w:val="auto"/>
              </w:rPr>
              <w:t>属性</w:t>
            </w:r>
          </w:p>
        </w:tc>
        <w:tc>
          <w:tcPr>
            <w:tcW w:w="591" w:type="pct"/>
            <w:vAlign w:val="center"/>
          </w:tcPr>
          <w:p w14:paraId="1DAD67B3">
            <w:pPr>
              <w:pStyle w:val="101"/>
              <w:jc w:val="center"/>
              <w:rPr>
                <w:color w:val="auto"/>
              </w:rPr>
            </w:pPr>
            <w:r>
              <w:rPr>
                <w:color w:val="auto"/>
              </w:rPr>
              <w:t>人口数</w:t>
            </w:r>
          </w:p>
        </w:tc>
      </w:tr>
      <w:tr w14:paraId="6212A1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FB8FBDF">
            <w:pPr>
              <w:pStyle w:val="101"/>
              <w:jc w:val="center"/>
              <w:rPr>
                <w:color w:val="auto"/>
              </w:rPr>
            </w:pPr>
          </w:p>
        </w:tc>
        <w:tc>
          <w:tcPr>
            <w:tcW w:w="390" w:type="pct"/>
            <w:vAlign w:val="center"/>
          </w:tcPr>
          <w:p w14:paraId="4A2E8264">
            <w:pPr>
              <w:pStyle w:val="101"/>
              <w:jc w:val="center"/>
              <w:rPr>
                <w:rFonts w:eastAsia="宋体"/>
                <w:color w:val="auto"/>
              </w:rPr>
            </w:pPr>
            <w:r>
              <w:rPr>
                <w:rFonts w:hint="eastAsia" w:eastAsia="宋体"/>
                <w:color w:val="auto"/>
                <w:lang w:val="en-US" w:eastAsia="zh-CN"/>
              </w:rPr>
              <w:t>1</w:t>
            </w:r>
          </w:p>
        </w:tc>
        <w:tc>
          <w:tcPr>
            <w:tcW w:w="1713" w:type="pct"/>
            <w:vAlign w:val="center"/>
          </w:tcPr>
          <w:p w14:paraId="3212BEBA">
            <w:pPr>
              <w:pStyle w:val="101"/>
              <w:jc w:val="center"/>
              <w:rPr>
                <w:rFonts w:eastAsia="宋体"/>
                <w:color w:val="auto"/>
              </w:rPr>
            </w:pPr>
            <w:r>
              <w:rPr>
                <w:rFonts w:hint="eastAsia" w:eastAsia="宋体"/>
                <w:color w:val="auto"/>
                <w:lang w:val="en-US" w:eastAsia="zh-CN"/>
              </w:rPr>
              <w:t>鹤岗市公安局南山分局</w:t>
            </w:r>
          </w:p>
        </w:tc>
        <w:tc>
          <w:tcPr>
            <w:tcW w:w="1115" w:type="dxa"/>
            <w:gridSpan w:val="2"/>
            <w:vAlign w:val="bottom"/>
          </w:tcPr>
          <w:p w14:paraId="3D68B623">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w:t>
            </w:r>
          </w:p>
        </w:tc>
        <w:tc>
          <w:tcPr>
            <w:tcW w:w="592" w:type="pct"/>
            <w:vAlign w:val="center"/>
          </w:tcPr>
          <w:p w14:paraId="15B4978B">
            <w:pPr>
              <w:pStyle w:val="101"/>
              <w:jc w:val="center"/>
              <w:rPr>
                <w:rFonts w:hint="default" w:eastAsia="宋体"/>
                <w:color w:val="auto"/>
                <w:lang w:val="en-US"/>
              </w:rPr>
            </w:pPr>
            <w:r>
              <w:rPr>
                <w:rFonts w:hint="eastAsia" w:eastAsia="宋体"/>
                <w:color w:val="auto"/>
                <w:lang w:val="en-US" w:eastAsia="zh-CN"/>
              </w:rPr>
              <w:t>250</w:t>
            </w:r>
          </w:p>
        </w:tc>
        <w:tc>
          <w:tcPr>
            <w:tcW w:w="729" w:type="pct"/>
            <w:gridSpan w:val="2"/>
            <w:vAlign w:val="center"/>
          </w:tcPr>
          <w:p w14:paraId="75BAFA50">
            <w:pPr>
              <w:pStyle w:val="101"/>
              <w:jc w:val="center"/>
              <w:rPr>
                <w:rFonts w:eastAsia="宋体"/>
                <w:color w:val="auto"/>
              </w:rPr>
            </w:pPr>
            <w:r>
              <w:rPr>
                <w:rFonts w:hint="eastAsia" w:eastAsia="宋体"/>
                <w:color w:val="auto"/>
                <w:lang w:val="en-US" w:eastAsia="zh-CN"/>
              </w:rPr>
              <w:t>政府机构</w:t>
            </w:r>
          </w:p>
        </w:tc>
        <w:tc>
          <w:tcPr>
            <w:tcW w:w="591" w:type="pct"/>
            <w:vAlign w:val="center"/>
          </w:tcPr>
          <w:p w14:paraId="4E456FAB">
            <w:pPr>
              <w:pStyle w:val="101"/>
              <w:jc w:val="center"/>
              <w:rPr>
                <w:rFonts w:eastAsia="宋体"/>
                <w:color w:val="auto"/>
              </w:rPr>
            </w:pPr>
            <w:r>
              <w:rPr>
                <w:rFonts w:hint="eastAsia" w:eastAsia="宋体"/>
                <w:color w:val="auto"/>
                <w:lang w:val="en-US" w:eastAsia="zh-CN"/>
              </w:rPr>
              <w:t>35</w:t>
            </w:r>
          </w:p>
        </w:tc>
      </w:tr>
      <w:tr w14:paraId="172580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591ECD5">
            <w:pPr>
              <w:pStyle w:val="101"/>
              <w:jc w:val="center"/>
              <w:rPr>
                <w:color w:val="auto"/>
              </w:rPr>
            </w:pPr>
          </w:p>
        </w:tc>
        <w:tc>
          <w:tcPr>
            <w:tcW w:w="390" w:type="pct"/>
            <w:vAlign w:val="center"/>
          </w:tcPr>
          <w:p w14:paraId="354BCC6A">
            <w:pPr>
              <w:pStyle w:val="101"/>
              <w:jc w:val="center"/>
              <w:rPr>
                <w:rFonts w:eastAsia="宋体"/>
                <w:color w:val="auto"/>
              </w:rPr>
            </w:pPr>
            <w:r>
              <w:rPr>
                <w:rFonts w:hint="eastAsia" w:eastAsia="宋体"/>
                <w:color w:val="auto"/>
                <w:lang w:val="en-US" w:eastAsia="zh-CN"/>
              </w:rPr>
              <w:t>2</w:t>
            </w:r>
          </w:p>
        </w:tc>
        <w:tc>
          <w:tcPr>
            <w:tcW w:w="1713" w:type="pct"/>
            <w:vAlign w:val="center"/>
          </w:tcPr>
          <w:p w14:paraId="0BEC312C">
            <w:pPr>
              <w:pStyle w:val="101"/>
              <w:jc w:val="center"/>
              <w:rPr>
                <w:rFonts w:eastAsia="宋体"/>
                <w:color w:val="auto"/>
              </w:rPr>
            </w:pPr>
            <w:r>
              <w:rPr>
                <w:rFonts w:hint="eastAsia" w:eastAsia="宋体"/>
                <w:color w:val="auto"/>
                <w:lang w:val="en-US" w:eastAsia="zh-CN"/>
              </w:rPr>
              <w:t>平安小区</w:t>
            </w:r>
          </w:p>
        </w:tc>
        <w:tc>
          <w:tcPr>
            <w:tcW w:w="1115" w:type="dxa"/>
            <w:gridSpan w:val="2"/>
            <w:vAlign w:val="bottom"/>
          </w:tcPr>
          <w:p w14:paraId="3323C52F">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w:t>
            </w:r>
          </w:p>
        </w:tc>
        <w:tc>
          <w:tcPr>
            <w:tcW w:w="592" w:type="pct"/>
            <w:vAlign w:val="center"/>
          </w:tcPr>
          <w:p w14:paraId="1748C467">
            <w:pPr>
              <w:pStyle w:val="101"/>
              <w:jc w:val="center"/>
              <w:rPr>
                <w:rFonts w:hint="default" w:eastAsia="宋体"/>
                <w:color w:val="auto"/>
                <w:lang w:val="en-US"/>
              </w:rPr>
            </w:pPr>
            <w:r>
              <w:rPr>
                <w:rFonts w:hint="eastAsia" w:eastAsia="宋体"/>
                <w:color w:val="auto"/>
                <w:lang w:val="en-US" w:eastAsia="zh-CN"/>
              </w:rPr>
              <w:t>255</w:t>
            </w:r>
          </w:p>
        </w:tc>
        <w:tc>
          <w:tcPr>
            <w:tcW w:w="729" w:type="pct"/>
            <w:gridSpan w:val="2"/>
            <w:vAlign w:val="center"/>
          </w:tcPr>
          <w:p w14:paraId="08959B14">
            <w:pPr>
              <w:pStyle w:val="101"/>
              <w:jc w:val="center"/>
              <w:rPr>
                <w:rFonts w:eastAsia="宋体"/>
                <w:color w:val="auto"/>
              </w:rPr>
            </w:pPr>
            <w:r>
              <w:rPr>
                <w:rFonts w:hint="eastAsia" w:eastAsia="宋体"/>
                <w:color w:val="auto"/>
                <w:lang w:val="en-US" w:eastAsia="zh-CN"/>
              </w:rPr>
              <w:t>居住区</w:t>
            </w:r>
          </w:p>
        </w:tc>
        <w:tc>
          <w:tcPr>
            <w:tcW w:w="591" w:type="pct"/>
            <w:vAlign w:val="center"/>
          </w:tcPr>
          <w:p w14:paraId="22121B15">
            <w:pPr>
              <w:pStyle w:val="101"/>
              <w:jc w:val="center"/>
              <w:rPr>
                <w:rFonts w:eastAsia="宋体"/>
                <w:color w:val="auto"/>
              </w:rPr>
            </w:pPr>
            <w:r>
              <w:rPr>
                <w:rFonts w:hint="eastAsia" w:eastAsia="宋体"/>
                <w:color w:val="auto"/>
                <w:lang w:val="en-US" w:eastAsia="zh-CN"/>
              </w:rPr>
              <w:t>1200</w:t>
            </w:r>
          </w:p>
        </w:tc>
      </w:tr>
      <w:tr w14:paraId="180D968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9DFBA93">
            <w:pPr>
              <w:pStyle w:val="101"/>
              <w:jc w:val="center"/>
              <w:rPr>
                <w:color w:val="auto"/>
              </w:rPr>
            </w:pPr>
          </w:p>
        </w:tc>
        <w:tc>
          <w:tcPr>
            <w:tcW w:w="390" w:type="pct"/>
            <w:vAlign w:val="center"/>
          </w:tcPr>
          <w:p w14:paraId="55C3FB6A">
            <w:pPr>
              <w:pStyle w:val="101"/>
              <w:jc w:val="center"/>
              <w:rPr>
                <w:rFonts w:eastAsia="宋体"/>
                <w:color w:val="auto"/>
              </w:rPr>
            </w:pPr>
            <w:r>
              <w:rPr>
                <w:rFonts w:hint="eastAsia" w:eastAsia="宋体"/>
                <w:color w:val="auto"/>
                <w:lang w:val="en-US" w:eastAsia="zh-CN"/>
              </w:rPr>
              <w:t>3</w:t>
            </w:r>
          </w:p>
        </w:tc>
        <w:tc>
          <w:tcPr>
            <w:tcW w:w="1713" w:type="pct"/>
            <w:vAlign w:val="center"/>
          </w:tcPr>
          <w:p w14:paraId="784979EE">
            <w:pPr>
              <w:pStyle w:val="101"/>
              <w:jc w:val="center"/>
              <w:rPr>
                <w:rFonts w:eastAsia="宋体"/>
                <w:color w:val="auto"/>
              </w:rPr>
            </w:pPr>
            <w:r>
              <w:rPr>
                <w:rFonts w:hint="eastAsia" w:eastAsia="宋体"/>
                <w:color w:val="auto"/>
                <w:lang w:val="en-US" w:eastAsia="zh-CN"/>
              </w:rPr>
              <w:t>鹤岗市南山区人民法院</w:t>
            </w:r>
          </w:p>
        </w:tc>
        <w:tc>
          <w:tcPr>
            <w:tcW w:w="1115" w:type="dxa"/>
            <w:gridSpan w:val="2"/>
            <w:vAlign w:val="bottom"/>
          </w:tcPr>
          <w:p w14:paraId="1C5DAB0F">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7EE71ED3">
            <w:pPr>
              <w:pStyle w:val="101"/>
              <w:jc w:val="center"/>
              <w:rPr>
                <w:rFonts w:hint="default" w:eastAsia="宋体"/>
                <w:color w:val="auto"/>
                <w:lang w:val="en-US"/>
              </w:rPr>
            </w:pPr>
            <w:r>
              <w:rPr>
                <w:rFonts w:hint="eastAsia" w:eastAsia="宋体"/>
                <w:color w:val="auto"/>
                <w:lang w:val="en-US" w:eastAsia="zh-CN"/>
              </w:rPr>
              <w:t>355</w:t>
            </w:r>
          </w:p>
        </w:tc>
        <w:tc>
          <w:tcPr>
            <w:tcW w:w="729" w:type="pct"/>
            <w:gridSpan w:val="2"/>
            <w:vAlign w:val="center"/>
          </w:tcPr>
          <w:p w14:paraId="6BF9C451">
            <w:pPr>
              <w:pStyle w:val="101"/>
              <w:jc w:val="center"/>
              <w:rPr>
                <w:rFonts w:eastAsia="宋体"/>
                <w:color w:val="auto"/>
              </w:rPr>
            </w:pPr>
            <w:r>
              <w:rPr>
                <w:rFonts w:hint="eastAsia" w:eastAsia="宋体"/>
                <w:color w:val="auto"/>
                <w:lang w:val="en-US" w:eastAsia="zh-CN"/>
              </w:rPr>
              <w:t>政府机构</w:t>
            </w:r>
          </w:p>
        </w:tc>
        <w:tc>
          <w:tcPr>
            <w:tcW w:w="591" w:type="pct"/>
            <w:vAlign w:val="center"/>
          </w:tcPr>
          <w:p w14:paraId="223FAE33">
            <w:pPr>
              <w:pStyle w:val="101"/>
              <w:jc w:val="center"/>
              <w:rPr>
                <w:rFonts w:eastAsia="宋体"/>
                <w:color w:val="auto"/>
              </w:rPr>
            </w:pPr>
            <w:r>
              <w:rPr>
                <w:rFonts w:hint="eastAsia" w:eastAsia="宋体"/>
                <w:color w:val="auto"/>
                <w:lang w:val="en-US" w:eastAsia="zh-CN"/>
              </w:rPr>
              <w:t>60</w:t>
            </w:r>
          </w:p>
        </w:tc>
      </w:tr>
      <w:tr w14:paraId="768DD2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FA2B0F4">
            <w:pPr>
              <w:pStyle w:val="101"/>
              <w:jc w:val="center"/>
              <w:rPr>
                <w:color w:val="auto"/>
              </w:rPr>
            </w:pPr>
          </w:p>
        </w:tc>
        <w:tc>
          <w:tcPr>
            <w:tcW w:w="390" w:type="pct"/>
            <w:vAlign w:val="center"/>
          </w:tcPr>
          <w:p w14:paraId="27F4E174">
            <w:pPr>
              <w:pStyle w:val="101"/>
              <w:jc w:val="center"/>
              <w:rPr>
                <w:rFonts w:eastAsia="宋体"/>
                <w:color w:val="auto"/>
              </w:rPr>
            </w:pPr>
            <w:r>
              <w:rPr>
                <w:rFonts w:hint="eastAsia" w:eastAsia="宋体"/>
                <w:color w:val="auto"/>
                <w:lang w:val="en-US" w:eastAsia="zh-CN"/>
              </w:rPr>
              <w:t>4</w:t>
            </w:r>
          </w:p>
        </w:tc>
        <w:tc>
          <w:tcPr>
            <w:tcW w:w="1713" w:type="pct"/>
            <w:vAlign w:val="center"/>
          </w:tcPr>
          <w:p w14:paraId="2CE53E06">
            <w:pPr>
              <w:pStyle w:val="101"/>
              <w:jc w:val="center"/>
              <w:rPr>
                <w:rFonts w:eastAsia="宋体"/>
                <w:color w:val="auto"/>
              </w:rPr>
            </w:pPr>
            <w:r>
              <w:rPr>
                <w:rFonts w:hint="eastAsia"/>
                <w:color w:val="auto"/>
                <w:szCs w:val="21"/>
              </w:rPr>
              <w:t>铁东老年公寓</w:t>
            </w:r>
          </w:p>
        </w:tc>
        <w:tc>
          <w:tcPr>
            <w:tcW w:w="1115" w:type="dxa"/>
            <w:gridSpan w:val="2"/>
            <w:vAlign w:val="bottom"/>
          </w:tcPr>
          <w:p w14:paraId="675C983D">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1D08287E">
            <w:pPr>
              <w:pStyle w:val="101"/>
              <w:jc w:val="center"/>
              <w:rPr>
                <w:rFonts w:hint="default" w:eastAsia="宋体"/>
                <w:color w:val="auto"/>
                <w:lang w:val="en-US"/>
              </w:rPr>
            </w:pPr>
            <w:r>
              <w:rPr>
                <w:rFonts w:hint="eastAsia" w:eastAsia="宋体"/>
                <w:color w:val="auto"/>
                <w:lang w:val="en-US" w:eastAsia="zh-CN"/>
              </w:rPr>
              <w:t>335</w:t>
            </w:r>
          </w:p>
        </w:tc>
        <w:tc>
          <w:tcPr>
            <w:tcW w:w="729" w:type="pct"/>
            <w:gridSpan w:val="2"/>
            <w:vAlign w:val="center"/>
          </w:tcPr>
          <w:p w14:paraId="5ED235A4">
            <w:pPr>
              <w:pStyle w:val="101"/>
              <w:jc w:val="center"/>
              <w:rPr>
                <w:rFonts w:eastAsia="宋体"/>
                <w:color w:val="auto"/>
              </w:rPr>
            </w:pPr>
            <w:r>
              <w:rPr>
                <w:rFonts w:hint="eastAsia" w:eastAsia="宋体"/>
                <w:color w:val="auto"/>
                <w:lang w:val="en-US" w:eastAsia="zh-CN"/>
              </w:rPr>
              <w:t>政府机构</w:t>
            </w:r>
          </w:p>
        </w:tc>
        <w:tc>
          <w:tcPr>
            <w:tcW w:w="591" w:type="pct"/>
            <w:vAlign w:val="center"/>
          </w:tcPr>
          <w:p w14:paraId="793A3665">
            <w:pPr>
              <w:pStyle w:val="101"/>
              <w:jc w:val="center"/>
              <w:rPr>
                <w:rFonts w:eastAsia="宋体"/>
                <w:color w:val="auto"/>
              </w:rPr>
            </w:pPr>
            <w:r>
              <w:rPr>
                <w:rFonts w:hint="eastAsia" w:eastAsia="宋体"/>
                <w:color w:val="auto"/>
                <w:lang w:val="en-US" w:eastAsia="zh-CN"/>
              </w:rPr>
              <w:t>15</w:t>
            </w:r>
          </w:p>
        </w:tc>
      </w:tr>
      <w:tr w14:paraId="4C0C87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2C092E4">
            <w:pPr>
              <w:pStyle w:val="101"/>
              <w:jc w:val="center"/>
              <w:rPr>
                <w:color w:val="auto"/>
              </w:rPr>
            </w:pPr>
          </w:p>
        </w:tc>
        <w:tc>
          <w:tcPr>
            <w:tcW w:w="390" w:type="pct"/>
            <w:vAlign w:val="center"/>
          </w:tcPr>
          <w:p w14:paraId="73D18C17">
            <w:pPr>
              <w:pStyle w:val="101"/>
              <w:jc w:val="center"/>
              <w:rPr>
                <w:rFonts w:eastAsia="宋体"/>
                <w:color w:val="auto"/>
              </w:rPr>
            </w:pPr>
            <w:r>
              <w:rPr>
                <w:rFonts w:hint="eastAsia" w:eastAsia="宋体"/>
                <w:color w:val="auto"/>
                <w:lang w:val="en-US" w:eastAsia="zh-CN"/>
              </w:rPr>
              <w:t>5</w:t>
            </w:r>
          </w:p>
        </w:tc>
        <w:tc>
          <w:tcPr>
            <w:tcW w:w="1713" w:type="pct"/>
            <w:vAlign w:val="center"/>
          </w:tcPr>
          <w:p w14:paraId="78842035">
            <w:pPr>
              <w:pStyle w:val="101"/>
              <w:jc w:val="center"/>
              <w:rPr>
                <w:rFonts w:eastAsia="宋体"/>
                <w:color w:val="auto"/>
              </w:rPr>
            </w:pPr>
            <w:r>
              <w:rPr>
                <w:rFonts w:hint="eastAsia" w:eastAsia="宋体"/>
                <w:color w:val="auto"/>
                <w:lang w:val="en-US" w:eastAsia="zh-CN"/>
              </w:rPr>
              <w:t>平安小区-中区</w:t>
            </w:r>
          </w:p>
        </w:tc>
        <w:tc>
          <w:tcPr>
            <w:tcW w:w="1115" w:type="dxa"/>
            <w:gridSpan w:val="2"/>
            <w:vAlign w:val="bottom"/>
          </w:tcPr>
          <w:p w14:paraId="30B32B25">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21B82E77">
            <w:pPr>
              <w:pStyle w:val="101"/>
              <w:jc w:val="center"/>
              <w:rPr>
                <w:rFonts w:eastAsia="宋体"/>
                <w:color w:val="auto"/>
              </w:rPr>
            </w:pPr>
            <w:r>
              <w:rPr>
                <w:rFonts w:hint="eastAsia" w:eastAsia="宋体"/>
                <w:color w:val="auto"/>
                <w:lang w:val="en-US" w:eastAsia="zh-CN"/>
              </w:rPr>
              <w:t>485</w:t>
            </w:r>
          </w:p>
        </w:tc>
        <w:tc>
          <w:tcPr>
            <w:tcW w:w="729" w:type="pct"/>
            <w:gridSpan w:val="2"/>
            <w:vAlign w:val="center"/>
          </w:tcPr>
          <w:p w14:paraId="3B187545">
            <w:pPr>
              <w:pStyle w:val="101"/>
              <w:jc w:val="center"/>
              <w:rPr>
                <w:rFonts w:eastAsia="宋体"/>
                <w:color w:val="auto"/>
              </w:rPr>
            </w:pPr>
            <w:r>
              <w:rPr>
                <w:rFonts w:hint="eastAsia" w:eastAsia="宋体"/>
                <w:color w:val="auto"/>
                <w:lang w:val="en-US" w:eastAsia="zh-CN"/>
              </w:rPr>
              <w:t>居住区</w:t>
            </w:r>
          </w:p>
        </w:tc>
        <w:tc>
          <w:tcPr>
            <w:tcW w:w="591" w:type="pct"/>
            <w:vAlign w:val="center"/>
          </w:tcPr>
          <w:p w14:paraId="1EA7F264">
            <w:pPr>
              <w:pStyle w:val="101"/>
              <w:jc w:val="center"/>
              <w:rPr>
                <w:rFonts w:eastAsia="宋体"/>
                <w:color w:val="auto"/>
              </w:rPr>
            </w:pPr>
            <w:r>
              <w:rPr>
                <w:rFonts w:hint="eastAsia" w:eastAsia="宋体"/>
                <w:color w:val="auto"/>
                <w:lang w:val="en-US" w:eastAsia="zh-CN"/>
              </w:rPr>
              <w:t>1200</w:t>
            </w:r>
          </w:p>
        </w:tc>
      </w:tr>
      <w:tr w14:paraId="23658A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DB4FBCE">
            <w:pPr>
              <w:pStyle w:val="101"/>
              <w:jc w:val="center"/>
              <w:rPr>
                <w:color w:val="auto"/>
              </w:rPr>
            </w:pPr>
          </w:p>
        </w:tc>
        <w:tc>
          <w:tcPr>
            <w:tcW w:w="390" w:type="pct"/>
            <w:vAlign w:val="center"/>
          </w:tcPr>
          <w:p w14:paraId="72069FB6">
            <w:pPr>
              <w:pStyle w:val="101"/>
              <w:jc w:val="center"/>
              <w:rPr>
                <w:rFonts w:eastAsia="宋体"/>
                <w:color w:val="auto"/>
              </w:rPr>
            </w:pPr>
            <w:r>
              <w:rPr>
                <w:rFonts w:hint="eastAsia" w:eastAsia="宋体"/>
                <w:color w:val="auto"/>
                <w:lang w:val="en-US" w:eastAsia="zh-CN"/>
              </w:rPr>
              <w:t>6</w:t>
            </w:r>
          </w:p>
        </w:tc>
        <w:tc>
          <w:tcPr>
            <w:tcW w:w="1713" w:type="pct"/>
            <w:vAlign w:val="center"/>
          </w:tcPr>
          <w:p w14:paraId="7A4754FD">
            <w:pPr>
              <w:pStyle w:val="101"/>
              <w:jc w:val="center"/>
              <w:rPr>
                <w:rFonts w:eastAsia="宋体"/>
                <w:color w:val="auto"/>
              </w:rPr>
            </w:pPr>
            <w:r>
              <w:rPr>
                <w:rFonts w:hint="eastAsia" w:eastAsia="宋体"/>
                <w:color w:val="auto"/>
                <w:lang w:val="en-US" w:eastAsia="zh-CN"/>
              </w:rPr>
              <w:t>福泰家园</w:t>
            </w:r>
          </w:p>
        </w:tc>
        <w:tc>
          <w:tcPr>
            <w:tcW w:w="1115" w:type="dxa"/>
            <w:gridSpan w:val="2"/>
            <w:vAlign w:val="bottom"/>
          </w:tcPr>
          <w:p w14:paraId="4CAC1421">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4D83D60">
            <w:pPr>
              <w:pStyle w:val="101"/>
              <w:jc w:val="center"/>
              <w:rPr>
                <w:rFonts w:hint="default" w:eastAsia="宋体"/>
                <w:color w:val="auto"/>
                <w:lang w:val="en-US"/>
              </w:rPr>
            </w:pPr>
            <w:r>
              <w:rPr>
                <w:rFonts w:hint="eastAsia" w:eastAsia="宋体"/>
                <w:color w:val="auto"/>
                <w:lang w:val="en-US" w:eastAsia="zh-CN"/>
              </w:rPr>
              <w:t>410</w:t>
            </w:r>
          </w:p>
        </w:tc>
        <w:tc>
          <w:tcPr>
            <w:tcW w:w="729" w:type="pct"/>
            <w:gridSpan w:val="2"/>
            <w:vAlign w:val="center"/>
          </w:tcPr>
          <w:p w14:paraId="41F74131">
            <w:pPr>
              <w:pStyle w:val="101"/>
              <w:jc w:val="center"/>
              <w:rPr>
                <w:rFonts w:eastAsia="宋体"/>
                <w:color w:val="auto"/>
              </w:rPr>
            </w:pPr>
            <w:r>
              <w:rPr>
                <w:rFonts w:hint="eastAsia" w:eastAsia="宋体"/>
                <w:color w:val="auto"/>
                <w:lang w:val="en-US" w:eastAsia="zh-CN"/>
              </w:rPr>
              <w:t>居住区</w:t>
            </w:r>
          </w:p>
        </w:tc>
        <w:tc>
          <w:tcPr>
            <w:tcW w:w="591" w:type="pct"/>
            <w:vAlign w:val="center"/>
          </w:tcPr>
          <w:p w14:paraId="3EA7F7F3">
            <w:pPr>
              <w:pStyle w:val="101"/>
              <w:jc w:val="center"/>
              <w:rPr>
                <w:rFonts w:eastAsia="宋体"/>
                <w:color w:val="auto"/>
              </w:rPr>
            </w:pPr>
            <w:r>
              <w:rPr>
                <w:rFonts w:hint="eastAsia" w:eastAsia="宋体"/>
                <w:color w:val="auto"/>
                <w:lang w:val="en-US" w:eastAsia="zh-CN"/>
              </w:rPr>
              <w:t>3600</w:t>
            </w:r>
          </w:p>
        </w:tc>
      </w:tr>
      <w:tr w14:paraId="6F8FD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BE5776D">
            <w:pPr>
              <w:pStyle w:val="101"/>
              <w:jc w:val="center"/>
              <w:rPr>
                <w:color w:val="auto"/>
              </w:rPr>
            </w:pPr>
          </w:p>
        </w:tc>
        <w:tc>
          <w:tcPr>
            <w:tcW w:w="390" w:type="pct"/>
            <w:vAlign w:val="center"/>
          </w:tcPr>
          <w:p w14:paraId="604C2A74">
            <w:pPr>
              <w:pStyle w:val="101"/>
              <w:jc w:val="center"/>
              <w:rPr>
                <w:rFonts w:eastAsia="宋体"/>
                <w:color w:val="auto"/>
              </w:rPr>
            </w:pPr>
            <w:r>
              <w:rPr>
                <w:rFonts w:hint="eastAsia" w:eastAsia="宋体"/>
                <w:color w:val="auto"/>
                <w:lang w:val="en-US" w:eastAsia="zh-CN"/>
              </w:rPr>
              <w:t>7</w:t>
            </w:r>
          </w:p>
        </w:tc>
        <w:tc>
          <w:tcPr>
            <w:tcW w:w="1713" w:type="pct"/>
            <w:vAlign w:val="center"/>
          </w:tcPr>
          <w:p w14:paraId="5B645E9D">
            <w:pPr>
              <w:pStyle w:val="101"/>
              <w:jc w:val="center"/>
              <w:rPr>
                <w:rFonts w:eastAsia="宋体"/>
                <w:color w:val="auto"/>
              </w:rPr>
            </w:pPr>
            <w:r>
              <w:rPr>
                <w:rFonts w:hint="eastAsia" w:eastAsia="宋体"/>
                <w:color w:val="auto"/>
                <w:lang w:val="en-US" w:eastAsia="zh-CN"/>
              </w:rPr>
              <w:t>鹤岗市第十二中学</w:t>
            </w:r>
          </w:p>
        </w:tc>
        <w:tc>
          <w:tcPr>
            <w:tcW w:w="1115" w:type="dxa"/>
            <w:gridSpan w:val="2"/>
            <w:vAlign w:val="bottom"/>
          </w:tcPr>
          <w:p w14:paraId="28798921">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5CFC96DE">
            <w:pPr>
              <w:pStyle w:val="101"/>
              <w:jc w:val="center"/>
              <w:rPr>
                <w:rFonts w:eastAsia="宋体"/>
                <w:color w:val="auto"/>
              </w:rPr>
            </w:pPr>
            <w:r>
              <w:rPr>
                <w:rFonts w:hint="eastAsia" w:eastAsia="宋体"/>
                <w:color w:val="auto"/>
                <w:lang w:val="en-US" w:eastAsia="zh-CN"/>
              </w:rPr>
              <w:t>635</w:t>
            </w:r>
          </w:p>
        </w:tc>
        <w:tc>
          <w:tcPr>
            <w:tcW w:w="729" w:type="pct"/>
            <w:gridSpan w:val="2"/>
            <w:vAlign w:val="center"/>
          </w:tcPr>
          <w:p w14:paraId="11579A7C">
            <w:pPr>
              <w:pStyle w:val="101"/>
              <w:jc w:val="center"/>
              <w:rPr>
                <w:rFonts w:eastAsia="宋体"/>
                <w:color w:val="auto"/>
              </w:rPr>
            </w:pPr>
            <w:r>
              <w:rPr>
                <w:rFonts w:hint="eastAsia" w:eastAsia="宋体"/>
                <w:color w:val="auto"/>
                <w:lang w:val="en-US" w:eastAsia="zh-CN"/>
              </w:rPr>
              <w:t>学校</w:t>
            </w:r>
          </w:p>
        </w:tc>
        <w:tc>
          <w:tcPr>
            <w:tcW w:w="591" w:type="pct"/>
            <w:vAlign w:val="center"/>
          </w:tcPr>
          <w:p w14:paraId="61C30F49">
            <w:pPr>
              <w:pStyle w:val="101"/>
              <w:jc w:val="center"/>
              <w:rPr>
                <w:rFonts w:eastAsia="宋体"/>
                <w:color w:val="auto"/>
              </w:rPr>
            </w:pPr>
            <w:r>
              <w:rPr>
                <w:rFonts w:hint="eastAsia" w:eastAsia="宋体"/>
                <w:color w:val="auto"/>
                <w:lang w:val="en-US" w:eastAsia="zh-CN"/>
              </w:rPr>
              <w:t>900</w:t>
            </w:r>
          </w:p>
        </w:tc>
      </w:tr>
      <w:tr w14:paraId="780255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6E1B405">
            <w:pPr>
              <w:pStyle w:val="101"/>
              <w:jc w:val="center"/>
              <w:rPr>
                <w:color w:val="auto"/>
              </w:rPr>
            </w:pPr>
          </w:p>
        </w:tc>
        <w:tc>
          <w:tcPr>
            <w:tcW w:w="390" w:type="pct"/>
            <w:vAlign w:val="center"/>
          </w:tcPr>
          <w:p w14:paraId="1F6AEE06">
            <w:pPr>
              <w:pStyle w:val="101"/>
              <w:jc w:val="center"/>
              <w:rPr>
                <w:rFonts w:eastAsia="宋体"/>
                <w:color w:val="auto"/>
              </w:rPr>
            </w:pPr>
            <w:r>
              <w:rPr>
                <w:rFonts w:hint="eastAsia" w:eastAsia="宋体"/>
                <w:color w:val="auto"/>
                <w:lang w:val="en-US" w:eastAsia="zh-CN"/>
              </w:rPr>
              <w:t>8</w:t>
            </w:r>
          </w:p>
        </w:tc>
        <w:tc>
          <w:tcPr>
            <w:tcW w:w="1713" w:type="pct"/>
            <w:vAlign w:val="center"/>
          </w:tcPr>
          <w:p w14:paraId="42B0BA2C">
            <w:pPr>
              <w:pStyle w:val="101"/>
              <w:jc w:val="center"/>
              <w:rPr>
                <w:rFonts w:eastAsia="宋体"/>
                <w:color w:val="auto"/>
              </w:rPr>
            </w:pPr>
            <w:r>
              <w:rPr>
                <w:rFonts w:hint="eastAsia" w:eastAsia="宋体"/>
                <w:color w:val="auto"/>
                <w:lang w:val="en-US" w:eastAsia="zh-CN"/>
              </w:rPr>
              <w:t>南山治安派出所</w:t>
            </w:r>
          </w:p>
        </w:tc>
        <w:tc>
          <w:tcPr>
            <w:tcW w:w="1115" w:type="dxa"/>
            <w:gridSpan w:val="2"/>
            <w:vAlign w:val="bottom"/>
          </w:tcPr>
          <w:p w14:paraId="0BA37655">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北</w:t>
            </w:r>
          </w:p>
        </w:tc>
        <w:tc>
          <w:tcPr>
            <w:tcW w:w="592" w:type="pct"/>
            <w:vAlign w:val="center"/>
          </w:tcPr>
          <w:p w14:paraId="6421E0AD">
            <w:pPr>
              <w:pStyle w:val="101"/>
              <w:jc w:val="center"/>
              <w:rPr>
                <w:rFonts w:eastAsia="宋体"/>
                <w:color w:val="auto"/>
              </w:rPr>
            </w:pPr>
            <w:r>
              <w:rPr>
                <w:rFonts w:hint="eastAsia" w:eastAsia="宋体"/>
                <w:color w:val="auto"/>
                <w:lang w:val="en-US" w:eastAsia="zh-CN"/>
              </w:rPr>
              <w:t>680</w:t>
            </w:r>
          </w:p>
        </w:tc>
        <w:tc>
          <w:tcPr>
            <w:tcW w:w="729" w:type="pct"/>
            <w:gridSpan w:val="2"/>
            <w:vAlign w:val="center"/>
          </w:tcPr>
          <w:p w14:paraId="524693A6">
            <w:pPr>
              <w:pStyle w:val="101"/>
              <w:jc w:val="center"/>
              <w:rPr>
                <w:rFonts w:eastAsia="宋体"/>
                <w:color w:val="auto"/>
              </w:rPr>
            </w:pPr>
            <w:r>
              <w:rPr>
                <w:rFonts w:hint="eastAsia" w:eastAsia="宋体"/>
                <w:color w:val="auto"/>
                <w:lang w:val="en-US" w:eastAsia="zh-CN"/>
              </w:rPr>
              <w:t>政府机构</w:t>
            </w:r>
          </w:p>
        </w:tc>
        <w:tc>
          <w:tcPr>
            <w:tcW w:w="591" w:type="pct"/>
            <w:vAlign w:val="center"/>
          </w:tcPr>
          <w:p w14:paraId="03F920D5">
            <w:pPr>
              <w:pStyle w:val="101"/>
              <w:jc w:val="center"/>
              <w:rPr>
                <w:rFonts w:eastAsia="宋体"/>
                <w:color w:val="auto"/>
              </w:rPr>
            </w:pPr>
            <w:r>
              <w:rPr>
                <w:rFonts w:hint="eastAsia" w:eastAsia="宋体"/>
                <w:color w:val="auto"/>
                <w:lang w:val="en-US" w:eastAsia="zh-CN"/>
              </w:rPr>
              <w:t>15</w:t>
            </w:r>
          </w:p>
        </w:tc>
      </w:tr>
      <w:tr w14:paraId="1CD42A7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0F9A254">
            <w:pPr>
              <w:pStyle w:val="101"/>
              <w:jc w:val="center"/>
              <w:rPr>
                <w:color w:val="auto"/>
              </w:rPr>
            </w:pPr>
          </w:p>
        </w:tc>
        <w:tc>
          <w:tcPr>
            <w:tcW w:w="390" w:type="pct"/>
            <w:vAlign w:val="center"/>
          </w:tcPr>
          <w:p w14:paraId="08C80F02">
            <w:pPr>
              <w:pStyle w:val="101"/>
              <w:jc w:val="center"/>
              <w:rPr>
                <w:rFonts w:eastAsia="宋体"/>
                <w:color w:val="auto"/>
              </w:rPr>
            </w:pPr>
            <w:r>
              <w:rPr>
                <w:rFonts w:hint="eastAsia" w:eastAsia="宋体"/>
                <w:color w:val="auto"/>
                <w:lang w:val="en-US" w:eastAsia="zh-CN"/>
              </w:rPr>
              <w:t>9</w:t>
            </w:r>
          </w:p>
        </w:tc>
        <w:tc>
          <w:tcPr>
            <w:tcW w:w="1713" w:type="pct"/>
            <w:vAlign w:val="center"/>
          </w:tcPr>
          <w:p w14:paraId="3E7FCC8A">
            <w:pPr>
              <w:pStyle w:val="101"/>
              <w:jc w:val="center"/>
              <w:rPr>
                <w:rFonts w:eastAsia="宋体"/>
                <w:color w:val="auto"/>
              </w:rPr>
            </w:pPr>
            <w:r>
              <w:rPr>
                <w:rFonts w:hint="eastAsia" w:eastAsia="宋体"/>
                <w:color w:val="auto"/>
                <w:lang w:val="en-US" w:eastAsia="zh-CN"/>
              </w:rPr>
              <w:t>鹤岗市南山小学</w:t>
            </w:r>
          </w:p>
        </w:tc>
        <w:tc>
          <w:tcPr>
            <w:tcW w:w="1115" w:type="dxa"/>
            <w:gridSpan w:val="2"/>
            <w:vAlign w:val="bottom"/>
          </w:tcPr>
          <w:p w14:paraId="666656A8">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73337ED">
            <w:pPr>
              <w:pStyle w:val="101"/>
              <w:jc w:val="center"/>
              <w:rPr>
                <w:rFonts w:eastAsia="宋体"/>
                <w:color w:val="auto"/>
              </w:rPr>
            </w:pPr>
            <w:r>
              <w:rPr>
                <w:rFonts w:hint="eastAsia" w:eastAsia="宋体"/>
                <w:color w:val="auto"/>
                <w:lang w:val="en-US" w:eastAsia="zh-CN"/>
              </w:rPr>
              <w:t>850</w:t>
            </w:r>
          </w:p>
        </w:tc>
        <w:tc>
          <w:tcPr>
            <w:tcW w:w="729" w:type="pct"/>
            <w:gridSpan w:val="2"/>
            <w:vAlign w:val="center"/>
          </w:tcPr>
          <w:p w14:paraId="743CA7FC">
            <w:pPr>
              <w:pStyle w:val="101"/>
              <w:jc w:val="center"/>
              <w:rPr>
                <w:rFonts w:eastAsia="宋体"/>
                <w:color w:val="auto"/>
              </w:rPr>
            </w:pPr>
            <w:r>
              <w:rPr>
                <w:rFonts w:hint="eastAsia" w:eastAsia="宋体"/>
                <w:color w:val="auto"/>
                <w:lang w:val="en-US" w:eastAsia="zh-CN"/>
              </w:rPr>
              <w:t>学校</w:t>
            </w:r>
          </w:p>
        </w:tc>
        <w:tc>
          <w:tcPr>
            <w:tcW w:w="591" w:type="pct"/>
            <w:vAlign w:val="center"/>
          </w:tcPr>
          <w:p w14:paraId="7C7CD6F6">
            <w:pPr>
              <w:pStyle w:val="101"/>
              <w:jc w:val="center"/>
              <w:rPr>
                <w:rFonts w:eastAsia="宋体"/>
                <w:color w:val="auto"/>
              </w:rPr>
            </w:pPr>
            <w:r>
              <w:rPr>
                <w:rFonts w:hint="eastAsia" w:eastAsia="宋体"/>
                <w:color w:val="auto"/>
                <w:lang w:val="en-US" w:eastAsia="zh-CN"/>
              </w:rPr>
              <w:t>400</w:t>
            </w:r>
          </w:p>
        </w:tc>
      </w:tr>
      <w:tr w14:paraId="5E23363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83CE084">
            <w:pPr>
              <w:pStyle w:val="101"/>
              <w:jc w:val="center"/>
              <w:rPr>
                <w:color w:val="auto"/>
              </w:rPr>
            </w:pPr>
          </w:p>
        </w:tc>
        <w:tc>
          <w:tcPr>
            <w:tcW w:w="390" w:type="pct"/>
            <w:vAlign w:val="center"/>
          </w:tcPr>
          <w:p w14:paraId="602708B1">
            <w:pPr>
              <w:pStyle w:val="101"/>
              <w:jc w:val="center"/>
              <w:rPr>
                <w:rFonts w:eastAsia="宋体"/>
                <w:color w:val="auto"/>
              </w:rPr>
            </w:pPr>
            <w:r>
              <w:rPr>
                <w:rFonts w:hint="eastAsia" w:eastAsia="宋体"/>
                <w:color w:val="auto"/>
                <w:lang w:val="en-US" w:eastAsia="zh-CN"/>
              </w:rPr>
              <w:t>10</w:t>
            </w:r>
          </w:p>
        </w:tc>
        <w:tc>
          <w:tcPr>
            <w:tcW w:w="1713" w:type="pct"/>
            <w:vAlign w:val="center"/>
          </w:tcPr>
          <w:p w14:paraId="119A2165">
            <w:pPr>
              <w:pStyle w:val="101"/>
              <w:jc w:val="center"/>
              <w:rPr>
                <w:rFonts w:eastAsia="宋体"/>
                <w:color w:val="auto"/>
              </w:rPr>
            </w:pPr>
            <w:r>
              <w:rPr>
                <w:rFonts w:hint="eastAsia" w:eastAsia="宋体"/>
                <w:color w:val="auto"/>
                <w:lang w:val="en-US" w:eastAsia="zh-CN"/>
              </w:rPr>
              <w:t>兴旺小区</w:t>
            </w:r>
          </w:p>
        </w:tc>
        <w:tc>
          <w:tcPr>
            <w:tcW w:w="1115" w:type="dxa"/>
            <w:gridSpan w:val="2"/>
            <w:vAlign w:val="bottom"/>
          </w:tcPr>
          <w:p w14:paraId="413F7561">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51070537">
            <w:pPr>
              <w:pStyle w:val="101"/>
              <w:jc w:val="center"/>
              <w:rPr>
                <w:rFonts w:eastAsia="宋体"/>
                <w:color w:val="auto"/>
              </w:rPr>
            </w:pPr>
            <w:r>
              <w:rPr>
                <w:rFonts w:hint="eastAsia" w:eastAsia="宋体"/>
                <w:color w:val="auto"/>
                <w:lang w:val="en-US" w:eastAsia="zh-CN"/>
              </w:rPr>
              <w:t>865</w:t>
            </w:r>
          </w:p>
        </w:tc>
        <w:tc>
          <w:tcPr>
            <w:tcW w:w="729" w:type="pct"/>
            <w:gridSpan w:val="2"/>
            <w:vAlign w:val="center"/>
          </w:tcPr>
          <w:p w14:paraId="7C600A16">
            <w:pPr>
              <w:pStyle w:val="101"/>
              <w:jc w:val="center"/>
              <w:rPr>
                <w:rFonts w:eastAsia="宋体"/>
                <w:color w:val="auto"/>
              </w:rPr>
            </w:pPr>
            <w:r>
              <w:rPr>
                <w:rFonts w:hint="eastAsia" w:eastAsia="宋体"/>
                <w:color w:val="auto"/>
                <w:lang w:val="en-US" w:eastAsia="zh-CN"/>
              </w:rPr>
              <w:t>居住区</w:t>
            </w:r>
          </w:p>
        </w:tc>
        <w:tc>
          <w:tcPr>
            <w:tcW w:w="591" w:type="pct"/>
            <w:vAlign w:val="center"/>
          </w:tcPr>
          <w:p w14:paraId="0CFFEF39">
            <w:pPr>
              <w:pStyle w:val="101"/>
              <w:jc w:val="center"/>
              <w:rPr>
                <w:rFonts w:eastAsia="宋体"/>
                <w:color w:val="auto"/>
              </w:rPr>
            </w:pPr>
            <w:r>
              <w:rPr>
                <w:rFonts w:hint="eastAsia" w:eastAsia="宋体"/>
                <w:color w:val="auto"/>
                <w:lang w:val="en-US" w:eastAsia="zh-CN"/>
              </w:rPr>
              <w:t>6000</w:t>
            </w:r>
          </w:p>
        </w:tc>
      </w:tr>
      <w:tr w14:paraId="0DB5A9D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BA859E7">
            <w:pPr>
              <w:pStyle w:val="101"/>
              <w:jc w:val="center"/>
              <w:rPr>
                <w:color w:val="auto"/>
              </w:rPr>
            </w:pPr>
          </w:p>
        </w:tc>
        <w:tc>
          <w:tcPr>
            <w:tcW w:w="390" w:type="pct"/>
            <w:vAlign w:val="center"/>
          </w:tcPr>
          <w:p w14:paraId="60B52907">
            <w:pPr>
              <w:pStyle w:val="101"/>
              <w:jc w:val="center"/>
              <w:rPr>
                <w:rFonts w:eastAsia="宋体"/>
                <w:color w:val="auto"/>
              </w:rPr>
            </w:pPr>
            <w:r>
              <w:rPr>
                <w:rFonts w:hint="eastAsia" w:eastAsia="宋体"/>
                <w:color w:val="auto"/>
                <w:lang w:val="en-US" w:eastAsia="zh-CN"/>
              </w:rPr>
              <w:t>11</w:t>
            </w:r>
          </w:p>
        </w:tc>
        <w:tc>
          <w:tcPr>
            <w:tcW w:w="1713" w:type="pct"/>
            <w:vAlign w:val="center"/>
          </w:tcPr>
          <w:p w14:paraId="6F438334">
            <w:pPr>
              <w:pStyle w:val="101"/>
              <w:jc w:val="center"/>
              <w:rPr>
                <w:rFonts w:eastAsia="宋体"/>
                <w:color w:val="auto"/>
              </w:rPr>
            </w:pPr>
            <w:r>
              <w:rPr>
                <w:rFonts w:hint="eastAsia" w:eastAsia="宋体"/>
                <w:color w:val="auto"/>
                <w:lang w:val="en-US" w:eastAsia="zh-CN"/>
              </w:rPr>
              <w:t>福苑小区</w:t>
            </w:r>
          </w:p>
        </w:tc>
        <w:tc>
          <w:tcPr>
            <w:tcW w:w="1115" w:type="dxa"/>
            <w:gridSpan w:val="2"/>
            <w:vAlign w:val="bottom"/>
          </w:tcPr>
          <w:p w14:paraId="408657AE">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67EB13AC">
            <w:pPr>
              <w:pStyle w:val="101"/>
              <w:jc w:val="center"/>
              <w:rPr>
                <w:rFonts w:eastAsia="宋体"/>
                <w:color w:val="auto"/>
              </w:rPr>
            </w:pPr>
            <w:r>
              <w:rPr>
                <w:rFonts w:hint="eastAsia" w:eastAsia="宋体"/>
                <w:color w:val="auto"/>
                <w:lang w:val="en-US" w:eastAsia="zh-CN"/>
              </w:rPr>
              <w:t>920</w:t>
            </w:r>
          </w:p>
        </w:tc>
        <w:tc>
          <w:tcPr>
            <w:tcW w:w="729" w:type="pct"/>
            <w:gridSpan w:val="2"/>
            <w:vAlign w:val="center"/>
          </w:tcPr>
          <w:p w14:paraId="32F70FB1">
            <w:pPr>
              <w:pStyle w:val="101"/>
              <w:jc w:val="center"/>
              <w:rPr>
                <w:rFonts w:eastAsia="宋体"/>
                <w:color w:val="auto"/>
              </w:rPr>
            </w:pPr>
            <w:r>
              <w:rPr>
                <w:rFonts w:hint="eastAsia" w:eastAsia="宋体"/>
                <w:color w:val="auto"/>
                <w:lang w:val="en-US" w:eastAsia="zh-CN"/>
              </w:rPr>
              <w:t>居住区</w:t>
            </w:r>
          </w:p>
        </w:tc>
        <w:tc>
          <w:tcPr>
            <w:tcW w:w="591" w:type="pct"/>
            <w:vAlign w:val="center"/>
          </w:tcPr>
          <w:p w14:paraId="765D7B15">
            <w:pPr>
              <w:pStyle w:val="101"/>
              <w:jc w:val="center"/>
              <w:rPr>
                <w:rFonts w:eastAsia="宋体"/>
                <w:color w:val="auto"/>
              </w:rPr>
            </w:pPr>
            <w:r>
              <w:rPr>
                <w:rFonts w:hint="eastAsia" w:eastAsia="宋体"/>
                <w:color w:val="auto"/>
                <w:lang w:val="en-US" w:eastAsia="zh-CN"/>
              </w:rPr>
              <w:t>3600</w:t>
            </w:r>
          </w:p>
        </w:tc>
      </w:tr>
      <w:tr w14:paraId="635226C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4596C63">
            <w:pPr>
              <w:pStyle w:val="101"/>
              <w:jc w:val="center"/>
              <w:rPr>
                <w:color w:val="auto"/>
              </w:rPr>
            </w:pPr>
          </w:p>
        </w:tc>
        <w:tc>
          <w:tcPr>
            <w:tcW w:w="390" w:type="pct"/>
            <w:vAlign w:val="center"/>
          </w:tcPr>
          <w:p w14:paraId="6169ED26">
            <w:pPr>
              <w:pStyle w:val="101"/>
              <w:jc w:val="center"/>
              <w:rPr>
                <w:rFonts w:eastAsia="宋体"/>
                <w:color w:val="auto"/>
              </w:rPr>
            </w:pPr>
            <w:r>
              <w:rPr>
                <w:rFonts w:hint="eastAsia" w:eastAsia="宋体"/>
                <w:color w:val="auto"/>
                <w:lang w:val="en-US" w:eastAsia="zh-CN"/>
              </w:rPr>
              <w:t>12</w:t>
            </w:r>
          </w:p>
        </w:tc>
        <w:tc>
          <w:tcPr>
            <w:tcW w:w="1713" w:type="pct"/>
            <w:vAlign w:val="center"/>
          </w:tcPr>
          <w:p w14:paraId="66399B08">
            <w:pPr>
              <w:pStyle w:val="101"/>
              <w:jc w:val="center"/>
              <w:rPr>
                <w:rFonts w:eastAsia="宋体"/>
                <w:color w:val="auto"/>
              </w:rPr>
            </w:pPr>
            <w:r>
              <w:rPr>
                <w:rFonts w:hint="eastAsia" w:eastAsia="宋体"/>
                <w:color w:val="auto"/>
                <w:lang w:val="en-US" w:eastAsia="zh-CN"/>
              </w:rPr>
              <w:t>名苑3期</w:t>
            </w:r>
          </w:p>
        </w:tc>
        <w:tc>
          <w:tcPr>
            <w:tcW w:w="1115" w:type="dxa"/>
            <w:gridSpan w:val="2"/>
            <w:vAlign w:val="bottom"/>
          </w:tcPr>
          <w:p w14:paraId="6A2B363B">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DCD9245">
            <w:pPr>
              <w:pStyle w:val="101"/>
              <w:jc w:val="center"/>
              <w:rPr>
                <w:rFonts w:eastAsia="宋体"/>
                <w:color w:val="auto"/>
              </w:rPr>
            </w:pPr>
            <w:r>
              <w:rPr>
                <w:rFonts w:hint="eastAsia" w:eastAsia="宋体"/>
                <w:color w:val="auto"/>
                <w:lang w:val="en-US" w:eastAsia="zh-CN"/>
              </w:rPr>
              <w:t>1000</w:t>
            </w:r>
          </w:p>
        </w:tc>
        <w:tc>
          <w:tcPr>
            <w:tcW w:w="729" w:type="pct"/>
            <w:gridSpan w:val="2"/>
            <w:vAlign w:val="center"/>
          </w:tcPr>
          <w:p w14:paraId="5B783BCB">
            <w:pPr>
              <w:pStyle w:val="101"/>
              <w:jc w:val="center"/>
              <w:rPr>
                <w:rFonts w:eastAsia="宋体"/>
                <w:color w:val="auto"/>
              </w:rPr>
            </w:pPr>
            <w:r>
              <w:rPr>
                <w:rFonts w:hint="eastAsia" w:eastAsia="宋体"/>
                <w:color w:val="auto"/>
                <w:lang w:val="en-US" w:eastAsia="zh-CN"/>
              </w:rPr>
              <w:t>居住区</w:t>
            </w:r>
          </w:p>
        </w:tc>
        <w:tc>
          <w:tcPr>
            <w:tcW w:w="591" w:type="pct"/>
            <w:vAlign w:val="center"/>
          </w:tcPr>
          <w:p w14:paraId="78F96C29">
            <w:pPr>
              <w:pStyle w:val="101"/>
              <w:jc w:val="center"/>
              <w:rPr>
                <w:rFonts w:eastAsia="宋体"/>
                <w:color w:val="auto"/>
              </w:rPr>
            </w:pPr>
            <w:r>
              <w:rPr>
                <w:rFonts w:hint="eastAsia" w:eastAsia="宋体"/>
                <w:color w:val="auto"/>
                <w:lang w:val="en-US" w:eastAsia="zh-CN"/>
              </w:rPr>
              <w:t>7500</w:t>
            </w:r>
          </w:p>
        </w:tc>
      </w:tr>
      <w:tr w14:paraId="0CFD25D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5AC707C">
            <w:pPr>
              <w:pStyle w:val="101"/>
              <w:jc w:val="center"/>
              <w:rPr>
                <w:color w:val="auto"/>
              </w:rPr>
            </w:pPr>
          </w:p>
        </w:tc>
        <w:tc>
          <w:tcPr>
            <w:tcW w:w="390" w:type="pct"/>
            <w:vAlign w:val="center"/>
          </w:tcPr>
          <w:p w14:paraId="1BAB878C">
            <w:pPr>
              <w:pStyle w:val="101"/>
              <w:jc w:val="center"/>
              <w:rPr>
                <w:rFonts w:eastAsia="宋体"/>
                <w:color w:val="auto"/>
              </w:rPr>
            </w:pPr>
            <w:r>
              <w:rPr>
                <w:rFonts w:hint="eastAsia" w:eastAsia="宋体"/>
                <w:color w:val="auto"/>
                <w:lang w:val="en-US" w:eastAsia="zh-CN"/>
              </w:rPr>
              <w:t>13</w:t>
            </w:r>
          </w:p>
        </w:tc>
        <w:tc>
          <w:tcPr>
            <w:tcW w:w="1713" w:type="pct"/>
            <w:vAlign w:val="center"/>
          </w:tcPr>
          <w:p w14:paraId="600EB9AB">
            <w:pPr>
              <w:pStyle w:val="101"/>
              <w:jc w:val="center"/>
              <w:rPr>
                <w:rFonts w:eastAsia="宋体"/>
                <w:color w:val="auto"/>
              </w:rPr>
            </w:pPr>
            <w:r>
              <w:rPr>
                <w:rFonts w:hint="eastAsia" w:eastAsia="宋体"/>
                <w:color w:val="auto"/>
                <w:lang w:val="en-US" w:eastAsia="zh-CN"/>
              </w:rPr>
              <w:t>天时家园</w:t>
            </w:r>
          </w:p>
        </w:tc>
        <w:tc>
          <w:tcPr>
            <w:tcW w:w="1115" w:type="dxa"/>
            <w:gridSpan w:val="2"/>
            <w:vAlign w:val="bottom"/>
          </w:tcPr>
          <w:p w14:paraId="75166918">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w:t>
            </w:r>
          </w:p>
        </w:tc>
        <w:tc>
          <w:tcPr>
            <w:tcW w:w="592" w:type="pct"/>
            <w:vAlign w:val="center"/>
          </w:tcPr>
          <w:p w14:paraId="55CEB1E3">
            <w:pPr>
              <w:pStyle w:val="101"/>
              <w:jc w:val="center"/>
              <w:rPr>
                <w:rFonts w:eastAsia="宋体"/>
                <w:color w:val="auto"/>
              </w:rPr>
            </w:pPr>
            <w:r>
              <w:rPr>
                <w:rFonts w:hint="eastAsia" w:eastAsia="宋体"/>
                <w:color w:val="auto"/>
                <w:lang w:val="en-US" w:eastAsia="zh-CN"/>
              </w:rPr>
              <w:t>1055</w:t>
            </w:r>
          </w:p>
        </w:tc>
        <w:tc>
          <w:tcPr>
            <w:tcW w:w="729" w:type="pct"/>
            <w:gridSpan w:val="2"/>
            <w:vAlign w:val="center"/>
          </w:tcPr>
          <w:p w14:paraId="558A0B39">
            <w:pPr>
              <w:pStyle w:val="101"/>
              <w:jc w:val="center"/>
              <w:rPr>
                <w:rFonts w:eastAsia="宋体"/>
                <w:color w:val="auto"/>
              </w:rPr>
            </w:pPr>
            <w:r>
              <w:rPr>
                <w:rFonts w:hint="eastAsia" w:eastAsia="宋体"/>
                <w:color w:val="auto"/>
                <w:lang w:val="en-US" w:eastAsia="zh-CN"/>
              </w:rPr>
              <w:t>居住区</w:t>
            </w:r>
          </w:p>
        </w:tc>
        <w:tc>
          <w:tcPr>
            <w:tcW w:w="591" w:type="pct"/>
            <w:vAlign w:val="center"/>
          </w:tcPr>
          <w:p w14:paraId="07C4295D">
            <w:pPr>
              <w:pStyle w:val="101"/>
              <w:jc w:val="center"/>
              <w:rPr>
                <w:rFonts w:eastAsia="宋体"/>
                <w:color w:val="auto"/>
              </w:rPr>
            </w:pPr>
            <w:r>
              <w:rPr>
                <w:rFonts w:hint="eastAsia" w:eastAsia="宋体"/>
                <w:color w:val="auto"/>
                <w:lang w:val="en-US" w:eastAsia="zh-CN"/>
              </w:rPr>
              <w:t>1200</w:t>
            </w:r>
          </w:p>
        </w:tc>
      </w:tr>
      <w:tr w14:paraId="7A7144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55C5CA6">
            <w:pPr>
              <w:pStyle w:val="101"/>
              <w:jc w:val="center"/>
              <w:rPr>
                <w:color w:val="auto"/>
              </w:rPr>
            </w:pPr>
          </w:p>
        </w:tc>
        <w:tc>
          <w:tcPr>
            <w:tcW w:w="390" w:type="pct"/>
            <w:vAlign w:val="center"/>
          </w:tcPr>
          <w:p w14:paraId="30BE49EA">
            <w:pPr>
              <w:pStyle w:val="101"/>
              <w:jc w:val="center"/>
              <w:rPr>
                <w:rFonts w:eastAsia="宋体"/>
                <w:color w:val="auto"/>
              </w:rPr>
            </w:pPr>
            <w:r>
              <w:rPr>
                <w:rFonts w:hint="eastAsia" w:eastAsia="宋体"/>
                <w:color w:val="auto"/>
                <w:lang w:val="en-US" w:eastAsia="zh-CN"/>
              </w:rPr>
              <w:t>14</w:t>
            </w:r>
          </w:p>
        </w:tc>
        <w:tc>
          <w:tcPr>
            <w:tcW w:w="1713" w:type="pct"/>
            <w:vAlign w:val="center"/>
          </w:tcPr>
          <w:p w14:paraId="009AC4D1">
            <w:pPr>
              <w:pStyle w:val="101"/>
              <w:jc w:val="center"/>
              <w:rPr>
                <w:rFonts w:eastAsia="宋体"/>
                <w:color w:val="auto"/>
              </w:rPr>
            </w:pPr>
            <w:r>
              <w:rPr>
                <w:rFonts w:hint="eastAsia" w:eastAsia="宋体"/>
                <w:color w:val="auto"/>
                <w:lang w:val="en-US" w:eastAsia="zh-CN"/>
              </w:rPr>
              <w:t>鹤岗市公安局南山分局六号派出所</w:t>
            </w:r>
          </w:p>
        </w:tc>
        <w:tc>
          <w:tcPr>
            <w:tcW w:w="1115" w:type="dxa"/>
            <w:gridSpan w:val="2"/>
            <w:vAlign w:val="bottom"/>
          </w:tcPr>
          <w:p w14:paraId="67491AFE">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3AB5AE1D">
            <w:pPr>
              <w:pStyle w:val="101"/>
              <w:jc w:val="center"/>
              <w:rPr>
                <w:rFonts w:eastAsia="宋体"/>
                <w:color w:val="auto"/>
              </w:rPr>
            </w:pPr>
            <w:r>
              <w:rPr>
                <w:rFonts w:hint="eastAsia" w:eastAsia="宋体"/>
                <w:color w:val="auto"/>
                <w:lang w:val="en-US" w:eastAsia="zh-CN"/>
              </w:rPr>
              <w:t>1120</w:t>
            </w:r>
          </w:p>
        </w:tc>
        <w:tc>
          <w:tcPr>
            <w:tcW w:w="729" w:type="pct"/>
            <w:gridSpan w:val="2"/>
            <w:vAlign w:val="center"/>
          </w:tcPr>
          <w:p w14:paraId="2D7A11D6">
            <w:pPr>
              <w:pStyle w:val="101"/>
              <w:jc w:val="center"/>
              <w:rPr>
                <w:rFonts w:eastAsia="宋体"/>
                <w:color w:val="auto"/>
              </w:rPr>
            </w:pPr>
            <w:r>
              <w:rPr>
                <w:rFonts w:hint="eastAsia" w:eastAsia="宋体"/>
                <w:color w:val="auto"/>
                <w:lang w:val="en-US" w:eastAsia="zh-CN"/>
              </w:rPr>
              <w:t>政府机构</w:t>
            </w:r>
          </w:p>
        </w:tc>
        <w:tc>
          <w:tcPr>
            <w:tcW w:w="591" w:type="pct"/>
            <w:vAlign w:val="center"/>
          </w:tcPr>
          <w:p w14:paraId="07BF237F">
            <w:pPr>
              <w:pStyle w:val="101"/>
              <w:jc w:val="center"/>
              <w:rPr>
                <w:rFonts w:eastAsia="宋体"/>
                <w:color w:val="auto"/>
              </w:rPr>
            </w:pPr>
            <w:r>
              <w:rPr>
                <w:rFonts w:hint="eastAsia" w:eastAsia="宋体"/>
                <w:color w:val="auto"/>
                <w:lang w:val="en-US" w:eastAsia="zh-CN"/>
              </w:rPr>
              <w:t>18</w:t>
            </w:r>
          </w:p>
        </w:tc>
      </w:tr>
      <w:tr w14:paraId="00542B9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4FE9E7F">
            <w:pPr>
              <w:pStyle w:val="101"/>
              <w:jc w:val="center"/>
              <w:rPr>
                <w:color w:val="auto"/>
              </w:rPr>
            </w:pPr>
          </w:p>
        </w:tc>
        <w:tc>
          <w:tcPr>
            <w:tcW w:w="390" w:type="pct"/>
            <w:vAlign w:val="center"/>
          </w:tcPr>
          <w:p w14:paraId="1855091A">
            <w:pPr>
              <w:pStyle w:val="101"/>
              <w:jc w:val="center"/>
              <w:rPr>
                <w:rFonts w:eastAsia="宋体"/>
                <w:color w:val="auto"/>
              </w:rPr>
            </w:pPr>
            <w:r>
              <w:rPr>
                <w:rFonts w:hint="eastAsia" w:eastAsia="宋体"/>
                <w:color w:val="auto"/>
                <w:lang w:val="en-US" w:eastAsia="zh-CN"/>
              </w:rPr>
              <w:t>15</w:t>
            </w:r>
          </w:p>
        </w:tc>
        <w:tc>
          <w:tcPr>
            <w:tcW w:w="1713" w:type="pct"/>
            <w:vAlign w:val="center"/>
          </w:tcPr>
          <w:p w14:paraId="02AE2FAE">
            <w:pPr>
              <w:pStyle w:val="101"/>
              <w:jc w:val="center"/>
              <w:rPr>
                <w:rFonts w:eastAsia="宋体"/>
                <w:color w:val="auto"/>
              </w:rPr>
            </w:pPr>
            <w:r>
              <w:rPr>
                <w:rFonts w:hint="eastAsia" w:eastAsia="宋体"/>
                <w:color w:val="auto"/>
                <w:lang w:val="en-US" w:eastAsia="zh-CN"/>
              </w:rPr>
              <w:t>陆兴小区</w:t>
            </w:r>
          </w:p>
        </w:tc>
        <w:tc>
          <w:tcPr>
            <w:tcW w:w="1115" w:type="dxa"/>
            <w:gridSpan w:val="2"/>
            <w:vAlign w:val="bottom"/>
          </w:tcPr>
          <w:p w14:paraId="5B20CF1C">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543D0E9B">
            <w:pPr>
              <w:pStyle w:val="101"/>
              <w:jc w:val="center"/>
              <w:rPr>
                <w:rFonts w:eastAsia="宋体"/>
                <w:color w:val="auto"/>
              </w:rPr>
            </w:pPr>
            <w:r>
              <w:rPr>
                <w:rFonts w:hint="eastAsia" w:eastAsia="宋体"/>
                <w:color w:val="auto"/>
                <w:lang w:val="en-US" w:eastAsia="zh-CN"/>
              </w:rPr>
              <w:t>1145</w:t>
            </w:r>
          </w:p>
        </w:tc>
        <w:tc>
          <w:tcPr>
            <w:tcW w:w="729" w:type="pct"/>
            <w:gridSpan w:val="2"/>
            <w:vAlign w:val="center"/>
          </w:tcPr>
          <w:p w14:paraId="21F28E34">
            <w:pPr>
              <w:pStyle w:val="101"/>
              <w:jc w:val="center"/>
              <w:rPr>
                <w:rFonts w:eastAsia="宋体"/>
                <w:color w:val="auto"/>
              </w:rPr>
            </w:pPr>
            <w:r>
              <w:rPr>
                <w:rFonts w:hint="eastAsia" w:eastAsia="宋体"/>
                <w:color w:val="auto"/>
                <w:lang w:val="en-US" w:eastAsia="zh-CN"/>
              </w:rPr>
              <w:t>居住区</w:t>
            </w:r>
          </w:p>
        </w:tc>
        <w:tc>
          <w:tcPr>
            <w:tcW w:w="591" w:type="pct"/>
            <w:vAlign w:val="center"/>
          </w:tcPr>
          <w:p w14:paraId="0E2F9D11">
            <w:pPr>
              <w:pStyle w:val="101"/>
              <w:jc w:val="center"/>
              <w:rPr>
                <w:rFonts w:eastAsia="宋体"/>
                <w:color w:val="auto"/>
              </w:rPr>
            </w:pPr>
            <w:r>
              <w:rPr>
                <w:rFonts w:hint="eastAsia" w:eastAsia="宋体"/>
                <w:color w:val="auto"/>
                <w:lang w:val="en-US" w:eastAsia="zh-CN"/>
              </w:rPr>
              <w:t>8000</w:t>
            </w:r>
          </w:p>
        </w:tc>
      </w:tr>
      <w:tr w14:paraId="5AE617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2AE3E86">
            <w:pPr>
              <w:pStyle w:val="101"/>
              <w:jc w:val="center"/>
              <w:rPr>
                <w:color w:val="auto"/>
              </w:rPr>
            </w:pPr>
          </w:p>
        </w:tc>
        <w:tc>
          <w:tcPr>
            <w:tcW w:w="390" w:type="pct"/>
            <w:vAlign w:val="center"/>
          </w:tcPr>
          <w:p w14:paraId="7BBCA72B">
            <w:pPr>
              <w:pStyle w:val="101"/>
              <w:jc w:val="center"/>
              <w:rPr>
                <w:rFonts w:eastAsia="宋体"/>
                <w:color w:val="auto"/>
              </w:rPr>
            </w:pPr>
            <w:r>
              <w:rPr>
                <w:rFonts w:hint="eastAsia" w:eastAsia="宋体"/>
                <w:color w:val="auto"/>
                <w:lang w:val="en-US" w:eastAsia="zh-CN"/>
              </w:rPr>
              <w:t>16</w:t>
            </w:r>
          </w:p>
        </w:tc>
        <w:tc>
          <w:tcPr>
            <w:tcW w:w="1713" w:type="pct"/>
            <w:vAlign w:val="center"/>
          </w:tcPr>
          <w:p w14:paraId="0D4CC103">
            <w:pPr>
              <w:pStyle w:val="101"/>
              <w:jc w:val="center"/>
              <w:rPr>
                <w:rFonts w:eastAsia="宋体"/>
                <w:color w:val="auto"/>
              </w:rPr>
            </w:pPr>
            <w:r>
              <w:rPr>
                <w:rFonts w:hint="eastAsia" w:eastAsia="宋体"/>
                <w:color w:val="auto"/>
                <w:lang w:val="en-US" w:eastAsia="zh-CN"/>
              </w:rPr>
              <w:t>瑞达锦华公馆</w:t>
            </w:r>
          </w:p>
        </w:tc>
        <w:tc>
          <w:tcPr>
            <w:tcW w:w="1115" w:type="dxa"/>
            <w:gridSpan w:val="2"/>
            <w:vAlign w:val="bottom"/>
          </w:tcPr>
          <w:p w14:paraId="701C9DA3">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7016C64F">
            <w:pPr>
              <w:pStyle w:val="101"/>
              <w:jc w:val="center"/>
              <w:rPr>
                <w:rFonts w:eastAsia="宋体"/>
                <w:color w:val="auto"/>
              </w:rPr>
            </w:pPr>
            <w:r>
              <w:rPr>
                <w:rFonts w:hint="eastAsia" w:eastAsia="宋体"/>
                <w:color w:val="auto"/>
                <w:lang w:val="en-US" w:eastAsia="zh-CN"/>
              </w:rPr>
              <w:t>1190</w:t>
            </w:r>
          </w:p>
        </w:tc>
        <w:tc>
          <w:tcPr>
            <w:tcW w:w="729" w:type="pct"/>
            <w:gridSpan w:val="2"/>
            <w:vAlign w:val="center"/>
          </w:tcPr>
          <w:p w14:paraId="17EF3A49">
            <w:pPr>
              <w:pStyle w:val="101"/>
              <w:jc w:val="center"/>
              <w:rPr>
                <w:rFonts w:eastAsia="宋体"/>
                <w:color w:val="auto"/>
              </w:rPr>
            </w:pPr>
            <w:r>
              <w:rPr>
                <w:rFonts w:hint="eastAsia" w:eastAsia="宋体"/>
                <w:color w:val="auto"/>
                <w:lang w:val="en-US" w:eastAsia="zh-CN"/>
              </w:rPr>
              <w:t>居住区</w:t>
            </w:r>
          </w:p>
        </w:tc>
        <w:tc>
          <w:tcPr>
            <w:tcW w:w="591" w:type="pct"/>
            <w:vAlign w:val="center"/>
          </w:tcPr>
          <w:p w14:paraId="676F46B8">
            <w:pPr>
              <w:pStyle w:val="101"/>
              <w:jc w:val="center"/>
              <w:rPr>
                <w:rFonts w:eastAsia="宋体"/>
                <w:color w:val="auto"/>
              </w:rPr>
            </w:pPr>
            <w:r>
              <w:rPr>
                <w:rFonts w:hint="eastAsia" w:eastAsia="宋体"/>
                <w:color w:val="auto"/>
                <w:lang w:val="en-US" w:eastAsia="zh-CN"/>
              </w:rPr>
              <w:t>9000</w:t>
            </w:r>
          </w:p>
        </w:tc>
      </w:tr>
      <w:tr w14:paraId="3A69209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E488735">
            <w:pPr>
              <w:pStyle w:val="101"/>
              <w:jc w:val="center"/>
              <w:rPr>
                <w:color w:val="auto"/>
              </w:rPr>
            </w:pPr>
          </w:p>
        </w:tc>
        <w:tc>
          <w:tcPr>
            <w:tcW w:w="390" w:type="pct"/>
            <w:vAlign w:val="center"/>
          </w:tcPr>
          <w:p w14:paraId="1C420C62">
            <w:pPr>
              <w:pStyle w:val="101"/>
              <w:jc w:val="center"/>
              <w:rPr>
                <w:rFonts w:eastAsia="宋体"/>
                <w:color w:val="auto"/>
              </w:rPr>
            </w:pPr>
            <w:r>
              <w:rPr>
                <w:rFonts w:hint="eastAsia" w:eastAsia="宋体"/>
                <w:color w:val="auto"/>
                <w:lang w:val="en-US" w:eastAsia="zh-CN"/>
              </w:rPr>
              <w:t>17</w:t>
            </w:r>
          </w:p>
        </w:tc>
        <w:tc>
          <w:tcPr>
            <w:tcW w:w="1713" w:type="pct"/>
            <w:vAlign w:val="center"/>
          </w:tcPr>
          <w:p w14:paraId="74A00BDC">
            <w:pPr>
              <w:pStyle w:val="101"/>
              <w:jc w:val="center"/>
              <w:rPr>
                <w:rFonts w:eastAsia="宋体"/>
                <w:color w:val="auto"/>
              </w:rPr>
            </w:pPr>
            <w:r>
              <w:rPr>
                <w:rFonts w:hint="eastAsia" w:eastAsia="宋体"/>
                <w:color w:val="auto"/>
                <w:lang w:val="en-US" w:eastAsia="zh-CN"/>
              </w:rPr>
              <w:t>欣虹小区</w:t>
            </w:r>
          </w:p>
        </w:tc>
        <w:tc>
          <w:tcPr>
            <w:tcW w:w="1115" w:type="dxa"/>
            <w:gridSpan w:val="2"/>
            <w:vAlign w:val="bottom"/>
          </w:tcPr>
          <w:p w14:paraId="597F6222">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3EE57842">
            <w:pPr>
              <w:pStyle w:val="101"/>
              <w:jc w:val="center"/>
              <w:rPr>
                <w:rFonts w:eastAsia="宋体"/>
                <w:color w:val="auto"/>
              </w:rPr>
            </w:pPr>
            <w:r>
              <w:rPr>
                <w:rFonts w:hint="eastAsia" w:eastAsia="宋体"/>
                <w:color w:val="auto"/>
                <w:lang w:val="en-US" w:eastAsia="zh-CN"/>
              </w:rPr>
              <w:t>1340</w:t>
            </w:r>
          </w:p>
        </w:tc>
        <w:tc>
          <w:tcPr>
            <w:tcW w:w="729" w:type="pct"/>
            <w:gridSpan w:val="2"/>
            <w:vAlign w:val="center"/>
          </w:tcPr>
          <w:p w14:paraId="6F457BC2">
            <w:pPr>
              <w:pStyle w:val="101"/>
              <w:jc w:val="center"/>
              <w:rPr>
                <w:rFonts w:eastAsia="宋体"/>
                <w:color w:val="auto"/>
              </w:rPr>
            </w:pPr>
            <w:r>
              <w:rPr>
                <w:rFonts w:hint="eastAsia" w:eastAsia="宋体"/>
                <w:color w:val="auto"/>
                <w:lang w:val="en-US" w:eastAsia="zh-CN"/>
              </w:rPr>
              <w:t>居住区</w:t>
            </w:r>
          </w:p>
        </w:tc>
        <w:tc>
          <w:tcPr>
            <w:tcW w:w="591" w:type="pct"/>
            <w:vAlign w:val="center"/>
          </w:tcPr>
          <w:p w14:paraId="637253C5">
            <w:pPr>
              <w:pStyle w:val="101"/>
              <w:jc w:val="center"/>
              <w:rPr>
                <w:rFonts w:eastAsia="宋体"/>
                <w:color w:val="auto"/>
              </w:rPr>
            </w:pPr>
            <w:r>
              <w:rPr>
                <w:rFonts w:hint="eastAsia" w:eastAsia="宋体"/>
                <w:color w:val="auto"/>
                <w:lang w:val="en-US" w:eastAsia="zh-CN"/>
              </w:rPr>
              <w:t>5000</w:t>
            </w:r>
          </w:p>
        </w:tc>
      </w:tr>
      <w:tr w14:paraId="3596F7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2B055C8">
            <w:pPr>
              <w:pStyle w:val="101"/>
              <w:jc w:val="center"/>
              <w:rPr>
                <w:color w:val="auto"/>
              </w:rPr>
            </w:pPr>
          </w:p>
        </w:tc>
        <w:tc>
          <w:tcPr>
            <w:tcW w:w="390" w:type="pct"/>
            <w:vAlign w:val="center"/>
          </w:tcPr>
          <w:p w14:paraId="3FD40494">
            <w:pPr>
              <w:pStyle w:val="101"/>
              <w:jc w:val="center"/>
              <w:rPr>
                <w:rFonts w:eastAsia="宋体"/>
                <w:color w:val="auto"/>
              </w:rPr>
            </w:pPr>
            <w:r>
              <w:rPr>
                <w:rFonts w:hint="eastAsia" w:eastAsia="宋体"/>
                <w:color w:val="auto"/>
                <w:lang w:val="en-US" w:eastAsia="zh-CN"/>
              </w:rPr>
              <w:t>18</w:t>
            </w:r>
          </w:p>
        </w:tc>
        <w:tc>
          <w:tcPr>
            <w:tcW w:w="1713" w:type="pct"/>
            <w:vAlign w:val="center"/>
          </w:tcPr>
          <w:p w14:paraId="5025603A">
            <w:pPr>
              <w:pStyle w:val="101"/>
              <w:jc w:val="center"/>
              <w:rPr>
                <w:rFonts w:eastAsia="宋体"/>
                <w:color w:val="auto"/>
              </w:rPr>
            </w:pPr>
            <w:r>
              <w:rPr>
                <w:rFonts w:hint="eastAsia" w:eastAsia="宋体"/>
                <w:color w:val="auto"/>
                <w:lang w:val="en-US" w:eastAsia="zh-CN"/>
              </w:rPr>
              <w:t>鹤岗市职教中心</w:t>
            </w:r>
          </w:p>
        </w:tc>
        <w:tc>
          <w:tcPr>
            <w:tcW w:w="1115" w:type="dxa"/>
            <w:gridSpan w:val="2"/>
            <w:vAlign w:val="bottom"/>
          </w:tcPr>
          <w:p w14:paraId="7AFBC914">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w:t>
            </w:r>
          </w:p>
        </w:tc>
        <w:tc>
          <w:tcPr>
            <w:tcW w:w="592" w:type="pct"/>
            <w:vAlign w:val="center"/>
          </w:tcPr>
          <w:p w14:paraId="186B2D97">
            <w:pPr>
              <w:pStyle w:val="101"/>
              <w:jc w:val="center"/>
              <w:rPr>
                <w:rFonts w:eastAsia="宋体"/>
                <w:color w:val="auto"/>
              </w:rPr>
            </w:pPr>
            <w:r>
              <w:rPr>
                <w:rFonts w:hint="eastAsia" w:eastAsia="宋体"/>
                <w:color w:val="auto"/>
                <w:lang w:val="en-US" w:eastAsia="zh-CN"/>
              </w:rPr>
              <w:t>1345</w:t>
            </w:r>
          </w:p>
        </w:tc>
        <w:tc>
          <w:tcPr>
            <w:tcW w:w="729" w:type="pct"/>
            <w:gridSpan w:val="2"/>
            <w:vAlign w:val="center"/>
          </w:tcPr>
          <w:p w14:paraId="56276E16">
            <w:pPr>
              <w:pStyle w:val="101"/>
              <w:jc w:val="center"/>
              <w:rPr>
                <w:rFonts w:eastAsia="宋体"/>
                <w:color w:val="auto"/>
              </w:rPr>
            </w:pPr>
            <w:r>
              <w:rPr>
                <w:rFonts w:hint="eastAsia" w:eastAsia="宋体"/>
                <w:color w:val="auto"/>
                <w:lang w:val="en-US" w:eastAsia="zh-CN"/>
              </w:rPr>
              <w:t>学校</w:t>
            </w:r>
          </w:p>
        </w:tc>
        <w:tc>
          <w:tcPr>
            <w:tcW w:w="591" w:type="pct"/>
            <w:vAlign w:val="center"/>
          </w:tcPr>
          <w:p w14:paraId="783CEFCD">
            <w:pPr>
              <w:pStyle w:val="101"/>
              <w:jc w:val="center"/>
              <w:rPr>
                <w:rFonts w:eastAsia="宋体"/>
                <w:color w:val="auto"/>
              </w:rPr>
            </w:pPr>
            <w:r>
              <w:rPr>
                <w:rFonts w:hint="eastAsia" w:eastAsia="宋体"/>
                <w:color w:val="auto"/>
                <w:lang w:val="en-US" w:eastAsia="zh-CN"/>
              </w:rPr>
              <w:t>450</w:t>
            </w:r>
          </w:p>
        </w:tc>
      </w:tr>
      <w:tr w14:paraId="5160CD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3D486E6">
            <w:pPr>
              <w:pStyle w:val="101"/>
              <w:jc w:val="center"/>
              <w:rPr>
                <w:color w:val="auto"/>
              </w:rPr>
            </w:pPr>
          </w:p>
        </w:tc>
        <w:tc>
          <w:tcPr>
            <w:tcW w:w="390" w:type="pct"/>
            <w:vAlign w:val="center"/>
          </w:tcPr>
          <w:p w14:paraId="6057C6B1">
            <w:pPr>
              <w:pStyle w:val="101"/>
              <w:jc w:val="center"/>
              <w:rPr>
                <w:rFonts w:eastAsia="宋体"/>
                <w:color w:val="auto"/>
              </w:rPr>
            </w:pPr>
            <w:r>
              <w:rPr>
                <w:rFonts w:hint="eastAsia" w:eastAsia="宋体"/>
                <w:color w:val="auto"/>
                <w:lang w:val="en-US" w:eastAsia="zh-CN"/>
              </w:rPr>
              <w:t>19</w:t>
            </w:r>
          </w:p>
        </w:tc>
        <w:tc>
          <w:tcPr>
            <w:tcW w:w="1713" w:type="pct"/>
            <w:vAlign w:val="center"/>
          </w:tcPr>
          <w:p w14:paraId="79BD70CF">
            <w:pPr>
              <w:pStyle w:val="101"/>
              <w:jc w:val="center"/>
              <w:rPr>
                <w:rFonts w:eastAsia="宋体"/>
                <w:color w:val="auto"/>
              </w:rPr>
            </w:pPr>
            <w:r>
              <w:rPr>
                <w:rFonts w:hint="eastAsia" w:eastAsia="宋体"/>
                <w:color w:val="auto"/>
                <w:lang w:val="en-US" w:eastAsia="zh-CN"/>
              </w:rPr>
              <w:t>鹤岗市逸夫小学</w:t>
            </w:r>
          </w:p>
        </w:tc>
        <w:tc>
          <w:tcPr>
            <w:tcW w:w="1115" w:type="dxa"/>
            <w:gridSpan w:val="2"/>
            <w:vAlign w:val="bottom"/>
          </w:tcPr>
          <w:p w14:paraId="71867AC9">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44DA53B0">
            <w:pPr>
              <w:pStyle w:val="101"/>
              <w:jc w:val="center"/>
              <w:rPr>
                <w:rFonts w:eastAsia="宋体"/>
                <w:color w:val="auto"/>
              </w:rPr>
            </w:pPr>
            <w:r>
              <w:rPr>
                <w:rFonts w:hint="eastAsia" w:eastAsia="宋体"/>
                <w:color w:val="auto"/>
                <w:lang w:val="en-US" w:eastAsia="zh-CN"/>
              </w:rPr>
              <w:t>1355</w:t>
            </w:r>
          </w:p>
        </w:tc>
        <w:tc>
          <w:tcPr>
            <w:tcW w:w="729" w:type="pct"/>
            <w:gridSpan w:val="2"/>
            <w:vAlign w:val="center"/>
          </w:tcPr>
          <w:p w14:paraId="08FA8D0F">
            <w:pPr>
              <w:pStyle w:val="101"/>
              <w:jc w:val="center"/>
              <w:rPr>
                <w:rFonts w:eastAsia="宋体"/>
                <w:color w:val="auto"/>
              </w:rPr>
            </w:pPr>
            <w:r>
              <w:rPr>
                <w:rFonts w:hint="eastAsia" w:eastAsia="宋体"/>
                <w:color w:val="auto"/>
                <w:lang w:val="en-US" w:eastAsia="zh-CN"/>
              </w:rPr>
              <w:t>学校</w:t>
            </w:r>
          </w:p>
        </w:tc>
        <w:tc>
          <w:tcPr>
            <w:tcW w:w="591" w:type="pct"/>
            <w:vAlign w:val="center"/>
          </w:tcPr>
          <w:p w14:paraId="18A13863">
            <w:pPr>
              <w:pStyle w:val="101"/>
              <w:jc w:val="center"/>
              <w:rPr>
                <w:rFonts w:eastAsia="宋体"/>
                <w:color w:val="auto"/>
              </w:rPr>
            </w:pPr>
            <w:r>
              <w:rPr>
                <w:rFonts w:hint="eastAsia" w:eastAsia="宋体"/>
                <w:color w:val="auto"/>
                <w:lang w:val="en-US" w:eastAsia="zh-CN"/>
              </w:rPr>
              <w:t>400</w:t>
            </w:r>
          </w:p>
        </w:tc>
      </w:tr>
      <w:tr w14:paraId="178652C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6C2CD87">
            <w:pPr>
              <w:pStyle w:val="101"/>
              <w:jc w:val="center"/>
              <w:rPr>
                <w:color w:val="auto"/>
              </w:rPr>
            </w:pPr>
          </w:p>
        </w:tc>
        <w:tc>
          <w:tcPr>
            <w:tcW w:w="390" w:type="pct"/>
            <w:vAlign w:val="center"/>
          </w:tcPr>
          <w:p w14:paraId="3D4F06FD">
            <w:pPr>
              <w:pStyle w:val="101"/>
              <w:jc w:val="center"/>
              <w:rPr>
                <w:rFonts w:eastAsia="宋体"/>
                <w:color w:val="auto"/>
              </w:rPr>
            </w:pPr>
            <w:r>
              <w:rPr>
                <w:rFonts w:hint="eastAsia" w:eastAsia="宋体"/>
                <w:color w:val="auto"/>
                <w:lang w:val="en-US" w:eastAsia="zh-CN"/>
              </w:rPr>
              <w:t>20</w:t>
            </w:r>
          </w:p>
        </w:tc>
        <w:tc>
          <w:tcPr>
            <w:tcW w:w="1713" w:type="pct"/>
            <w:vAlign w:val="center"/>
          </w:tcPr>
          <w:p w14:paraId="5197201B">
            <w:pPr>
              <w:pStyle w:val="101"/>
              <w:jc w:val="center"/>
              <w:rPr>
                <w:rFonts w:eastAsia="宋体"/>
                <w:color w:val="auto"/>
              </w:rPr>
            </w:pPr>
            <w:r>
              <w:rPr>
                <w:rFonts w:hint="eastAsia" w:eastAsia="宋体"/>
                <w:color w:val="auto"/>
                <w:lang w:val="en-US" w:eastAsia="zh-CN"/>
              </w:rPr>
              <w:t>南邨花园</w:t>
            </w:r>
          </w:p>
        </w:tc>
        <w:tc>
          <w:tcPr>
            <w:tcW w:w="1115" w:type="dxa"/>
            <w:gridSpan w:val="2"/>
            <w:vAlign w:val="bottom"/>
          </w:tcPr>
          <w:p w14:paraId="6C57D2D2">
            <w:pPr>
              <w:keepNext w:val="0"/>
              <w:keepLines w:val="0"/>
              <w:widowControl/>
              <w:suppressLineNumbers w:val="0"/>
              <w:jc w:val="center"/>
              <w:textAlignment w:val="bottom"/>
              <w:rPr>
                <w:rFonts w:eastAsia="宋体"/>
                <w:color w:val="auto"/>
              </w:rPr>
            </w:pPr>
            <w:r>
              <w:rPr>
                <w:rFonts w:hint="eastAsia" w:ascii="宋体" w:hAnsi="宋体" w:eastAsia="宋体" w:cs="宋体"/>
                <w:i w:val="0"/>
                <w:iCs w:val="0"/>
                <w:color w:val="auto"/>
                <w:kern w:val="0"/>
                <w:sz w:val="21"/>
                <w:szCs w:val="21"/>
                <w:u w:val="none"/>
                <w:lang w:val="en-US" w:eastAsia="zh-CN" w:bidi="ar"/>
              </w:rPr>
              <w:t>西</w:t>
            </w:r>
          </w:p>
        </w:tc>
        <w:tc>
          <w:tcPr>
            <w:tcW w:w="592" w:type="pct"/>
            <w:vAlign w:val="center"/>
          </w:tcPr>
          <w:p w14:paraId="190909F5">
            <w:pPr>
              <w:pStyle w:val="101"/>
              <w:jc w:val="center"/>
              <w:rPr>
                <w:rFonts w:eastAsia="宋体"/>
                <w:color w:val="auto"/>
              </w:rPr>
            </w:pPr>
            <w:r>
              <w:rPr>
                <w:rFonts w:hint="eastAsia" w:eastAsia="宋体"/>
                <w:color w:val="auto"/>
                <w:lang w:val="en-US" w:eastAsia="zh-CN"/>
              </w:rPr>
              <w:t>1370</w:t>
            </w:r>
          </w:p>
        </w:tc>
        <w:tc>
          <w:tcPr>
            <w:tcW w:w="729" w:type="pct"/>
            <w:gridSpan w:val="2"/>
            <w:vAlign w:val="center"/>
          </w:tcPr>
          <w:p w14:paraId="4EA66922">
            <w:pPr>
              <w:pStyle w:val="101"/>
              <w:jc w:val="center"/>
              <w:rPr>
                <w:rFonts w:eastAsia="宋体"/>
                <w:color w:val="auto"/>
              </w:rPr>
            </w:pPr>
            <w:r>
              <w:rPr>
                <w:rFonts w:hint="eastAsia" w:eastAsia="宋体"/>
                <w:color w:val="auto"/>
                <w:lang w:val="en-US" w:eastAsia="zh-CN"/>
              </w:rPr>
              <w:t>居住区</w:t>
            </w:r>
          </w:p>
        </w:tc>
        <w:tc>
          <w:tcPr>
            <w:tcW w:w="591" w:type="pct"/>
            <w:vAlign w:val="center"/>
          </w:tcPr>
          <w:p w14:paraId="78F0AAA3">
            <w:pPr>
              <w:pStyle w:val="101"/>
              <w:jc w:val="center"/>
              <w:rPr>
                <w:rFonts w:eastAsia="宋体"/>
                <w:color w:val="auto"/>
              </w:rPr>
            </w:pPr>
            <w:r>
              <w:rPr>
                <w:rFonts w:hint="eastAsia" w:eastAsia="宋体"/>
                <w:color w:val="auto"/>
                <w:lang w:val="en-US" w:eastAsia="zh-CN"/>
              </w:rPr>
              <w:t>6000</w:t>
            </w:r>
          </w:p>
        </w:tc>
      </w:tr>
      <w:tr w14:paraId="66CD789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B17816F">
            <w:pPr>
              <w:pStyle w:val="101"/>
              <w:jc w:val="center"/>
              <w:rPr>
                <w:color w:val="auto"/>
              </w:rPr>
            </w:pPr>
          </w:p>
        </w:tc>
        <w:tc>
          <w:tcPr>
            <w:tcW w:w="390" w:type="pct"/>
            <w:vAlign w:val="center"/>
          </w:tcPr>
          <w:p w14:paraId="2387A307">
            <w:pPr>
              <w:pStyle w:val="101"/>
              <w:jc w:val="center"/>
              <w:rPr>
                <w:rFonts w:hint="eastAsia" w:eastAsia="宋体"/>
                <w:color w:val="auto"/>
              </w:rPr>
            </w:pPr>
            <w:r>
              <w:rPr>
                <w:rFonts w:hint="eastAsia" w:eastAsia="宋体"/>
                <w:color w:val="auto"/>
                <w:lang w:val="en-US" w:eastAsia="zh-CN"/>
              </w:rPr>
              <w:t>21</w:t>
            </w:r>
          </w:p>
        </w:tc>
        <w:tc>
          <w:tcPr>
            <w:tcW w:w="1713" w:type="pct"/>
            <w:vAlign w:val="center"/>
          </w:tcPr>
          <w:p w14:paraId="35C770DC">
            <w:pPr>
              <w:pStyle w:val="101"/>
              <w:jc w:val="center"/>
              <w:rPr>
                <w:rFonts w:hint="eastAsia" w:eastAsia="宋体"/>
                <w:color w:val="auto"/>
              </w:rPr>
            </w:pPr>
            <w:r>
              <w:rPr>
                <w:rFonts w:hint="eastAsia" w:eastAsia="宋体"/>
                <w:color w:val="auto"/>
                <w:lang w:val="en-US" w:eastAsia="zh-CN"/>
              </w:rPr>
              <w:t>松鹤小区-B区</w:t>
            </w:r>
          </w:p>
        </w:tc>
        <w:tc>
          <w:tcPr>
            <w:tcW w:w="1115" w:type="dxa"/>
            <w:gridSpan w:val="2"/>
            <w:vAlign w:val="bottom"/>
          </w:tcPr>
          <w:p w14:paraId="608AEC0A">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439C58A6">
            <w:pPr>
              <w:pStyle w:val="101"/>
              <w:jc w:val="center"/>
              <w:rPr>
                <w:rFonts w:hint="eastAsia" w:eastAsia="宋体"/>
                <w:color w:val="auto"/>
              </w:rPr>
            </w:pPr>
            <w:r>
              <w:rPr>
                <w:rFonts w:hint="eastAsia" w:eastAsia="宋体"/>
                <w:color w:val="auto"/>
                <w:lang w:val="en-US" w:eastAsia="zh-CN"/>
              </w:rPr>
              <w:t>1380</w:t>
            </w:r>
          </w:p>
        </w:tc>
        <w:tc>
          <w:tcPr>
            <w:tcW w:w="729" w:type="pct"/>
            <w:gridSpan w:val="2"/>
            <w:vAlign w:val="center"/>
          </w:tcPr>
          <w:p w14:paraId="362C577D">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11B9866F">
            <w:pPr>
              <w:pStyle w:val="101"/>
              <w:jc w:val="center"/>
              <w:rPr>
                <w:rFonts w:hint="eastAsia" w:eastAsia="宋体"/>
                <w:color w:val="auto"/>
              </w:rPr>
            </w:pPr>
            <w:r>
              <w:rPr>
                <w:rFonts w:hint="eastAsia" w:eastAsia="宋体"/>
                <w:color w:val="auto"/>
                <w:lang w:val="en-US" w:eastAsia="zh-CN"/>
              </w:rPr>
              <w:t>5000</w:t>
            </w:r>
          </w:p>
        </w:tc>
      </w:tr>
      <w:tr w14:paraId="33FD552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7F83D3B">
            <w:pPr>
              <w:pStyle w:val="101"/>
              <w:jc w:val="center"/>
              <w:rPr>
                <w:color w:val="auto"/>
              </w:rPr>
            </w:pPr>
          </w:p>
        </w:tc>
        <w:tc>
          <w:tcPr>
            <w:tcW w:w="390" w:type="pct"/>
            <w:vAlign w:val="center"/>
          </w:tcPr>
          <w:p w14:paraId="2228E245">
            <w:pPr>
              <w:pStyle w:val="101"/>
              <w:jc w:val="center"/>
              <w:rPr>
                <w:rFonts w:hint="eastAsia" w:eastAsia="宋体"/>
                <w:color w:val="auto"/>
              </w:rPr>
            </w:pPr>
            <w:r>
              <w:rPr>
                <w:rFonts w:hint="eastAsia" w:eastAsia="宋体"/>
                <w:color w:val="auto"/>
                <w:lang w:val="en-US" w:eastAsia="zh-CN"/>
              </w:rPr>
              <w:t>22</w:t>
            </w:r>
          </w:p>
        </w:tc>
        <w:tc>
          <w:tcPr>
            <w:tcW w:w="1713" w:type="pct"/>
            <w:vAlign w:val="center"/>
          </w:tcPr>
          <w:p w14:paraId="2B1466E1">
            <w:pPr>
              <w:pStyle w:val="101"/>
              <w:jc w:val="center"/>
              <w:rPr>
                <w:rFonts w:hint="eastAsia" w:eastAsia="宋体"/>
                <w:color w:val="auto"/>
              </w:rPr>
            </w:pPr>
            <w:r>
              <w:rPr>
                <w:rFonts w:hint="eastAsia" w:eastAsia="宋体"/>
                <w:color w:val="auto"/>
                <w:lang w:val="en-US" w:eastAsia="zh-CN"/>
              </w:rPr>
              <w:t>南山区人民政府</w:t>
            </w:r>
          </w:p>
        </w:tc>
        <w:tc>
          <w:tcPr>
            <w:tcW w:w="1115" w:type="dxa"/>
            <w:gridSpan w:val="2"/>
            <w:vAlign w:val="bottom"/>
          </w:tcPr>
          <w:p w14:paraId="720C7904">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88AF4AC">
            <w:pPr>
              <w:pStyle w:val="101"/>
              <w:jc w:val="center"/>
              <w:rPr>
                <w:rFonts w:hint="eastAsia" w:eastAsia="宋体"/>
                <w:color w:val="auto"/>
              </w:rPr>
            </w:pPr>
            <w:r>
              <w:rPr>
                <w:rFonts w:hint="eastAsia" w:eastAsia="宋体"/>
                <w:color w:val="auto"/>
                <w:lang w:val="en-US" w:eastAsia="zh-CN"/>
              </w:rPr>
              <w:t>1410</w:t>
            </w:r>
          </w:p>
        </w:tc>
        <w:tc>
          <w:tcPr>
            <w:tcW w:w="729" w:type="pct"/>
            <w:gridSpan w:val="2"/>
            <w:vAlign w:val="center"/>
          </w:tcPr>
          <w:p w14:paraId="2D2CE8A5">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4EDCF242">
            <w:pPr>
              <w:pStyle w:val="101"/>
              <w:jc w:val="center"/>
              <w:rPr>
                <w:rFonts w:hint="eastAsia" w:eastAsia="宋体"/>
                <w:color w:val="auto"/>
              </w:rPr>
            </w:pPr>
            <w:r>
              <w:rPr>
                <w:rFonts w:hint="eastAsia" w:eastAsia="宋体"/>
                <w:color w:val="auto"/>
                <w:lang w:val="en-US" w:eastAsia="zh-CN"/>
              </w:rPr>
              <w:t>300</w:t>
            </w:r>
          </w:p>
        </w:tc>
      </w:tr>
      <w:tr w14:paraId="488BF13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E077FA0">
            <w:pPr>
              <w:pStyle w:val="101"/>
              <w:jc w:val="center"/>
              <w:rPr>
                <w:color w:val="auto"/>
              </w:rPr>
            </w:pPr>
          </w:p>
        </w:tc>
        <w:tc>
          <w:tcPr>
            <w:tcW w:w="390" w:type="pct"/>
            <w:vAlign w:val="center"/>
          </w:tcPr>
          <w:p w14:paraId="029F3297">
            <w:pPr>
              <w:pStyle w:val="101"/>
              <w:jc w:val="center"/>
              <w:rPr>
                <w:rFonts w:hint="eastAsia" w:eastAsia="宋体"/>
                <w:color w:val="auto"/>
              </w:rPr>
            </w:pPr>
            <w:r>
              <w:rPr>
                <w:rFonts w:hint="eastAsia" w:eastAsia="宋体"/>
                <w:color w:val="auto"/>
                <w:lang w:val="en-US" w:eastAsia="zh-CN"/>
              </w:rPr>
              <w:t>23</w:t>
            </w:r>
          </w:p>
        </w:tc>
        <w:tc>
          <w:tcPr>
            <w:tcW w:w="1713" w:type="pct"/>
            <w:vAlign w:val="center"/>
          </w:tcPr>
          <w:p w14:paraId="415B2332">
            <w:pPr>
              <w:pStyle w:val="101"/>
              <w:jc w:val="center"/>
              <w:rPr>
                <w:rFonts w:hint="eastAsia" w:eastAsia="宋体"/>
                <w:color w:val="auto"/>
              </w:rPr>
            </w:pPr>
            <w:r>
              <w:rPr>
                <w:rFonts w:hint="eastAsia" w:eastAsia="宋体"/>
                <w:color w:val="auto"/>
                <w:lang w:val="en-US" w:eastAsia="zh-CN"/>
              </w:rPr>
              <w:t>南山区卫生健康局</w:t>
            </w:r>
          </w:p>
        </w:tc>
        <w:tc>
          <w:tcPr>
            <w:tcW w:w="1115" w:type="dxa"/>
            <w:gridSpan w:val="2"/>
            <w:vAlign w:val="bottom"/>
          </w:tcPr>
          <w:p w14:paraId="53EE9595">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348F355">
            <w:pPr>
              <w:pStyle w:val="101"/>
              <w:jc w:val="center"/>
              <w:rPr>
                <w:rFonts w:hint="eastAsia" w:eastAsia="宋体"/>
                <w:color w:val="auto"/>
              </w:rPr>
            </w:pPr>
            <w:r>
              <w:rPr>
                <w:rFonts w:hint="eastAsia" w:eastAsia="宋体"/>
                <w:color w:val="auto"/>
                <w:lang w:val="en-US" w:eastAsia="zh-CN"/>
              </w:rPr>
              <w:t>1415</w:t>
            </w:r>
          </w:p>
        </w:tc>
        <w:tc>
          <w:tcPr>
            <w:tcW w:w="729" w:type="pct"/>
            <w:gridSpan w:val="2"/>
            <w:vAlign w:val="center"/>
          </w:tcPr>
          <w:p w14:paraId="1FD64F9F">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217EC6F5">
            <w:pPr>
              <w:pStyle w:val="101"/>
              <w:jc w:val="center"/>
              <w:rPr>
                <w:rFonts w:hint="eastAsia" w:eastAsia="宋体"/>
                <w:color w:val="auto"/>
              </w:rPr>
            </w:pPr>
            <w:r>
              <w:rPr>
                <w:rFonts w:hint="eastAsia" w:eastAsia="宋体"/>
                <w:color w:val="auto"/>
                <w:lang w:val="en-US" w:eastAsia="zh-CN"/>
              </w:rPr>
              <w:t>200</w:t>
            </w:r>
          </w:p>
        </w:tc>
      </w:tr>
      <w:tr w14:paraId="4FF1497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9ABA5CA">
            <w:pPr>
              <w:pStyle w:val="101"/>
              <w:jc w:val="center"/>
              <w:rPr>
                <w:color w:val="auto"/>
              </w:rPr>
            </w:pPr>
          </w:p>
        </w:tc>
        <w:tc>
          <w:tcPr>
            <w:tcW w:w="390" w:type="pct"/>
            <w:vAlign w:val="center"/>
          </w:tcPr>
          <w:p w14:paraId="516A836D">
            <w:pPr>
              <w:pStyle w:val="101"/>
              <w:jc w:val="center"/>
              <w:rPr>
                <w:rFonts w:hint="eastAsia" w:eastAsia="宋体"/>
                <w:color w:val="auto"/>
              </w:rPr>
            </w:pPr>
            <w:r>
              <w:rPr>
                <w:rFonts w:hint="eastAsia" w:eastAsia="宋体"/>
                <w:color w:val="auto"/>
                <w:lang w:val="en-US" w:eastAsia="zh-CN"/>
              </w:rPr>
              <w:t>24</w:t>
            </w:r>
          </w:p>
        </w:tc>
        <w:tc>
          <w:tcPr>
            <w:tcW w:w="1713" w:type="pct"/>
            <w:vAlign w:val="center"/>
          </w:tcPr>
          <w:p w14:paraId="557F0FB8">
            <w:pPr>
              <w:pStyle w:val="101"/>
              <w:jc w:val="center"/>
              <w:rPr>
                <w:rFonts w:hint="eastAsia" w:eastAsia="宋体"/>
                <w:color w:val="auto"/>
              </w:rPr>
            </w:pPr>
            <w:r>
              <w:rPr>
                <w:rFonts w:hint="eastAsia" w:eastAsia="宋体"/>
                <w:color w:val="auto"/>
                <w:lang w:val="en-US" w:eastAsia="zh-CN"/>
              </w:rPr>
              <w:t>九洲新城</w:t>
            </w:r>
          </w:p>
        </w:tc>
        <w:tc>
          <w:tcPr>
            <w:tcW w:w="1115" w:type="dxa"/>
            <w:gridSpan w:val="2"/>
            <w:vAlign w:val="bottom"/>
          </w:tcPr>
          <w:p w14:paraId="3C8B398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3E0BE43B">
            <w:pPr>
              <w:pStyle w:val="101"/>
              <w:jc w:val="center"/>
              <w:rPr>
                <w:rFonts w:hint="eastAsia" w:eastAsia="宋体"/>
                <w:color w:val="auto"/>
              </w:rPr>
            </w:pPr>
            <w:r>
              <w:rPr>
                <w:rFonts w:hint="eastAsia" w:eastAsia="宋体"/>
                <w:color w:val="auto"/>
                <w:lang w:val="en-US" w:eastAsia="zh-CN"/>
              </w:rPr>
              <w:t>1420</w:t>
            </w:r>
          </w:p>
        </w:tc>
        <w:tc>
          <w:tcPr>
            <w:tcW w:w="729" w:type="pct"/>
            <w:gridSpan w:val="2"/>
            <w:vAlign w:val="center"/>
          </w:tcPr>
          <w:p w14:paraId="2C20EACE">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0D11062E">
            <w:pPr>
              <w:pStyle w:val="101"/>
              <w:jc w:val="center"/>
              <w:rPr>
                <w:rFonts w:hint="eastAsia" w:eastAsia="宋体"/>
                <w:color w:val="auto"/>
              </w:rPr>
            </w:pPr>
            <w:r>
              <w:rPr>
                <w:rFonts w:hint="eastAsia" w:eastAsia="宋体"/>
                <w:color w:val="auto"/>
                <w:lang w:val="en-US" w:eastAsia="zh-CN"/>
              </w:rPr>
              <w:t>5000</w:t>
            </w:r>
          </w:p>
        </w:tc>
      </w:tr>
      <w:tr w14:paraId="0E8E53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807AD48">
            <w:pPr>
              <w:pStyle w:val="101"/>
              <w:jc w:val="center"/>
              <w:rPr>
                <w:color w:val="auto"/>
              </w:rPr>
            </w:pPr>
          </w:p>
        </w:tc>
        <w:tc>
          <w:tcPr>
            <w:tcW w:w="390" w:type="pct"/>
            <w:vAlign w:val="center"/>
          </w:tcPr>
          <w:p w14:paraId="7D0F2D42">
            <w:pPr>
              <w:pStyle w:val="101"/>
              <w:jc w:val="center"/>
              <w:rPr>
                <w:rFonts w:hint="eastAsia" w:eastAsia="宋体"/>
                <w:color w:val="auto"/>
              </w:rPr>
            </w:pPr>
            <w:r>
              <w:rPr>
                <w:rFonts w:hint="eastAsia" w:eastAsia="宋体"/>
                <w:color w:val="auto"/>
                <w:lang w:val="en-US" w:eastAsia="zh-CN"/>
              </w:rPr>
              <w:t>25</w:t>
            </w:r>
          </w:p>
        </w:tc>
        <w:tc>
          <w:tcPr>
            <w:tcW w:w="1713" w:type="pct"/>
            <w:vAlign w:val="center"/>
          </w:tcPr>
          <w:p w14:paraId="1874F37E">
            <w:pPr>
              <w:pStyle w:val="101"/>
              <w:jc w:val="center"/>
              <w:rPr>
                <w:rFonts w:hint="eastAsia" w:eastAsia="宋体"/>
                <w:color w:val="auto"/>
              </w:rPr>
            </w:pPr>
            <w:r>
              <w:rPr>
                <w:rFonts w:hint="eastAsia" w:eastAsia="宋体"/>
                <w:color w:val="auto"/>
                <w:lang w:val="en-US" w:eastAsia="zh-CN"/>
              </w:rPr>
              <w:t>鹤岗职业技术学校</w:t>
            </w:r>
          </w:p>
        </w:tc>
        <w:tc>
          <w:tcPr>
            <w:tcW w:w="1115" w:type="dxa"/>
            <w:gridSpan w:val="2"/>
            <w:vAlign w:val="bottom"/>
          </w:tcPr>
          <w:p w14:paraId="0FC4199A">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w:t>
            </w:r>
          </w:p>
        </w:tc>
        <w:tc>
          <w:tcPr>
            <w:tcW w:w="592" w:type="pct"/>
            <w:vAlign w:val="center"/>
          </w:tcPr>
          <w:p w14:paraId="4FED4521">
            <w:pPr>
              <w:pStyle w:val="101"/>
              <w:jc w:val="center"/>
              <w:rPr>
                <w:rFonts w:hint="eastAsia" w:eastAsia="宋体"/>
                <w:color w:val="auto"/>
              </w:rPr>
            </w:pPr>
            <w:r>
              <w:rPr>
                <w:rFonts w:hint="eastAsia" w:eastAsia="宋体"/>
                <w:color w:val="auto"/>
                <w:lang w:val="en-US" w:eastAsia="zh-CN"/>
              </w:rPr>
              <w:t>1425</w:t>
            </w:r>
          </w:p>
        </w:tc>
        <w:tc>
          <w:tcPr>
            <w:tcW w:w="729" w:type="pct"/>
            <w:gridSpan w:val="2"/>
            <w:vAlign w:val="center"/>
          </w:tcPr>
          <w:p w14:paraId="7E0D8923">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4CB775A3">
            <w:pPr>
              <w:pStyle w:val="101"/>
              <w:jc w:val="center"/>
              <w:rPr>
                <w:rFonts w:hint="eastAsia" w:eastAsia="宋体"/>
                <w:color w:val="auto"/>
              </w:rPr>
            </w:pPr>
            <w:r>
              <w:rPr>
                <w:rFonts w:hint="eastAsia" w:eastAsia="宋体"/>
                <w:color w:val="auto"/>
                <w:lang w:val="en-US" w:eastAsia="zh-CN"/>
              </w:rPr>
              <w:t>700</w:t>
            </w:r>
          </w:p>
        </w:tc>
      </w:tr>
      <w:tr w14:paraId="756E342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7839E52">
            <w:pPr>
              <w:pStyle w:val="101"/>
              <w:jc w:val="center"/>
              <w:rPr>
                <w:color w:val="auto"/>
              </w:rPr>
            </w:pPr>
          </w:p>
        </w:tc>
        <w:tc>
          <w:tcPr>
            <w:tcW w:w="390" w:type="pct"/>
            <w:vAlign w:val="center"/>
          </w:tcPr>
          <w:p w14:paraId="6AE642BE">
            <w:pPr>
              <w:pStyle w:val="101"/>
              <w:jc w:val="center"/>
              <w:rPr>
                <w:rFonts w:hint="eastAsia" w:eastAsia="宋体"/>
                <w:color w:val="auto"/>
              </w:rPr>
            </w:pPr>
            <w:r>
              <w:rPr>
                <w:rFonts w:hint="eastAsia" w:eastAsia="宋体"/>
                <w:color w:val="auto"/>
                <w:lang w:val="en-US" w:eastAsia="zh-CN"/>
              </w:rPr>
              <w:t>26</w:t>
            </w:r>
          </w:p>
        </w:tc>
        <w:tc>
          <w:tcPr>
            <w:tcW w:w="1713" w:type="pct"/>
            <w:vAlign w:val="center"/>
          </w:tcPr>
          <w:p w14:paraId="351CC367">
            <w:pPr>
              <w:pStyle w:val="101"/>
              <w:jc w:val="center"/>
              <w:rPr>
                <w:rFonts w:hint="eastAsia" w:eastAsia="宋体"/>
                <w:color w:val="auto"/>
              </w:rPr>
            </w:pPr>
            <w:r>
              <w:rPr>
                <w:rFonts w:hint="eastAsia" w:eastAsia="宋体"/>
                <w:color w:val="auto"/>
                <w:lang w:val="en-US" w:eastAsia="zh-CN"/>
              </w:rPr>
              <w:t>园林小区</w:t>
            </w:r>
          </w:p>
        </w:tc>
        <w:tc>
          <w:tcPr>
            <w:tcW w:w="1115" w:type="dxa"/>
            <w:gridSpan w:val="2"/>
            <w:vAlign w:val="bottom"/>
          </w:tcPr>
          <w:p w14:paraId="15CC887A">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551AD02">
            <w:pPr>
              <w:pStyle w:val="101"/>
              <w:jc w:val="center"/>
              <w:rPr>
                <w:rFonts w:hint="eastAsia" w:eastAsia="宋体"/>
                <w:color w:val="auto"/>
              </w:rPr>
            </w:pPr>
            <w:r>
              <w:rPr>
                <w:rFonts w:hint="eastAsia" w:eastAsia="宋体"/>
                <w:color w:val="auto"/>
                <w:lang w:val="en-US" w:eastAsia="zh-CN"/>
              </w:rPr>
              <w:t>1445</w:t>
            </w:r>
          </w:p>
        </w:tc>
        <w:tc>
          <w:tcPr>
            <w:tcW w:w="729" w:type="pct"/>
            <w:gridSpan w:val="2"/>
            <w:vAlign w:val="center"/>
          </w:tcPr>
          <w:p w14:paraId="53445D79">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3626CF75">
            <w:pPr>
              <w:pStyle w:val="101"/>
              <w:jc w:val="center"/>
              <w:rPr>
                <w:rFonts w:hint="eastAsia" w:eastAsia="宋体"/>
                <w:color w:val="auto"/>
              </w:rPr>
            </w:pPr>
            <w:r>
              <w:rPr>
                <w:rFonts w:hint="eastAsia" w:eastAsia="宋体"/>
                <w:color w:val="auto"/>
                <w:lang w:val="en-US" w:eastAsia="zh-CN"/>
              </w:rPr>
              <w:t>4000</w:t>
            </w:r>
          </w:p>
        </w:tc>
      </w:tr>
      <w:tr w14:paraId="73A063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71954E7">
            <w:pPr>
              <w:pStyle w:val="101"/>
              <w:jc w:val="center"/>
              <w:rPr>
                <w:color w:val="auto"/>
              </w:rPr>
            </w:pPr>
          </w:p>
        </w:tc>
        <w:tc>
          <w:tcPr>
            <w:tcW w:w="390" w:type="pct"/>
            <w:vAlign w:val="center"/>
          </w:tcPr>
          <w:p w14:paraId="44CDDC26">
            <w:pPr>
              <w:pStyle w:val="101"/>
              <w:jc w:val="center"/>
              <w:rPr>
                <w:rFonts w:hint="eastAsia" w:eastAsia="宋体"/>
                <w:color w:val="auto"/>
              </w:rPr>
            </w:pPr>
            <w:r>
              <w:rPr>
                <w:rFonts w:hint="eastAsia" w:eastAsia="宋体"/>
                <w:color w:val="auto"/>
                <w:lang w:val="en-US" w:eastAsia="zh-CN"/>
              </w:rPr>
              <w:t>27</w:t>
            </w:r>
          </w:p>
        </w:tc>
        <w:tc>
          <w:tcPr>
            <w:tcW w:w="1713" w:type="pct"/>
            <w:vAlign w:val="center"/>
          </w:tcPr>
          <w:p w14:paraId="3E918EA6">
            <w:pPr>
              <w:pStyle w:val="101"/>
              <w:jc w:val="center"/>
              <w:rPr>
                <w:rFonts w:hint="eastAsia" w:eastAsia="宋体"/>
                <w:color w:val="auto"/>
              </w:rPr>
            </w:pPr>
            <w:r>
              <w:rPr>
                <w:rFonts w:hint="eastAsia" w:eastAsia="宋体"/>
                <w:color w:val="auto"/>
                <w:lang w:val="en-US" w:eastAsia="zh-CN"/>
              </w:rPr>
              <w:t>西苑社区</w:t>
            </w:r>
          </w:p>
        </w:tc>
        <w:tc>
          <w:tcPr>
            <w:tcW w:w="1115" w:type="dxa"/>
            <w:gridSpan w:val="2"/>
            <w:vAlign w:val="bottom"/>
          </w:tcPr>
          <w:p w14:paraId="37A76623">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7DECC4D8">
            <w:pPr>
              <w:pStyle w:val="101"/>
              <w:jc w:val="center"/>
              <w:rPr>
                <w:rFonts w:hint="eastAsia" w:eastAsia="宋体"/>
                <w:color w:val="auto"/>
              </w:rPr>
            </w:pPr>
            <w:r>
              <w:rPr>
                <w:rFonts w:hint="eastAsia" w:eastAsia="宋体"/>
                <w:color w:val="auto"/>
                <w:lang w:val="en-US" w:eastAsia="zh-CN"/>
              </w:rPr>
              <w:t>1455</w:t>
            </w:r>
          </w:p>
        </w:tc>
        <w:tc>
          <w:tcPr>
            <w:tcW w:w="729" w:type="pct"/>
            <w:gridSpan w:val="2"/>
            <w:vAlign w:val="center"/>
          </w:tcPr>
          <w:p w14:paraId="6849D250">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457A7E1C">
            <w:pPr>
              <w:pStyle w:val="101"/>
              <w:jc w:val="center"/>
              <w:rPr>
                <w:rFonts w:hint="eastAsia" w:eastAsia="宋体"/>
                <w:color w:val="auto"/>
              </w:rPr>
            </w:pPr>
            <w:r>
              <w:rPr>
                <w:rFonts w:hint="eastAsia" w:eastAsia="宋体"/>
                <w:color w:val="auto"/>
                <w:lang w:val="en-US" w:eastAsia="zh-CN"/>
              </w:rPr>
              <w:t>5000</w:t>
            </w:r>
          </w:p>
        </w:tc>
      </w:tr>
      <w:tr w14:paraId="102C848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F18EA19">
            <w:pPr>
              <w:pStyle w:val="101"/>
              <w:jc w:val="center"/>
              <w:rPr>
                <w:color w:val="auto"/>
              </w:rPr>
            </w:pPr>
          </w:p>
        </w:tc>
        <w:tc>
          <w:tcPr>
            <w:tcW w:w="390" w:type="pct"/>
            <w:vAlign w:val="center"/>
          </w:tcPr>
          <w:p w14:paraId="46E4AC08">
            <w:pPr>
              <w:pStyle w:val="101"/>
              <w:jc w:val="center"/>
              <w:rPr>
                <w:rFonts w:hint="eastAsia" w:eastAsia="宋体"/>
                <w:color w:val="auto"/>
              </w:rPr>
            </w:pPr>
            <w:r>
              <w:rPr>
                <w:rFonts w:hint="eastAsia" w:eastAsia="宋体"/>
                <w:color w:val="auto"/>
                <w:lang w:val="en-US" w:eastAsia="zh-CN"/>
              </w:rPr>
              <w:t>28</w:t>
            </w:r>
          </w:p>
        </w:tc>
        <w:tc>
          <w:tcPr>
            <w:tcW w:w="1713" w:type="pct"/>
            <w:vAlign w:val="center"/>
          </w:tcPr>
          <w:p w14:paraId="4E437B91">
            <w:pPr>
              <w:pStyle w:val="101"/>
              <w:jc w:val="center"/>
              <w:rPr>
                <w:rFonts w:hint="eastAsia" w:eastAsia="宋体"/>
                <w:color w:val="auto"/>
              </w:rPr>
            </w:pPr>
            <w:r>
              <w:rPr>
                <w:rFonts w:hint="eastAsia" w:eastAsia="宋体"/>
                <w:color w:val="auto"/>
                <w:lang w:val="en-US" w:eastAsia="zh-CN"/>
              </w:rPr>
              <w:t>天恩居住家园</w:t>
            </w:r>
          </w:p>
        </w:tc>
        <w:tc>
          <w:tcPr>
            <w:tcW w:w="1115" w:type="dxa"/>
            <w:gridSpan w:val="2"/>
            <w:vAlign w:val="bottom"/>
          </w:tcPr>
          <w:p w14:paraId="52D94BC6">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38819E00">
            <w:pPr>
              <w:pStyle w:val="101"/>
              <w:jc w:val="center"/>
              <w:rPr>
                <w:rFonts w:hint="eastAsia" w:eastAsia="宋体"/>
                <w:color w:val="auto"/>
              </w:rPr>
            </w:pPr>
            <w:r>
              <w:rPr>
                <w:rFonts w:hint="eastAsia" w:eastAsia="宋体"/>
                <w:color w:val="auto"/>
                <w:lang w:val="en-US" w:eastAsia="zh-CN"/>
              </w:rPr>
              <w:t>1470</w:t>
            </w:r>
          </w:p>
        </w:tc>
        <w:tc>
          <w:tcPr>
            <w:tcW w:w="729" w:type="pct"/>
            <w:gridSpan w:val="2"/>
            <w:vAlign w:val="center"/>
          </w:tcPr>
          <w:p w14:paraId="08915553">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1803C7CE">
            <w:pPr>
              <w:pStyle w:val="101"/>
              <w:jc w:val="center"/>
              <w:rPr>
                <w:rFonts w:hint="eastAsia" w:eastAsia="宋体"/>
                <w:color w:val="auto"/>
              </w:rPr>
            </w:pPr>
            <w:r>
              <w:rPr>
                <w:rFonts w:hint="eastAsia" w:eastAsia="宋体"/>
                <w:color w:val="auto"/>
                <w:lang w:val="en-US" w:eastAsia="zh-CN"/>
              </w:rPr>
              <w:t>6000</w:t>
            </w:r>
          </w:p>
        </w:tc>
      </w:tr>
      <w:tr w14:paraId="74DA46E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5BD7775">
            <w:pPr>
              <w:pStyle w:val="101"/>
              <w:jc w:val="center"/>
              <w:rPr>
                <w:color w:val="auto"/>
              </w:rPr>
            </w:pPr>
          </w:p>
        </w:tc>
        <w:tc>
          <w:tcPr>
            <w:tcW w:w="390" w:type="pct"/>
            <w:vAlign w:val="center"/>
          </w:tcPr>
          <w:p w14:paraId="6D6DE002">
            <w:pPr>
              <w:pStyle w:val="101"/>
              <w:jc w:val="center"/>
              <w:rPr>
                <w:rFonts w:hint="eastAsia" w:eastAsia="宋体"/>
                <w:color w:val="auto"/>
              </w:rPr>
            </w:pPr>
            <w:r>
              <w:rPr>
                <w:rFonts w:hint="eastAsia" w:eastAsia="宋体"/>
                <w:color w:val="auto"/>
                <w:lang w:val="en-US" w:eastAsia="zh-CN"/>
              </w:rPr>
              <w:t>29</w:t>
            </w:r>
          </w:p>
        </w:tc>
        <w:tc>
          <w:tcPr>
            <w:tcW w:w="1713" w:type="pct"/>
            <w:vAlign w:val="center"/>
          </w:tcPr>
          <w:p w14:paraId="7D4F0D1F">
            <w:pPr>
              <w:pStyle w:val="101"/>
              <w:jc w:val="center"/>
              <w:rPr>
                <w:rFonts w:hint="eastAsia" w:eastAsia="宋体"/>
                <w:color w:val="auto"/>
              </w:rPr>
            </w:pPr>
            <w:r>
              <w:rPr>
                <w:rFonts w:hint="eastAsia" w:eastAsia="宋体"/>
                <w:color w:val="auto"/>
                <w:lang w:val="en-US" w:eastAsia="zh-CN"/>
              </w:rPr>
              <w:t>鹤岗市自然资源和规划局</w:t>
            </w:r>
          </w:p>
        </w:tc>
        <w:tc>
          <w:tcPr>
            <w:tcW w:w="1115" w:type="dxa"/>
            <w:gridSpan w:val="2"/>
            <w:vAlign w:val="bottom"/>
          </w:tcPr>
          <w:p w14:paraId="4870CFAF">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w:t>
            </w:r>
          </w:p>
        </w:tc>
        <w:tc>
          <w:tcPr>
            <w:tcW w:w="592" w:type="pct"/>
            <w:vAlign w:val="center"/>
          </w:tcPr>
          <w:p w14:paraId="3722362E">
            <w:pPr>
              <w:pStyle w:val="101"/>
              <w:jc w:val="center"/>
              <w:rPr>
                <w:rFonts w:hint="eastAsia" w:eastAsia="宋体"/>
                <w:color w:val="auto"/>
              </w:rPr>
            </w:pPr>
            <w:r>
              <w:rPr>
                <w:rFonts w:hint="eastAsia" w:eastAsia="宋体"/>
                <w:color w:val="auto"/>
                <w:lang w:val="en-US" w:eastAsia="zh-CN"/>
              </w:rPr>
              <w:t>1480</w:t>
            </w:r>
          </w:p>
        </w:tc>
        <w:tc>
          <w:tcPr>
            <w:tcW w:w="729" w:type="pct"/>
            <w:gridSpan w:val="2"/>
            <w:vAlign w:val="center"/>
          </w:tcPr>
          <w:p w14:paraId="22C572CC">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034A785">
            <w:pPr>
              <w:pStyle w:val="101"/>
              <w:jc w:val="center"/>
              <w:rPr>
                <w:rFonts w:hint="eastAsia" w:eastAsia="宋体"/>
                <w:color w:val="auto"/>
              </w:rPr>
            </w:pPr>
            <w:r>
              <w:rPr>
                <w:rFonts w:hint="eastAsia" w:eastAsia="宋体"/>
                <w:color w:val="auto"/>
                <w:lang w:val="en-US" w:eastAsia="zh-CN"/>
              </w:rPr>
              <w:t>140</w:t>
            </w:r>
          </w:p>
        </w:tc>
      </w:tr>
      <w:tr w14:paraId="04CB89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48342E7">
            <w:pPr>
              <w:pStyle w:val="101"/>
              <w:jc w:val="center"/>
              <w:rPr>
                <w:color w:val="auto"/>
              </w:rPr>
            </w:pPr>
          </w:p>
        </w:tc>
        <w:tc>
          <w:tcPr>
            <w:tcW w:w="390" w:type="pct"/>
            <w:vAlign w:val="center"/>
          </w:tcPr>
          <w:p w14:paraId="0C85A9A5">
            <w:pPr>
              <w:pStyle w:val="101"/>
              <w:jc w:val="center"/>
              <w:rPr>
                <w:rFonts w:hint="eastAsia" w:eastAsia="宋体"/>
                <w:color w:val="auto"/>
              </w:rPr>
            </w:pPr>
            <w:r>
              <w:rPr>
                <w:rFonts w:hint="eastAsia" w:eastAsia="宋体"/>
                <w:color w:val="auto"/>
                <w:lang w:val="en-US" w:eastAsia="zh-CN"/>
              </w:rPr>
              <w:t>30</w:t>
            </w:r>
          </w:p>
        </w:tc>
        <w:tc>
          <w:tcPr>
            <w:tcW w:w="1713" w:type="pct"/>
            <w:vAlign w:val="center"/>
          </w:tcPr>
          <w:p w14:paraId="21BB3F0C">
            <w:pPr>
              <w:pStyle w:val="101"/>
              <w:jc w:val="center"/>
              <w:rPr>
                <w:rFonts w:hint="eastAsia" w:eastAsia="宋体"/>
                <w:color w:val="auto"/>
              </w:rPr>
            </w:pPr>
            <w:r>
              <w:rPr>
                <w:rFonts w:hint="eastAsia" w:eastAsia="宋体"/>
                <w:color w:val="auto"/>
                <w:lang w:val="en-US" w:eastAsia="zh-CN"/>
              </w:rPr>
              <w:t>南山区人民医院</w:t>
            </w:r>
          </w:p>
        </w:tc>
        <w:tc>
          <w:tcPr>
            <w:tcW w:w="1115" w:type="dxa"/>
            <w:gridSpan w:val="2"/>
            <w:vAlign w:val="bottom"/>
          </w:tcPr>
          <w:p w14:paraId="7479E1E7">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7E2644B1">
            <w:pPr>
              <w:pStyle w:val="101"/>
              <w:jc w:val="center"/>
              <w:rPr>
                <w:rFonts w:hint="eastAsia" w:eastAsia="宋体"/>
                <w:color w:val="auto"/>
              </w:rPr>
            </w:pPr>
            <w:r>
              <w:rPr>
                <w:rFonts w:hint="eastAsia" w:eastAsia="宋体"/>
                <w:color w:val="auto"/>
                <w:lang w:val="en-US" w:eastAsia="zh-CN"/>
              </w:rPr>
              <w:t>1495</w:t>
            </w:r>
          </w:p>
        </w:tc>
        <w:tc>
          <w:tcPr>
            <w:tcW w:w="729" w:type="pct"/>
            <w:gridSpan w:val="2"/>
            <w:vAlign w:val="center"/>
          </w:tcPr>
          <w:p w14:paraId="35326EDB">
            <w:pPr>
              <w:pStyle w:val="101"/>
              <w:jc w:val="center"/>
              <w:rPr>
                <w:rFonts w:hint="eastAsia" w:eastAsia="宋体"/>
                <w:color w:val="auto"/>
              </w:rPr>
            </w:pPr>
            <w:r>
              <w:rPr>
                <w:rFonts w:hint="eastAsia" w:eastAsia="宋体"/>
                <w:color w:val="auto"/>
                <w:lang w:val="en-US" w:eastAsia="zh-CN"/>
              </w:rPr>
              <w:t>医院</w:t>
            </w:r>
          </w:p>
        </w:tc>
        <w:tc>
          <w:tcPr>
            <w:tcW w:w="591" w:type="pct"/>
            <w:vAlign w:val="center"/>
          </w:tcPr>
          <w:p w14:paraId="5C4C89F8">
            <w:pPr>
              <w:pStyle w:val="101"/>
              <w:jc w:val="center"/>
              <w:rPr>
                <w:rFonts w:hint="eastAsia" w:eastAsia="宋体"/>
                <w:color w:val="auto"/>
              </w:rPr>
            </w:pPr>
            <w:r>
              <w:rPr>
                <w:rFonts w:hint="eastAsia" w:eastAsia="宋体"/>
                <w:color w:val="auto"/>
                <w:lang w:val="en-US" w:eastAsia="zh-CN"/>
              </w:rPr>
              <w:t>190</w:t>
            </w:r>
          </w:p>
        </w:tc>
      </w:tr>
      <w:tr w14:paraId="2B28D4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BA10BEF">
            <w:pPr>
              <w:pStyle w:val="101"/>
              <w:jc w:val="center"/>
              <w:rPr>
                <w:color w:val="auto"/>
              </w:rPr>
            </w:pPr>
          </w:p>
        </w:tc>
        <w:tc>
          <w:tcPr>
            <w:tcW w:w="390" w:type="pct"/>
            <w:vAlign w:val="center"/>
          </w:tcPr>
          <w:p w14:paraId="38134161">
            <w:pPr>
              <w:pStyle w:val="101"/>
              <w:jc w:val="center"/>
              <w:rPr>
                <w:rFonts w:hint="eastAsia" w:eastAsia="宋体"/>
                <w:color w:val="auto"/>
              </w:rPr>
            </w:pPr>
            <w:r>
              <w:rPr>
                <w:rFonts w:hint="eastAsia" w:eastAsia="宋体"/>
                <w:color w:val="auto"/>
                <w:lang w:val="en-US" w:eastAsia="zh-CN"/>
              </w:rPr>
              <w:t>31</w:t>
            </w:r>
          </w:p>
        </w:tc>
        <w:tc>
          <w:tcPr>
            <w:tcW w:w="1713" w:type="pct"/>
            <w:vAlign w:val="center"/>
          </w:tcPr>
          <w:p w14:paraId="3E82C4A7">
            <w:pPr>
              <w:pStyle w:val="101"/>
              <w:jc w:val="center"/>
              <w:rPr>
                <w:rFonts w:hint="eastAsia" w:eastAsia="宋体"/>
                <w:color w:val="auto"/>
              </w:rPr>
            </w:pPr>
            <w:r>
              <w:rPr>
                <w:rFonts w:hint="eastAsia" w:eastAsia="宋体"/>
                <w:color w:val="auto"/>
                <w:lang w:val="en-US" w:eastAsia="zh-CN"/>
              </w:rPr>
              <w:t>鹤岗市特殊教育中心</w:t>
            </w:r>
          </w:p>
        </w:tc>
        <w:tc>
          <w:tcPr>
            <w:tcW w:w="1115" w:type="dxa"/>
            <w:gridSpan w:val="2"/>
            <w:vAlign w:val="bottom"/>
          </w:tcPr>
          <w:p w14:paraId="19E57469">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4E2DC65">
            <w:pPr>
              <w:pStyle w:val="101"/>
              <w:jc w:val="center"/>
              <w:rPr>
                <w:rFonts w:hint="eastAsia" w:eastAsia="宋体"/>
                <w:color w:val="auto"/>
              </w:rPr>
            </w:pPr>
            <w:r>
              <w:rPr>
                <w:rFonts w:hint="eastAsia" w:eastAsia="宋体"/>
                <w:color w:val="auto"/>
                <w:lang w:val="en-US" w:eastAsia="zh-CN"/>
              </w:rPr>
              <w:t>1500</w:t>
            </w:r>
          </w:p>
        </w:tc>
        <w:tc>
          <w:tcPr>
            <w:tcW w:w="729" w:type="pct"/>
            <w:gridSpan w:val="2"/>
            <w:vAlign w:val="center"/>
          </w:tcPr>
          <w:p w14:paraId="70A3D95B">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0C141F7B">
            <w:pPr>
              <w:pStyle w:val="101"/>
              <w:jc w:val="center"/>
              <w:rPr>
                <w:rFonts w:hint="eastAsia" w:eastAsia="宋体"/>
                <w:color w:val="auto"/>
              </w:rPr>
            </w:pPr>
            <w:r>
              <w:rPr>
                <w:rFonts w:hint="eastAsia" w:eastAsia="宋体"/>
                <w:color w:val="auto"/>
                <w:lang w:val="en-US" w:eastAsia="zh-CN"/>
              </w:rPr>
              <w:t>250</w:t>
            </w:r>
          </w:p>
        </w:tc>
      </w:tr>
      <w:tr w14:paraId="762CED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A1385DF">
            <w:pPr>
              <w:pStyle w:val="101"/>
              <w:jc w:val="center"/>
              <w:rPr>
                <w:color w:val="auto"/>
              </w:rPr>
            </w:pPr>
          </w:p>
        </w:tc>
        <w:tc>
          <w:tcPr>
            <w:tcW w:w="390" w:type="pct"/>
            <w:vAlign w:val="center"/>
          </w:tcPr>
          <w:p w14:paraId="0FEDA094">
            <w:pPr>
              <w:pStyle w:val="101"/>
              <w:jc w:val="center"/>
              <w:rPr>
                <w:rFonts w:hint="eastAsia" w:eastAsia="宋体"/>
                <w:color w:val="auto"/>
              </w:rPr>
            </w:pPr>
            <w:r>
              <w:rPr>
                <w:rFonts w:hint="eastAsia" w:eastAsia="宋体"/>
                <w:color w:val="auto"/>
                <w:lang w:val="en-US" w:eastAsia="zh-CN"/>
              </w:rPr>
              <w:t>32</w:t>
            </w:r>
          </w:p>
        </w:tc>
        <w:tc>
          <w:tcPr>
            <w:tcW w:w="1713" w:type="pct"/>
            <w:vAlign w:val="center"/>
          </w:tcPr>
          <w:p w14:paraId="76E09126">
            <w:pPr>
              <w:pStyle w:val="101"/>
              <w:jc w:val="center"/>
              <w:rPr>
                <w:rFonts w:hint="eastAsia" w:eastAsia="宋体"/>
                <w:color w:val="auto"/>
              </w:rPr>
            </w:pPr>
            <w:r>
              <w:rPr>
                <w:rFonts w:hint="eastAsia" w:eastAsia="宋体"/>
                <w:color w:val="auto"/>
                <w:lang w:val="en-US" w:eastAsia="zh-CN"/>
              </w:rPr>
              <w:t>松鹤小区-C区</w:t>
            </w:r>
          </w:p>
        </w:tc>
        <w:tc>
          <w:tcPr>
            <w:tcW w:w="1115" w:type="dxa"/>
            <w:gridSpan w:val="2"/>
            <w:vAlign w:val="bottom"/>
          </w:tcPr>
          <w:p w14:paraId="11CC9BA4">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7E2C42F5">
            <w:pPr>
              <w:pStyle w:val="101"/>
              <w:jc w:val="center"/>
              <w:rPr>
                <w:rFonts w:hint="eastAsia" w:eastAsia="宋体"/>
                <w:color w:val="auto"/>
              </w:rPr>
            </w:pPr>
            <w:r>
              <w:rPr>
                <w:rFonts w:hint="eastAsia" w:eastAsia="宋体"/>
                <w:color w:val="auto"/>
                <w:lang w:val="en-US" w:eastAsia="zh-CN"/>
              </w:rPr>
              <w:t>1515</w:t>
            </w:r>
          </w:p>
        </w:tc>
        <w:tc>
          <w:tcPr>
            <w:tcW w:w="729" w:type="pct"/>
            <w:gridSpan w:val="2"/>
            <w:vAlign w:val="center"/>
          </w:tcPr>
          <w:p w14:paraId="5ABB036C">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4E09DDAF">
            <w:pPr>
              <w:pStyle w:val="101"/>
              <w:jc w:val="center"/>
              <w:rPr>
                <w:rFonts w:hint="eastAsia" w:eastAsia="宋体"/>
                <w:color w:val="auto"/>
              </w:rPr>
            </w:pPr>
            <w:r>
              <w:rPr>
                <w:rFonts w:hint="eastAsia" w:eastAsia="宋体"/>
                <w:color w:val="auto"/>
                <w:lang w:val="en-US" w:eastAsia="zh-CN"/>
              </w:rPr>
              <w:t>4500</w:t>
            </w:r>
          </w:p>
        </w:tc>
      </w:tr>
      <w:tr w14:paraId="399F4C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432FD1A">
            <w:pPr>
              <w:pStyle w:val="101"/>
              <w:jc w:val="center"/>
              <w:rPr>
                <w:color w:val="auto"/>
              </w:rPr>
            </w:pPr>
          </w:p>
        </w:tc>
        <w:tc>
          <w:tcPr>
            <w:tcW w:w="390" w:type="pct"/>
            <w:vAlign w:val="center"/>
          </w:tcPr>
          <w:p w14:paraId="3EFFB3A3">
            <w:pPr>
              <w:pStyle w:val="101"/>
              <w:jc w:val="center"/>
              <w:rPr>
                <w:rFonts w:hint="eastAsia" w:eastAsia="宋体"/>
                <w:color w:val="auto"/>
              </w:rPr>
            </w:pPr>
            <w:r>
              <w:rPr>
                <w:rFonts w:hint="eastAsia" w:eastAsia="宋体"/>
                <w:color w:val="auto"/>
                <w:lang w:val="en-US" w:eastAsia="zh-CN"/>
              </w:rPr>
              <w:t>33</w:t>
            </w:r>
          </w:p>
        </w:tc>
        <w:tc>
          <w:tcPr>
            <w:tcW w:w="1713" w:type="pct"/>
            <w:vAlign w:val="center"/>
          </w:tcPr>
          <w:p w14:paraId="0A08BE1A">
            <w:pPr>
              <w:pStyle w:val="101"/>
              <w:jc w:val="center"/>
              <w:rPr>
                <w:rFonts w:hint="eastAsia" w:eastAsia="宋体"/>
                <w:color w:val="auto"/>
              </w:rPr>
            </w:pPr>
            <w:r>
              <w:rPr>
                <w:rFonts w:hint="eastAsia" w:eastAsia="宋体"/>
                <w:color w:val="auto"/>
                <w:lang w:val="en-US" w:eastAsia="zh-CN"/>
              </w:rPr>
              <w:t>中央蓝钻华苑</w:t>
            </w:r>
          </w:p>
        </w:tc>
        <w:tc>
          <w:tcPr>
            <w:tcW w:w="1115" w:type="dxa"/>
            <w:gridSpan w:val="2"/>
            <w:vAlign w:val="bottom"/>
          </w:tcPr>
          <w:p w14:paraId="587D0D16">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w:t>
            </w:r>
          </w:p>
        </w:tc>
        <w:tc>
          <w:tcPr>
            <w:tcW w:w="592" w:type="pct"/>
            <w:vAlign w:val="center"/>
          </w:tcPr>
          <w:p w14:paraId="4AC8E841">
            <w:pPr>
              <w:pStyle w:val="101"/>
              <w:jc w:val="center"/>
              <w:rPr>
                <w:rFonts w:hint="eastAsia" w:eastAsia="宋体"/>
                <w:color w:val="auto"/>
              </w:rPr>
            </w:pPr>
            <w:r>
              <w:rPr>
                <w:rFonts w:hint="eastAsia" w:eastAsia="宋体"/>
                <w:color w:val="auto"/>
                <w:lang w:val="en-US" w:eastAsia="zh-CN"/>
              </w:rPr>
              <w:t>1545</w:t>
            </w:r>
          </w:p>
        </w:tc>
        <w:tc>
          <w:tcPr>
            <w:tcW w:w="729" w:type="pct"/>
            <w:gridSpan w:val="2"/>
            <w:vAlign w:val="center"/>
          </w:tcPr>
          <w:p w14:paraId="75CA3C6B">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2614004D">
            <w:pPr>
              <w:pStyle w:val="101"/>
              <w:jc w:val="center"/>
              <w:rPr>
                <w:rFonts w:hint="eastAsia" w:eastAsia="宋体"/>
                <w:color w:val="auto"/>
              </w:rPr>
            </w:pPr>
            <w:r>
              <w:rPr>
                <w:rFonts w:hint="eastAsia" w:eastAsia="宋体"/>
                <w:color w:val="auto"/>
                <w:lang w:val="en-US" w:eastAsia="zh-CN"/>
              </w:rPr>
              <w:t>9000</w:t>
            </w:r>
          </w:p>
        </w:tc>
      </w:tr>
      <w:tr w14:paraId="50BC50C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5F589AD">
            <w:pPr>
              <w:pStyle w:val="101"/>
              <w:jc w:val="center"/>
              <w:rPr>
                <w:color w:val="auto"/>
              </w:rPr>
            </w:pPr>
          </w:p>
        </w:tc>
        <w:tc>
          <w:tcPr>
            <w:tcW w:w="390" w:type="pct"/>
            <w:vAlign w:val="center"/>
          </w:tcPr>
          <w:p w14:paraId="2BA6F42A">
            <w:pPr>
              <w:pStyle w:val="101"/>
              <w:jc w:val="center"/>
              <w:rPr>
                <w:rFonts w:hint="eastAsia" w:eastAsia="宋体"/>
                <w:color w:val="auto"/>
              </w:rPr>
            </w:pPr>
            <w:r>
              <w:rPr>
                <w:rFonts w:hint="eastAsia" w:eastAsia="宋体"/>
                <w:color w:val="auto"/>
                <w:lang w:val="en-US" w:eastAsia="zh-CN"/>
              </w:rPr>
              <w:t>34</w:t>
            </w:r>
          </w:p>
        </w:tc>
        <w:tc>
          <w:tcPr>
            <w:tcW w:w="1713" w:type="pct"/>
            <w:vAlign w:val="center"/>
          </w:tcPr>
          <w:p w14:paraId="05D4D1FF">
            <w:pPr>
              <w:pStyle w:val="101"/>
              <w:jc w:val="center"/>
              <w:rPr>
                <w:rFonts w:hint="eastAsia" w:eastAsia="宋体"/>
                <w:color w:val="auto"/>
              </w:rPr>
            </w:pPr>
            <w:r>
              <w:rPr>
                <w:rFonts w:hint="eastAsia" w:eastAsia="宋体"/>
                <w:color w:val="auto"/>
                <w:lang w:val="en-US" w:eastAsia="zh-CN"/>
              </w:rPr>
              <w:t>大成家园</w:t>
            </w:r>
          </w:p>
        </w:tc>
        <w:tc>
          <w:tcPr>
            <w:tcW w:w="1115" w:type="dxa"/>
            <w:gridSpan w:val="2"/>
            <w:vAlign w:val="bottom"/>
          </w:tcPr>
          <w:p w14:paraId="2E007BDF">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8528F15">
            <w:pPr>
              <w:pStyle w:val="101"/>
              <w:jc w:val="center"/>
              <w:rPr>
                <w:rFonts w:hint="eastAsia" w:eastAsia="宋体"/>
                <w:color w:val="auto"/>
              </w:rPr>
            </w:pPr>
            <w:r>
              <w:rPr>
                <w:rFonts w:hint="eastAsia" w:eastAsia="宋体"/>
                <w:color w:val="auto"/>
                <w:lang w:val="en-US" w:eastAsia="zh-CN"/>
              </w:rPr>
              <w:t>1565</w:t>
            </w:r>
          </w:p>
        </w:tc>
        <w:tc>
          <w:tcPr>
            <w:tcW w:w="729" w:type="pct"/>
            <w:gridSpan w:val="2"/>
            <w:vAlign w:val="center"/>
          </w:tcPr>
          <w:p w14:paraId="2450C10F">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2E59D293">
            <w:pPr>
              <w:pStyle w:val="101"/>
              <w:jc w:val="center"/>
              <w:rPr>
                <w:rFonts w:hint="eastAsia" w:eastAsia="宋体"/>
                <w:color w:val="auto"/>
              </w:rPr>
            </w:pPr>
            <w:r>
              <w:rPr>
                <w:rFonts w:hint="eastAsia" w:eastAsia="宋体"/>
                <w:color w:val="auto"/>
                <w:lang w:val="en-US" w:eastAsia="zh-CN"/>
              </w:rPr>
              <w:t>7000</w:t>
            </w:r>
          </w:p>
        </w:tc>
      </w:tr>
      <w:tr w14:paraId="3D753D8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D0FB6CB">
            <w:pPr>
              <w:pStyle w:val="101"/>
              <w:jc w:val="center"/>
              <w:rPr>
                <w:color w:val="auto"/>
              </w:rPr>
            </w:pPr>
          </w:p>
        </w:tc>
        <w:tc>
          <w:tcPr>
            <w:tcW w:w="390" w:type="pct"/>
            <w:vAlign w:val="center"/>
          </w:tcPr>
          <w:p w14:paraId="74806C63">
            <w:pPr>
              <w:pStyle w:val="101"/>
              <w:jc w:val="center"/>
              <w:rPr>
                <w:rFonts w:hint="eastAsia" w:eastAsia="宋体"/>
                <w:color w:val="auto"/>
              </w:rPr>
            </w:pPr>
            <w:r>
              <w:rPr>
                <w:rFonts w:hint="eastAsia" w:eastAsia="宋体"/>
                <w:color w:val="auto"/>
                <w:lang w:val="en-US" w:eastAsia="zh-CN"/>
              </w:rPr>
              <w:t>35</w:t>
            </w:r>
          </w:p>
        </w:tc>
        <w:tc>
          <w:tcPr>
            <w:tcW w:w="1713" w:type="pct"/>
            <w:vAlign w:val="center"/>
          </w:tcPr>
          <w:p w14:paraId="240F8FE9">
            <w:pPr>
              <w:pStyle w:val="101"/>
              <w:jc w:val="center"/>
              <w:rPr>
                <w:rFonts w:hint="eastAsia" w:eastAsia="宋体"/>
                <w:color w:val="auto"/>
              </w:rPr>
            </w:pPr>
            <w:r>
              <w:rPr>
                <w:rFonts w:hint="eastAsia" w:eastAsia="宋体"/>
                <w:color w:val="auto"/>
                <w:lang w:val="en-US" w:eastAsia="zh-CN"/>
              </w:rPr>
              <w:t>五指山花园小区-A区</w:t>
            </w:r>
          </w:p>
        </w:tc>
        <w:tc>
          <w:tcPr>
            <w:tcW w:w="1115" w:type="dxa"/>
            <w:gridSpan w:val="2"/>
            <w:vAlign w:val="bottom"/>
          </w:tcPr>
          <w:p w14:paraId="355AFF49">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1544E8D5">
            <w:pPr>
              <w:pStyle w:val="101"/>
              <w:jc w:val="center"/>
              <w:rPr>
                <w:rFonts w:hint="eastAsia" w:eastAsia="宋体"/>
                <w:color w:val="auto"/>
              </w:rPr>
            </w:pPr>
            <w:r>
              <w:rPr>
                <w:rFonts w:hint="eastAsia" w:eastAsia="宋体"/>
                <w:color w:val="auto"/>
                <w:lang w:val="en-US" w:eastAsia="zh-CN"/>
              </w:rPr>
              <w:t>1575</w:t>
            </w:r>
          </w:p>
        </w:tc>
        <w:tc>
          <w:tcPr>
            <w:tcW w:w="729" w:type="pct"/>
            <w:gridSpan w:val="2"/>
            <w:vAlign w:val="center"/>
          </w:tcPr>
          <w:p w14:paraId="12132D56">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2635FBF0">
            <w:pPr>
              <w:pStyle w:val="101"/>
              <w:jc w:val="center"/>
              <w:rPr>
                <w:rFonts w:hint="eastAsia" w:eastAsia="宋体"/>
                <w:color w:val="auto"/>
              </w:rPr>
            </w:pPr>
            <w:r>
              <w:rPr>
                <w:rFonts w:hint="eastAsia" w:eastAsia="宋体"/>
                <w:color w:val="auto"/>
                <w:lang w:val="en-US" w:eastAsia="zh-CN"/>
              </w:rPr>
              <w:t>4000</w:t>
            </w:r>
          </w:p>
        </w:tc>
      </w:tr>
      <w:tr w14:paraId="1EE9EC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BA93AFC">
            <w:pPr>
              <w:pStyle w:val="101"/>
              <w:jc w:val="center"/>
              <w:rPr>
                <w:color w:val="auto"/>
              </w:rPr>
            </w:pPr>
          </w:p>
        </w:tc>
        <w:tc>
          <w:tcPr>
            <w:tcW w:w="390" w:type="pct"/>
            <w:vAlign w:val="center"/>
          </w:tcPr>
          <w:p w14:paraId="2AFD2600">
            <w:pPr>
              <w:pStyle w:val="101"/>
              <w:jc w:val="center"/>
              <w:rPr>
                <w:rFonts w:hint="eastAsia" w:eastAsia="宋体"/>
                <w:color w:val="auto"/>
              </w:rPr>
            </w:pPr>
            <w:r>
              <w:rPr>
                <w:rFonts w:hint="eastAsia" w:eastAsia="宋体"/>
                <w:color w:val="auto"/>
                <w:lang w:val="en-US" w:eastAsia="zh-CN"/>
              </w:rPr>
              <w:t>36</w:t>
            </w:r>
          </w:p>
        </w:tc>
        <w:tc>
          <w:tcPr>
            <w:tcW w:w="1713" w:type="pct"/>
            <w:vAlign w:val="center"/>
          </w:tcPr>
          <w:p w14:paraId="0CE3AE8C">
            <w:pPr>
              <w:pStyle w:val="101"/>
              <w:jc w:val="center"/>
              <w:rPr>
                <w:rFonts w:hint="eastAsia" w:eastAsia="宋体"/>
                <w:color w:val="auto"/>
              </w:rPr>
            </w:pPr>
            <w:r>
              <w:rPr>
                <w:rFonts w:hint="eastAsia" w:eastAsia="宋体"/>
                <w:color w:val="auto"/>
                <w:lang w:val="en-US" w:eastAsia="zh-CN"/>
              </w:rPr>
              <w:t>鹤岗市公安局</w:t>
            </w:r>
          </w:p>
        </w:tc>
        <w:tc>
          <w:tcPr>
            <w:tcW w:w="1115" w:type="dxa"/>
            <w:gridSpan w:val="2"/>
            <w:vAlign w:val="bottom"/>
          </w:tcPr>
          <w:p w14:paraId="5B277FB7">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0426135F">
            <w:pPr>
              <w:pStyle w:val="101"/>
              <w:jc w:val="center"/>
              <w:rPr>
                <w:rFonts w:hint="eastAsia" w:eastAsia="宋体"/>
                <w:color w:val="auto"/>
              </w:rPr>
            </w:pPr>
            <w:r>
              <w:rPr>
                <w:rFonts w:hint="eastAsia" w:eastAsia="宋体"/>
                <w:color w:val="auto"/>
                <w:lang w:val="en-US" w:eastAsia="zh-CN"/>
              </w:rPr>
              <w:t>1595</w:t>
            </w:r>
          </w:p>
        </w:tc>
        <w:tc>
          <w:tcPr>
            <w:tcW w:w="729" w:type="pct"/>
            <w:gridSpan w:val="2"/>
            <w:vAlign w:val="center"/>
          </w:tcPr>
          <w:p w14:paraId="21226858">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0BDEE801">
            <w:pPr>
              <w:pStyle w:val="101"/>
              <w:jc w:val="center"/>
              <w:rPr>
                <w:rFonts w:hint="eastAsia" w:eastAsia="宋体"/>
                <w:color w:val="auto"/>
              </w:rPr>
            </w:pPr>
            <w:r>
              <w:rPr>
                <w:rFonts w:hint="eastAsia" w:eastAsia="宋体"/>
                <w:color w:val="auto"/>
                <w:lang w:val="en-US" w:eastAsia="zh-CN"/>
              </w:rPr>
              <w:t>200</w:t>
            </w:r>
          </w:p>
        </w:tc>
      </w:tr>
      <w:tr w14:paraId="35E62C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928038C">
            <w:pPr>
              <w:pStyle w:val="101"/>
              <w:jc w:val="center"/>
              <w:rPr>
                <w:color w:val="auto"/>
              </w:rPr>
            </w:pPr>
          </w:p>
        </w:tc>
        <w:tc>
          <w:tcPr>
            <w:tcW w:w="390" w:type="pct"/>
            <w:vAlign w:val="center"/>
          </w:tcPr>
          <w:p w14:paraId="2B170532">
            <w:pPr>
              <w:pStyle w:val="101"/>
              <w:jc w:val="center"/>
              <w:rPr>
                <w:rFonts w:hint="eastAsia" w:eastAsia="宋体"/>
                <w:color w:val="auto"/>
              </w:rPr>
            </w:pPr>
            <w:r>
              <w:rPr>
                <w:rFonts w:hint="eastAsia" w:eastAsia="宋体"/>
                <w:color w:val="auto"/>
                <w:lang w:val="en-US" w:eastAsia="zh-CN"/>
              </w:rPr>
              <w:t>37</w:t>
            </w:r>
          </w:p>
        </w:tc>
        <w:tc>
          <w:tcPr>
            <w:tcW w:w="1713" w:type="pct"/>
            <w:vAlign w:val="center"/>
          </w:tcPr>
          <w:p w14:paraId="16D690BF">
            <w:pPr>
              <w:pStyle w:val="101"/>
              <w:jc w:val="center"/>
              <w:rPr>
                <w:rFonts w:hint="eastAsia" w:eastAsia="宋体"/>
                <w:color w:val="auto"/>
              </w:rPr>
            </w:pPr>
            <w:r>
              <w:rPr>
                <w:rFonts w:hint="eastAsia" w:eastAsia="宋体"/>
                <w:color w:val="auto"/>
                <w:lang w:val="en-US" w:eastAsia="zh-CN"/>
              </w:rPr>
              <w:t>六吉社区</w:t>
            </w:r>
          </w:p>
        </w:tc>
        <w:tc>
          <w:tcPr>
            <w:tcW w:w="1115" w:type="dxa"/>
            <w:gridSpan w:val="2"/>
            <w:vAlign w:val="bottom"/>
          </w:tcPr>
          <w:p w14:paraId="656E830C">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4B6CF1DD">
            <w:pPr>
              <w:pStyle w:val="101"/>
              <w:jc w:val="center"/>
              <w:rPr>
                <w:rFonts w:hint="eastAsia" w:eastAsia="宋体"/>
                <w:color w:val="auto"/>
              </w:rPr>
            </w:pPr>
            <w:r>
              <w:rPr>
                <w:rFonts w:hint="eastAsia" w:eastAsia="宋体"/>
                <w:color w:val="auto"/>
                <w:lang w:val="en-US" w:eastAsia="zh-CN"/>
              </w:rPr>
              <w:t>1600</w:t>
            </w:r>
          </w:p>
        </w:tc>
        <w:tc>
          <w:tcPr>
            <w:tcW w:w="729" w:type="pct"/>
            <w:gridSpan w:val="2"/>
            <w:vAlign w:val="center"/>
          </w:tcPr>
          <w:p w14:paraId="13A3CFC1">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5EC53A96">
            <w:pPr>
              <w:pStyle w:val="101"/>
              <w:jc w:val="center"/>
              <w:rPr>
                <w:rFonts w:hint="eastAsia" w:eastAsia="宋体"/>
                <w:color w:val="auto"/>
              </w:rPr>
            </w:pPr>
            <w:r>
              <w:rPr>
                <w:rFonts w:hint="eastAsia" w:eastAsia="宋体"/>
                <w:color w:val="auto"/>
                <w:lang w:val="en-US" w:eastAsia="zh-CN"/>
              </w:rPr>
              <w:t>3000</w:t>
            </w:r>
          </w:p>
        </w:tc>
      </w:tr>
      <w:tr w14:paraId="14A6E16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D2E2C7A">
            <w:pPr>
              <w:pStyle w:val="101"/>
              <w:jc w:val="center"/>
              <w:rPr>
                <w:color w:val="auto"/>
              </w:rPr>
            </w:pPr>
          </w:p>
        </w:tc>
        <w:tc>
          <w:tcPr>
            <w:tcW w:w="390" w:type="pct"/>
            <w:vAlign w:val="center"/>
          </w:tcPr>
          <w:p w14:paraId="0A0CA400">
            <w:pPr>
              <w:pStyle w:val="101"/>
              <w:jc w:val="center"/>
              <w:rPr>
                <w:rFonts w:hint="eastAsia" w:eastAsia="宋体"/>
                <w:color w:val="auto"/>
              </w:rPr>
            </w:pPr>
            <w:r>
              <w:rPr>
                <w:rFonts w:hint="eastAsia" w:eastAsia="宋体"/>
                <w:color w:val="auto"/>
                <w:lang w:val="en-US" w:eastAsia="zh-CN"/>
              </w:rPr>
              <w:t>38</w:t>
            </w:r>
          </w:p>
        </w:tc>
        <w:tc>
          <w:tcPr>
            <w:tcW w:w="1713" w:type="pct"/>
            <w:vAlign w:val="center"/>
          </w:tcPr>
          <w:p w14:paraId="13466667">
            <w:pPr>
              <w:pStyle w:val="101"/>
              <w:jc w:val="center"/>
              <w:rPr>
                <w:rFonts w:hint="eastAsia" w:eastAsia="宋体"/>
                <w:color w:val="auto"/>
              </w:rPr>
            </w:pPr>
            <w:r>
              <w:rPr>
                <w:rFonts w:hint="eastAsia" w:eastAsia="宋体"/>
                <w:color w:val="auto"/>
                <w:lang w:val="en-US" w:eastAsia="zh-CN"/>
              </w:rPr>
              <w:t>春晖社区</w:t>
            </w:r>
          </w:p>
        </w:tc>
        <w:tc>
          <w:tcPr>
            <w:tcW w:w="1115" w:type="dxa"/>
            <w:gridSpan w:val="2"/>
            <w:vAlign w:val="bottom"/>
          </w:tcPr>
          <w:p w14:paraId="0D2B2835">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FE379C5">
            <w:pPr>
              <w:pStyle w:val="101"/>
              <w:jc w:val="center"/>
              <w:rPr>
                <w:rFonts w:hint="eastAsia" w:eastAsia="宋体"/>
                <w:color w:val="auto"/>
              </w:rPr>
            </w:pPr>
            <w:r>
              <w:rPr>
                <w:rFonts w:hint="eastAsia" w:eastAsia="宋体"/>
                <w:color w:val="auto"/>
                <w:lang w:val="en-US" w:eastAsia="zh-CN"/>
              </w:rPr>
              <w:t>1600</w:t>
            </w:r>
          </w:p>
        </w:tc>
        <w:tc>
          <w:tcPr>
            <w:tcW w:w="729" w:type="pct"/>
            <w:gridSpan w:val="2"/>
            <w:vAlign w:val="center"/>
          </w:tcPr>
          <w:p w14:paraId="7F09C878">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0AC6A1B7">
            <w:pPr>
              <w:pStyle w:val="101"/>
              <w:jc w:val="center"/>
              <w:rPr>
                <w:rFonts w:hint="eastAsia" w:eastAsia="宋体"/>
                <w:color w:val="auto"/>
              </w:rPr>
            </w:pPr>
            <w:r>
              <w:rPr>
                <w:rFonts w:hint="eastAsia" w:eastAsia="宋体"/>
                <w:color w:val="auto"/>
                <w:lang w:val="en-US" w:eastAsia="zh-CN"/>
              </w:rPr>
              <w:t>4000</w:t>
            </w:r>
          </w:p>
        </w:tc>
      </w:tr>
      <w:tr w14:paraId="6364045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4979AA4">
            <w:pPr>
              <w:pStyle w:val="101"/>
              <w:jc w:val="center"/>
              <w:rPr>
                <w:color w:val="auto"/>
              </w:rPr>
            </w:pPr>
          </w:p>
        </w:tc>
        <w:tc>
          <w:tcPr>
            <w:tcW w:w="390" w:type="pct"/>
            <w:vAlign w:val="center"/>
          </w:tcPr>
          <w:p w14:paraId="4311DD6E">
            <w:pPr>
              <w:pStyle w:val="101"/>
              <w:jc w:val="center"/>
              <w:rPr>
                <w:rFonts w:hint="eastAsia" w:eastAsia="宋体"/>
                <w:color w:val="auto"/>
              </w:rPr>
            </w:pPr>
            <w:r>
              <w:rPr>
                <w:rFonts w:hint="eastAsia" w:eastAsia="宋体"/>
                <w:color w:val="auto"/>
                <w:lang w:val="en-US" w:eastAsia="zh-CN"/>
              </w:rPr>
              <w:t>39</w:t>
            </w:r>
          </w:p>
        </w:tc>
        <w:tc>
          <w:tcPr>
            <w:tcW w:w="1713" w:type="pct"/>
            <w:vAlign w:val="center"/>
          </w:tcPr>
          <w:p w14:paraId="5D78461A">
            <w:pPr>
              <w:pStyle w:val="101"/>
              <w:jc w:val="center"/>
              <w:rPr>
                <w:rFonts w:hint="eastAsia" w:eastAsia="宋体"/>
                <w:color w:val="auto"/>
              </w:rPr>
            </w:pPr>
            <w:r>
              <w:rPr>
                <w:rFonts w:hint="eastAsia" w:eastAsia="宋体"/>
                <w:color w:val="auto"/>
                <w:lang w:val="en-US" w:eastAsia="zh-CN"/>
              </w:rPr>
              <w:t>福临新居廉租区</w:t>
            </w:r>
          </w:p>
        </w:tc>
        <w:tc>
          <w:tcPr>
            <w:tcW w:w="1115" w:type="dxa"/>
            <w:gridSpan w:val="2"/>
            <w:vAlign w:val="bottom"/>
          </w:tcPr>
          <w:p w14:paraId="27197CB0">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536FAD71">
            <w:pPr>
              <w:pStyle w:val="101"/>
              <w:jc w:val="center"/>
              <w:rPr>
                <w:rFonts w:hint="eastAsia" w:eastAsia="宋体"/>
                <w:color w:val="auto"/>
              </w:rPr>
            </w:pPr>
            <w:r>
              <w:rPr>
                <w:rFonts w:hint="eastAsia" w:eastAsia="宋体"/>
                <w:color w:val="auto"/>
                <w:lang w:val="en-US" w:eastAsia="zh-CN"/>
              </w:rPr>
              <w:t>1625</w:t>
            </w:r>
          </w:p>
        </w:tc>
        <w:tc>
          <w:tcPr>
            <w:tcW w:w="729" w:type="pct"/>
            <w:gridSpan w:val="2"/>
            <w:vAlign w:val="center"/>
          </w:tcPr>
          <w:p w14:paraId="227AE4FA">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5A9FD15E">
            <w:pPr>
              <w:pStyle w:val="101"/>
              <w:jc w:val="center"/>
              <w:rPr>
                <w:rFonts w:hint="eastAsia" w:eastAsia="宋体"/>
                <w:color w:val="auto"/>
              </w:rPr>
            </w:pPr>
            <w:r>
              <w:rPr>
                <w:rFonts w:hint="eastAsia" w:eastAsia="宋体"/>
                <w:color w:val="auto"/>
                <w:lang w:val="en-US" w:eastAsia="zh-CN"/>
              </w:rPr>
              <w:t>6000</w:t>
            </w:r>
          </w:p>
        </w:tc>
      </w:tr>
      <w:tr w14:paraId="504E758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EA4B6C8">
            <w:pPr>
              <w:pStyle w:val="101"/>
              <w:jc w:val="center"/>
              <w:rPr>
                <w:color w:val="auto"/>
              </w:rPr>
            </w:pPr>
          </w:p>
        </w:tc>
        <w:tc>
          <w:tcPr>
            <w:tcW w:w="390" w:type="pct"/>
            <w:vAlign w:val="center"/>
          </w:tcPr>
          <w:p w14:paraId="610A288F">
            <w:pPr>
              <w:pStyle w:val="101"/>
              <w:jc w:val="center"/>
              <w:rPr>
                <w:rFonts w:hint="eastAsia" w:eastAsia="宋体"/>
                <w:color w:val="auto"/>
              </w:rPr>
            </w:pPr>
            <w:r>
              <w:rPr>
                <w:rFonts w:hint="eastAsia" w:eastAsia="宋体"/>
                <w:color w:val="auto"/>
                <w:lang w:val="en-US" w:eastAsia="zh-CN"/>
              </w:rPr>
              <w:t>40</w:t>
            </w:r>
          </w:p>
        </w:tc>
        <w:tc>
          <w:tcPr>
            <w:tcW w:w="1713" w:type="pct"/>
            <w:vAlign w:val="center"/>
          </w:tcPr>
          <w:p w14:paraId="0EC0D607">
            <w:pPr>
              <w:pStyle w:val="101"/>
              <w:jc w:val="center"/>
              <w:rPr>
                <w:rFonts w:hint="eastAsia" w:eastAsia="宋体"/>
                <w:color w:val="auto"/>
              </w:rPr>
            </w:pPr>
            <w:r>
              <w:rPr>
                <w:rFonts w:hint="eastAsia" w:eastAsia="宋体"/>
                <w:color w:val="auto"/>
                <w:lang w:val="en-US" w:eastAsia="zh-CN"/>
              </w:rPr>
              <w:t>鹤岗市第二十一中学</w:t>
            </w:r>
          </w:p>
        </w:tc>
        <w:tc>
          <w:tcPr>
            <w:tcW w:w="1115" w:type="dxa"/>
            <w:gridSpan w:val="2"/>
            <w:vAlign w:val="bottom"/>
          </w:tcPr>
          <w:p w14:paraId="7783C8E7">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CA3F42B">
            <w:pPr>
              <w:pStyle w:val="101"/>
              <w:jc w:val="center"/>
              <w:rPr>
                <w:rFonts w:hint="eastAsia" w:eastAsia="宋体"/>
                <w:color w:val="auto"/>
              </w:rPr>
            </w:pPr>
            <w:r>
              <w:rPr>
                <w:rFonts w:hint="eastAsia" w:eastAsia="宋体"/>
                <w:color w:val="auto"/>
                <w:lang w:val="en-US" w:eastAsia="zh-CN"/>
              </w:rPr>
              <w:t>1635</w:t>
            </w:r>
          </w:p>
        </w:tc>
        <w:tc>
          <w:tcPr>
            <w:tcW w:w="729" w:type="pct"/>
            <w:gridSpan w:val="2"/>
            <w:vAlign w:val="center"/>
          </w:tcPr>
          <w:p w14:paraId="135663D8">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14170783">
            <w:pPr>
              <w:pStyle w:val="101"/>
              <w:jc w:val="center"/>
              <w:rPr>
                <w:rFonts w:hint="eastAsia" w:eastAsia="宋体"/>
                <w:color w:val="auto"/>
              </w:rPr>
            </w:pPr>
            <w:r>
              <w:rPr>
                <w:rFonts w:hint="eastAsia" w:eastAsia="宋体"/>
                <w:color w:val="auto"/>
                <w:lang w:val="en-US" w:eastAsia="zh-CN"/>
              </w:rPr>
              <w:t>700</w:t>
            </w:r>
          </w:p>
        </w:tc>
      </w:tr>
      <w:tr w14:paraId="68647D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9BB91B6">
            <w:pPr>
              <w:pStyle w:val="101"/>
              <w:jc w:val="center"/>
              <w:rPr>
                <w:color w:val="auto"/>
              </w:rPr>
            </w:pPr>
          </w:p>
        </w:tc>
        <w:tc>
          <w:tcPr>
            <w:tcW w:w="390" w:type="pct"/>
            <w:vAlign w:val="center"/>
          </w:tcPr>
          <w:p w14:paraId="4EC37971">
            <w:pPr>
              <w:pStyle w:val="101"/>
              <w:jc w:val="center"/>
              <w:rPr>
                <w:rFonts w:hint="eastAsia" w:eastAsia="宋体"/>
                <w:color w:val="auto"/>
              </w:rPr>
            </w:pPr>
            <w:r>
              <w:rPr>
                <w:rFonts w:hint="eastAsia" w:eastAsia="宋体"/>
                <w:color w:val="auto"/>
                <w:lang w:val="en-US" w:eastAsia="zh-CN"/>
              </w:rPr>
              <w:t>41</w:t>
            </w:r>
          </w:p>
        </w:tc>
        <w:tc>
          <w:tcPr>
            <w:tcW w:w="1713" w:type="pct"/>
            <w:vAlign w:val="center"/>
          </w:tcPr>
          <w:p w14:paraId="5423F7CA">
            <w:pPr>
              <w:pStyle w:val="101"/>
              <w:jc w:val="center"/>
              <w:rPr>
                <w:rFonts w:hint="eastAsia" w:eastAsia="宋体"/>
                <w:color w:val="auto"/>
              </w:rPr>
            </w:pPr>
            <w:r>
              <w:rPr>
                <w:rFonts w:hint="eastAsia" w:eastAsia="宋体"/>
                <w:color w:val="auto"/>
                <w:lang w:val="en-US" w:eastAsia="zh-CN"/>
              </w:rPr>
              <w:t>鹤岗市大陆小学</w:t>
            </w:r>
          </w:p>
        </w:tc>
        <w:tc>
          <w:tcPr>
            <w:tcW w:w="1115" w:type="dxa"/>
            <w:gridSpan w:val="2"/>
            <w:vAlign w:val="bottom"/>
          </w:tcPr>
          <w:p w14:paraId="1B32BBD9">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00BE49FA">
            <w:pPr>
              <w:pStyle w:val="101"/>
              <w:jc w:val="center"/>
              <w:rPr>
                <w:rFonts w:hint="eastAsia" w:eastAsia="宋体"/>
                <w:color w:val="auto"/>
              </w:rPr>
            </w:pPr>
            <w:r>
              <w:rPr>
                <w:rFonts w:hint="eastAsia" w:eastAsia="宋体"/>
                <w:color w:val="auto"/>
                <w:lang w:val="en-US" w:eastAsia="zh-CN"/>
              </w:rPr>
              <w:t>1640</w:t>
            </w:r>
          </w:p>
        </w:tc>
        <w:tc>
          <w:tcPr>
            <w:tcW w:w="729" w:type="pct"/>
            <w:gridSpan w:val="2"/>
            <w:vAlign w:val="center"/>
          </w:tcPr>
          <w:p w14:paraId="16DB0A9F">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71D99439">
            <w:pPr>
              <w:pStyle w:val="101"/>
              <w:jc w:val="center"/>
              <w:rPr>
                <w:rFonts w:hint="eastAsia" w:eastAsia="宋体"/>
                <w:color w:val="auto"/>
              </w:rPr>
            </w:pPr>
            <w:r>
              <w:rPr>
                <w:rFonts w:hint="eastAsia" w:eastAsia="宋体"/>
                <w:color w:val="auto"/>
                <w:lang w:val="en-US" w:eastAsia="zh-CN"/>
              </w:rPr>
              <w:t>500</w:t>
            </w:r>
          </w:p>
        </w:tc>
      </w:tr>
      <w:tr w14:paraId="3A25D3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1210769">
            <w:pPr>
              <w:pStyle w:val="101"/>
              <w:jc w:val="center"/>
              <w:rPr>
                <w:color w:val="auto"/>
              </w:rPr>
            </w:pPr>
          </w:p>
        </w:tc>
        <w:tc>
          <w:tcPr>
            <w:tcW w:w="390" w:type="pct"/>
            <w:vAlign w:val="center"/>
          </w:tcPr>
          <w:p w14:paraId="404D4186">
            <w:pPr>
              <w:pStyle w:val="101"/>
              <w:jc w:val="center"/>
              <w:rPr>
                <w:rFonts w:hint="eastAsia" w:eastAsia="宋体"/>
                <w:color w:val="auto"/>
              </w:rPr>
            </w:pPr>
            <w:r>
              <w:rPr>
                <w:rFonts w:hint="eastAsia" w:eastAsia="宋体"/>
                <w:color w:val="auto"/>
                <w:lang w:val="en-US" w:eastAsia="zh-CN"/>
              </w:rPr>
              <w:t>42</w:t>
            </w:r>
          </w:p>
        </w:tc>
        <w:tc>
          <w:tcPr>
            <w:tcW w:w="1713" w:type="pct"/>
            <w:vAlign w:val="center"/>
          </w:tcPr>
          <w:p w14:paraId="23774DF8">
            <w:pPr>
              <w:pStyle w:val="101"/>
              <w:jc w:val="center"/>
              <w:rPr>
                <w:rFonts w:hint="eastAsia" w:eastAsia="宋体"/>
                <w:color w:val="auto"/>
              </w:rPr>
            </w:pPr>
            <w:r>
              <w:rPr>
                <w:rFonts w:hint="eastAsia" w:eastAsia="宋体"/>
                <w:color w:val="auto"/>
                <w:lang w:val="en-US" w:eastAsia="zh-CN"/>
              </w:rPr>
              <w:t>鹤岗市政府人民办事中心</w:t>
            </w:r>
          </w:p>
        </w:tc>
        <w:tc>
          <w:tcPr>
            <w:tcW w:w="1115" w:type="dxa"/>
            <w:gridSpan w:val="2"/>
            <w:vAlign w:val="bottom"/>
          </w:tcPr>
          <w:p w14:paraId="36597ACB">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74B58867">
            <w:pPr>
              <w:pStyle w:val="101"/>
              <w:jc w:val="center"/>
              <w:rPr>
                <w:rFonts w:hint="eastAsia" w:eastAsia="宋体"/>
                <w:color w:val="auto"/>
              </w:rPr>
            </w:pPr>
            <w:r>
              <w:rPr>
                <w:rFonts w:hint="eastAsia" w:eastAsia="宋体"/>
                <w:color w:val="auto"/>
                <w:lang w:val="en-US" w:eastAsia="zh-CN"/>
              </w:rPr>
              <w:t>1660</w:t>
            </w:r>
          </w:p>
        </w:tc>
        <w:tc>
          <w:tcPr>
            <w:tcW w:w="729" w:type="pct"/>
            <w:gridSpan w:val="2"/>
            <w:vAlign w:val="center"/>
          </w:tcPr>
          <w:p w14:paraId="5494A4C9">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76DDDC93">
            <w:pPr>
              <w:pStyle w:val="101"/>
              <w:jc w:val="center"/>
              <w:rPr>
                <w:rFonts w:hint="eastAsia" w:eastAsia="宋体"/>
                <w:color w:val="auto"/>
              </w:rPr>
            </w:pPr>
            <w:r>
              <w:rPr>
                <w:rFonts w:hint="eastAsia" w:eastAsia="宋体"/>
                <w:color w:val="auto"/>
                <w:lang w:val="en-US" w:eastAsia="zh-CN"/>
              </w:rPr>
              <w:t>48</w:t>
            </w:r>
          </w:p>
        </w:tc>
      </w:tr>
      <w:tr w14:paraId="29E87D0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E59A129">
            <w:pPr>
              <w:pStyle w:val="101"/>
              <w:jc w:val="center"/>
              <w:rPr>
                <w:color w:val="auto"/>
              </w:rPr>
            </w:pPr>
          </w:p>
        </w:tc>
        <w:tc>
          <w:tcPr>
            <w:tcW w:w="390" w:type="pct"/>
            <w:vAlign w:val="center"/>
          </w:tcPr>
          <w:p w14:paraId="2E25CA35">
            <w:pPr>
              <w:pStyle w:val="101"/>
              <w:jc w:val="center"/>
              <w:rPr>
                <w:rFonts w:hint="eastAsia" w:eastAsia="宋体"/>
                <w:color w:val="auto"/>
              </w:rPr>
            </w:pPr>
            <w:r>
              <w:rPr>
                <w:rFonts w:hint="eastAsia" w:eastAsia="宋体"/>
                <w:color w:val="auto"/>
                <w:lang w:val="en-US" w:eastAsia="zh-CN"/>
              </w:rPr>
              <w:t>43</w:t>
            </w:r>
          </w:p>
        </w:tc>
        <w:tc>
          <w:tcPr>
            <w:tcW w:w="1713" w:type="pct"/>
            <w:vAlign w:val="center"/>
          </w:tcPr>
          <w:p w14:paraId="56A4F49E">
            <w:pPr>
              <w:pStyle w:val="101"/>
              <w:jc w:val="center"/>
              <w:rPr>
                <w:rFonts w:hint="eastAsia" w:eastAsia="宋体"/>
                <w:color w:val="auto"/>
              </w:rPr>
            </w:pPr>
            <w:r>
              <w:rPr>
                <w:rFonts w:hint="eastAsia" w:eastAsia="宋体"/>
                <w:color w:val="auto"/>
                <w:lang w:val="en-US" w:eastAsia="zh-CN"/>
              </w:rPr>
              <w:t>鹤岗市中级人民法院</w:t>
            </w:r>
          </w:p>
        </w:tc>
        <w:tc>
          <w:tcPr>
            <w:tcW w:w="1115" w:type="dxa"/>
            <w:gridSpan w:val="2"/>
            <w:vAlign w:val="bottom"/>
          </w:tcPr>
          <w:p w14:paraId="726E6795">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522F20D9">
            <w:pPr>
              <w:pStyle w:val="101"/>
              <w:jc w:val="center"/>
              <w:rPr>
                <w:rFonts w:hint="eastAsia" w:eastAsia="宋体"/>
                <w:color w:val="auto"/>
              </w:rPr>
            </w:pPr>
            <w:r>
              <w:rPr>
                <w:rFonts w:hint="eastAsia" w:eastAsia="宋体"/>
                <w:color w:val="auto"/>
                <w:lang w:val="en-US" w:eastAsia="zh-CN"/>
              </w:rPr>
              <w:t>1670</w:t>
            </w:r>
          </w:p>
        </w:tc>
        <w:tc>
          <w:tcPr>
            <w:tcW w:w="729" w:type="pct"/>
            <w:gridSpan w:val="2"/>
            <w:vAlign w:val="center"/>
          </w:tcPr>
          <w:p w14:paraId="63C1B2CD">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AFE73D1">
            <w:pPr>
              <w:pStyle w:val="101"/>
              <w:jc w:val="center"/>
              <w:rPr>
                <w:rFonts w:hint="eastAsia" w:eastAsia="宋体"/>
                <w:color w:val="auto"/>
              </w:rPr>
            </w:pPr>
            <w:r>
              <w:rPr>
                <w:rFonts w:hint="eastAsia" w:eastAsia="宋体"/>
                <w:color w:val="auto"/>
                <w:lang w:val="en-US" w:eastAsia="zh-CN"/>
              </w:rPr>
              <w:t>100</w:t>
            </w:r>
          </w:p>
        </w:tc>
      </w:tr>
      <w:tr w14:paraId="125FB7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7257939">
            <w:pPr>
              <w:pStyle w:val="101"/>
              <w:jc w:val="center"/>
              <w:rPr>
                <w:color w:val="auto"/>
              </w:rPr>
            </w:pPr>
          </w:p>
        </w:tc>
        <w:tc>
          <w:tcPr>
            <w:tcW w:w="390" w:type="pct"/>
            <w:vAlign w:val="center"/>
          </w:tcPr>
          <w:p w14:paraId="2A374118">
            <w:pPr>
              <w:pStyle w:val="101"/>
              <w:jc w:val="center"/>
              <w:rPr>
                <w:rFonts w:hint="eastAsia" w:eastAsia="宋体"/>
                <w:color w:val="auto"/>
              </w:rPr>
            </w:pPr>
            <w:r>
              <w:rPr>
                <w:rFonts w:hint="eastAsia" w:eastAsia="宋体"/>
                <w:color w:val="auto"/>
                <w:lang w:val="en-US" w:eastAsia="zh-CN"/>
              </w:rPr>
              <w:t>44</w:t>
            </w:r>
          </w:p>
        </w:tc>
        <w:tc>
          <w:tcPr>
            <w:tcW w:w="1713" w:type="pct"/>
            <w:vAlign w:val="center"/>
          </w:tcPr>
          <w:p w14:paraId="6B0343B3">
            <w:pPr>
              <w:pStyle w:val="101"/>
              <w:jc w:val="center"/>
              <w:rPr>
                <w:rFonts w:hint="eastAsia" w:eastAsia="宋体"/>
                <w:color w:val="auto"/>
              </w:rPr>
            </w:pPr>
            <w:r>
              <w:rPr>
                <w:rFonts w:hint="eastAsia" w:eastAsia="宋体"/>
                <w:color w:val="auto"/>
                <w:lang w:val="en-US" w:eastAsia="zh-CN"/>
              </w:rPr>
              <w:t>德政小区</w:t>
            </w:r>
          </w:p>
        </w:tc>
        <w:tc>
          <w:tcPr>
            <w:tcW w:w="1115" w:type="dxa"/>
            <w:gridSpan w:val="2"/>
            <w:vAlign w:val="bottom"/>
          </w:tcPr>
          <w:p w14:paraId="3D874C6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2F92A486">
            <w:pPr>
              <w:pStyle w:val="101"/>
              <w:jc w:val="center"/>
              <w:rPr>
                <w:rFonts w:hint="eastAsia" w:eastAsia="宋体"/>
                <w:color w:val="auto"/>
              </w:rPr>
            </w:pPr>
            <w:r>
              <w:rPr>
                <w:rFonts w:hint="eastAsia" w:eastAsia="宋体"/>
                <w:color w:val="auto"/>
                <w:lang w:val="en-US" w:eastAsia="zh-CN"/>
              </w:rPr>
              <w:t>1675</w:t>
            </w:r>
          </w:p>
        </w:tc>
        <w:tc>
          <w:tcPr>
            <w:tcW w:w="729" w:type="pct"/>
            <w:gridSpan w:val="2"/>
            <w:vAlign w:val="center"/>
          </w:tcPr>
          <w:p w14:paraId="018BB06A">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14694153">
            <w:pPr>
              <w:pStyle w:val="101"/>
              <w:jc w:val="center"/>
              <w:rPr>
                <w:rFonts w:hint="eastAsia" w:eastAsia="宋体"/>
                <w:color w:val="auto"/>
              </w:rPr>
            </w:pPr>
            <w:r>
              <w:rPr>
                <w:rFonts w:hint="eastAsia" w:eastAsia="宋体"/>
                <w:color w:val="auto"/>
                <w:lang w:val="en-US" w:eastAsia="zh-CN"/>
              </w:rPr>
              <w:t>450</w:t>
            </w:r>
          </w:p>
        </w:tc>
      </w:tr>
      <w:tr w14:paraId="174D720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521313B">
            <w:pPr>
              <w:pStyle w:val="101"/>
              <w:jc w:val="center"/>
              <w:rPr>
                <w:color w:val="auto"/>
              </w:rPr>
            </w:pPr>
          </w:p>
        </w:tc>
        <w:tc>
          <w:tcPr>
            <w:tcW w:w="390" w:type="pct"/>
            <w:vAlign w:val="center"/>
          </w:tcPr>
          <w:p w14:paraId="2B258773">
            <w:pPr>
              <w:pStyle w:val="101"/>
              <w:jc w:val="center"/>
              <w:rPr>
                <w:rFonts w:hint="eastAsia" w:eastAsia="宋体"/>
                <w:color w:val="auto"/>
              </w:rPr>
            </w:pPr>
            <w:r>
              <w:rPr>
                <w:rFonts w:hint="eastAsia" w:eastAsia="宋体"/>
                <w:color w:val="auto"/>
                <w:lang w:val="en-US" w:eastAsia="zh-CN"/>
              </w:rPr>
              <w:t>45</w:t>
            </w:r>
          </w:p>
        </w:tc>
        <w:tc>
          <w:tcPr>
            <w:tcW w:w="1713" w:type="pct"/>
            <w:vAlign w:val="center"/>
          </w:tcPr>
          <w:p w14:paraId="46852D39">
            <w:pPr>
              <w:pStyle w:val="101"/>
              <w:jc w:val="center"/>
              <w:rPr>
                <w:rFonts w:hint="eastAsia" w:eastAsia="宋体"/>
                <w:color w:val="auto"/>
              </w:rPr>
            </w:pPr>
            <w:r>
              <w:rPr>
                <w:rFonts w:hint="eastAsia" w:eastAsia="宋体"/>
                <w:color w:val="auto"/>
                <w:lang w:val="en-US" w:eastAsia="zh-CN"/>
              </w:rPr>
              <w:t>鹤岗市民政局</w:t>
            </w:r>
          </w:p>
        </w:tc>
        <w:tc>
          <w:tcPr>
            <w:tcW w:w="1115" w:type="dxa"/>
            <w:gridSpan w:val="2"/>
            <w:vAlign w:val="bottom"/>
          </w:tcPr>
          <w:p w14:paraId="171106D8">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7C4E710">
            <w:pPr>
              <w:pStyle w:val="101"/>
              <w:jc w:val="center"/>
              <w:rPr>
                <w:rFonts w:hint="eastAsia" w:eastAsia="宋体"/>
                <w:color w:val="auto"/>
              </w:rPr>
            </w:pPr>
            <w:r>
              <w:rPr>
                <w:rFonts w:hint="eastAsia" w:eastAsia="宋体"/>
                <w:color w:val="auto"/>
                <w:lang w:val="en-US" w:eastAsia="zh-CN"/>
              </w:rPr>
              <w:t>1690</w:t>
            </w:r>
          </w:p>
        </w:tc>
        <w:tc>
          <w:tcPr>
            <w:tcW w:w="729" w:type="pct"/>
            <w:gridSpan w:val="2"/>
            <w:vAlign w:val="center"/>
          </w:tcPr>
          <w:p w14:paraId="6B37206F">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870AE56">
            <w:pPr>
              <w:pStyle w:val="101"/>
              <w:jc w:val="center"/>
              <w:rPr>
                <w:rFonts w:hint="eastAsia" w:eastAsia="宋体"/>
                <w:color w:val="auto"/>
              </w:rPr>
            </w:pPr>
            <w:r>
              <w:rPr>
                <w:rFonts w:hint="eastAsia" w:eastAsia="宋体"/>
                <w:color w:val="auto"/>
                <w:lang w:val="en-US" w:eastAsia="zh-CN"/>
              </w:rPr>
              <w:t>60</w:t>
            </w:r>
          </w:p>
        </w:tc>
      </w:tr>
      <w:tr w14:paraId="4C265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78D9F9D">
            <w:pPr>
              <w:pStyle w:val="101"/>
              <w:jc w:val="center"/>
              <w:rPr>
                <w:color w:val="auto"/>
              </w:rPr>
            </w:pPr>
          </w:p>
        </w:tc>
        <w:tc>
          <w:tcPr>
            <w:tcW w:w="390" w:type="pct"/>
            <w:vAlign w:val="center"/>
          </w:tcPr>
          <w:p w14:paraId="5B908F1C">
            <w:pPr>
              <w:pStyle w:val="101"/>
              <w:jc w:val="center"/>
              <w:rPr>
                <w:rFonts w:hint="eastAsia" w:eastAsia="宋体"/>
                <w:color w:val="auto"/>
              </w:rPr>
            </w:pPr>
            <w:r>
              <w:rPr>
                <w:rFonts w:hint="eastAsia" w:eastAsia="宋体"/>
                <w:color w:val="auto"/>
                <w:lang w:val="en-US" w:eastAsia="zh-CN"/>
              </w:rPr>
              <w:t>46</w:t>
            </w:r>
          </w:p>
        </w:tc>
        <w:tc>
          <w:tcPr>
            <w:tcW w:w="1713" w:type="pct"/>
            <w:vAlign w:val="center"/>
          </w:tcPr>
          <w:p w14:paraId="24CEA23A">
            <w:pPr>
              <w:pStyle w:val="101"/>
              <w:jc w:val="center"/>
              <w:rPr>
                <w:rFonts w:hint="eastAsia" w:eastAsia="宋体"/>
                <w:color w:val="auto"/>
              </w:rPr>
            </w:pPr>
            <w:r>
              <w:rPr>
                <w:rFonts w:hint="eastAsia" w:eastAsia="宋体"/>
                <w:color w:val="auto"/>
                <w:lang w:val="en-US" w:eastAsia="zh-CN"/>
              </w:rPr>
              <w:t>鹤岗十九中</w:t>
            </w:r>
          </w:p>
        </w:tc>
        <w:tc>
          <w:tcPr>
            <w:tcW w:w="1115" w:type="dxa"/>
            <w:gridSpan w:val="2"/>
            <w:vAlign w:val="bottom"/>
          </w:tcPr>
          <w:p w14:paraId="1B4D2BB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CC45944">
            <w:pPr>
              <w:pStyle w:val="101"/>
              <w:jc w:val="center"/>
              <w:rPr>
                <w:rFonts w:hint="eastAsia" w:eastAsia="宋体"/>
                <w:color w:val="auto"/>
              </w:rPr>
            </w:pPr>
            <w:r>
              <w:rPr>
                <w:rFonts w:hint="eastAsia" w:eastAsia="宋体"/>
                <w:color w:val="auto"/>
                <w:lang w:val="en-US" w:eastAsia="zh-CN"/>
              </w:rPr>
              <w:t>1690</w:t>
            </w:r>
          </w:p>
        </w:tc>
        <w:tc>
          <w:tcPr>
            <w:tcW w:w="729" w:type="pct"/>
            <w:gridSpan w:val="2"/>
            <w:vAlign w:val="center"/>
          </w:tcPr>
          <w:p w14:paraId="3011CB50">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53B4A2BB">
            <w:pPr>
              <w:pStyle w:val="101"/>
              <w:jc w:val="center"/>
              <w:rPr>
                <w:rFonts w:hint="eastAsia" w:eastAsia="宋体"/>
                <w:color w:val="auto"/>
              </w:rPr>
            </w:pPr>
            <w:r>
              <w:rPr>
                <w:rFonts w:hint="eastAsia" w:eastAsia="宋体"/>
                <w:color w:val="auto"/>
                <w:lang w:val="en-US" w:eastAsia="zh-CN"/>
              </w:rPr>
              <w:t>800</w:t>
            </w:r>
          </w:p>
        </w:tc>
      </w:tr>
      <w:tr w14:paraId="17365A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6A5D361">
            <w:pPr>
              <w:pStyle w:val="101"/>
              <w:jc w:val="center"/>
              <w:rPr>
                <w:color w:val="auto"/>
              </w:rPr>
            </w:pPr>
          </w:p>
        </w:tc>
        <w:tc>
          <w:tcPr>
            <w:tcW w:w="390" w:type="pct"/>
            <w:vAlign w:val="center"/>
          </w:tcPr>
          <w:p w14:paraId="55DCC247">
            <w:pPr>
              <w:pStyle w:val="101"/>
              <w:jc w:val="center"/>
              <w:rPr>
                <w:rFonts w:hint="eastAsia" w:eastAsia="宋体"/>
                <w:color w:val="auto"/>
              </w:rPr>
            </w:pPr>
            <w:r>
              <w:rPr>
                <w:rFonts w:hint="eastAsia" w:eastAsia="宋体"/>
                <w:color w:val="auto"/>
                <w:lang w:val="en-US" w:eastAsia="zh-CN"/>
              </w:rPr>
              <w:t>47</w:t>
            </w:r>
          </w:p>
        </w:tc>
        <w:tc>
          <w:tcPr>
            <w:tcW w:w="1713" w:type="pct"/>
            <w:vAlign w:val="center"/>
          </w:tcPr>
          <w:p w14:paraId="753E8634">
            <w:pPr>
              <w:pStyle w:val="101"/>
              <w:jc w:val="center"/>
              <w:rPr>
                <w:rFonts w:hint="eastAsia" w:eastAsia="宋体"/>
                <w:color w:val="auto"/>
              </w:rPr>
            </w:pPr>
            <w:r>
              <w:rPr>
                <w:rFonts w:hint="eastAsia" w:eastAsia="宋体"/>
                <w:color w:val="auto"/>
                <w:lang w:val="en-US" w:eastAsia="zh-CN"/>
              </w:rPr>
              <w:t>城开叠翠名苑</w:t>
            </w:r>
          </w:p>
        </w:tc>
        <w:tc>
          <w:tcPr>
            <w:tcW w:w="1115" w:type="dxa"/>
            <w:gridSpan w:val="2"/>
            <w:vAlign w:val="bottom"/>
          </w:tcPr>
          <w:p w14:paraId="6730453B">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2D34F07">
            <w:pPr>
              <w:pStyle w:val="101"/>
              <w:jc w:val="center"/>
              <w:rPr>
                <w:rFonts w:hint="eastAsia" w:eastAsia="宋体"/>
                <w:color w:val="auto"/>
              </w:rPr>
            </w:pPr>
            <w:r>
              <w:rPr>
                <w:rFonts w:hint="eastAsia" w:eastAsia="宋体"/>
                <w:color w:val="auto"/>
                <w:lang w:val="en-US" w:eastAsia="zh-CN"/>
              </w:rPr>
              <w:t>1700</w:t>
            </w:r>
          </w:p>
        </w:tc>
        <w:tc>
          <w:tcPr>
            <w:tcW w:w="729" w:type="pct"/>
            <w:gridSpan w:val="2"/>
            <w:vAlign w:val="center"/>
          </w:tcPr>
          <w:p w14:paraId="318ED45D">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46197232">
            <w:pPr>
              <w:pStyle w:val="101"/>
              <w:jc w:val="center"/>
              <w:rPr>
                <w:rFonts w:hint="eastAsia" w:eastAsia="宋体"/>
                <w:color w:val="auto"/>
              </w:rPr>
            </w:pPr>
            <w:r>
              <w:rPr>
                <w:rFonts w:hint="eastAsia" w:eastAsia="宋体"/>
                <w:color w:val="auto"/>
                <w:lang w:val="en-US" w:eastAsia="zh-CN"/>
              </w:rPr>
              <w:t>9000</w:t>
            </w:r>
          </w:p>
        </w:tc>
      </w:tr>
      <w:tr w14:paraId="290D25D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E164277">
            <w:pPr>
              <w:pStyle w:val="101"/>
              <w:jc w:val="center"/>
              <w:rPr>
                <w:color w:val="auto"/>
              </w:rPr>
            </w:pPr>
          </w:p>
        </w:tc>
        <w:tc>
          <w:tcPr>
            <w:tcW w:w="390" w:type="pct"/>
            <w:vAlign w:val="center"/>
          </w:tcPr>
          <w:p w14:paraId="257C2FD3">
            <w:pPr>
              <w:pStyle w:val="101"/>
              <w:jc w:val="center"/>
              <w:rPr>
                <w:rFonts w:hint="eastAsia" w:eastAsia="宋体"/>
                <w:color w:val="auto"/>
              </w:rPr>
            </w:pPr>
            <w:r>
              <w:rPr>
                <w:rFonts w:hint="eastAsia" w:eastAsia="宋体"/>
                <w:color w:val="auto"/>
                <w:lang w:val="en-US" w:eastAsia="zh-CN"/>
              </w:rPr>
              <w:t>48</w:t>
            </w:r>
          </w:p>
        </w:tc>
        <w:tc>
          <w:tcPr>
            <w:tcW w:w="1713" w:type="pct"/>
            <w:vAlign w:val="center"/>
          </w:tcPr>
          <w:p w14:paraId="7F90CD3F">
            <w:pPr>
              <w:pStyle w:val="101"/>
              <w:jc w:val="center"/>
              <w:rPr>
                <w:rFonts w:hint="eastAsia" w:eastAsia="宋体"/>
                <w:color w:val="auto"/>
              </w:rPr>
            </w:pPr>
            <w:r>
              <w:rPr>
                <w:rFonts w:hint="eastAsia" w:eastAsia="宋体"/>
                <w:color w:val="auto"/>
                <w:lang w:val="en-US" w:eastAsia="zh-CN"/>
              </w:rPr>
              <w:t>鹤岗市新北方学校</w:t>
            </w:r>
          </w:p>
        </w:tc>
        <w:tc>
          <w:tcPr>
            <w:tcW w:w="1115" w:type="dxa"/>
            <w:gridSpan w:val="2"/>
            <w:vAlign w:val="bottom"/>
          </w:tcPr>
          <w:p w14:paraId="287E859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4E906385">
            <w:pPr>
              <w:pStyle w:val="101"/>
              <w:jc w:val="center"/>
              <w:rPr>
                <w:rFonts w:hint="eastAsia" w:eastAsia="宋体"/>
                <w:color w:val="auto"/>
              </w:rPr>
            </w:pPr>
            <w:r>
              <w:rPr>
                <w:rFonts w:hint="eastAsia" w:eastAsia="宋体"/>
                <w:color w:val="auto"/>
                <w:lang w:val="en-US" w:eastAsia="zh-CN"/>
              </w:rPr>
              <w:t>1720</w:t>
            </w:r>
          </w:p>
        </w:tc>
        <w:tc>
          <w:tcPr>
            <w:tcW w:w="729" w:type="pct"/>
            <w:gridSpan w:val="2"/>
            <w:vAlign w:val="center"/>
          </w:tcPr>
          <w:p w14:paraId="5D803752">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0F8947A8">
            <w:pPr>
              <w:pStyle w:val="101"/>
              <w:jc w:val="center"/>
              <w:rPr>
                <w:rFonts w:hint="eastAsia" w:eastAsia="宋体"/>
                <w:color w:val="auto"/>
              </w:rPr>
            </w:pPr>
            <w:r>
              <w:rPr>
                <w:rFonts w:hint="eastAsia" w:eastAsia="宋体"/>
                <w:color w:val="auto"/>
                <w:lang w:val="en-US" w:eastAsia="zh-CN"/>
              </w:rPr>
              <w:t>400</w:t>
            </w:r>
          </w:p>
        </w:tc>
      </w:tr>
      <w:tr w14:paraId="052A1A6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DFD900F">
            <w:pPr>
              <w:pStyle w:val="101"/>
              <w:jc w:val="center"/>
              <w:rPr>
                <w:color w:val="auto"/>
              </w:rPr>
            </w:pPr>
          </w:p>
        </w:tc>
        <w:tc>
          <w:tcPr>
            <w:tcW w:w="390" w:type="pct"/>
            <w:vAlign w:val="center"/>
          </w:tcPr>
          <w:p w14:paraId="251D8D8C">
            <w:pPr>
              <w:pStyle w:val="101"/>
              <w:jc w:val="center"/>
              <w:rPr>
                <w:rFonts w:hint="eastAsia" w:eastAsia="宋体"/>
                <w:color w:val="auto"/>
              </w:rPr>
            </w:pPr>
            <w:r>
              <w:rPr>
                <w:rFonts w:hint="eastAsia" w:eastAsia="宋体"/>
                <w:color w:val="auto"/>
                <w:lang w:val="en-US" w:eastAsia="zh-CN"/>
              </w:rPr>
              <w:t>49</w:t>
            </w:r>
          </w:p>
        </w:tc>
        <w:tc>
          <w:tcPr>
            <w:tcW w:w="1713" w:type="pct"/>
            <w:vAlign w:val="center"/>
          </w:tcPr>
          <w:p w14:paraId="181AF5DF">
            <w:pPr>
              <w:pStyle w:val="101"/>
              <w:jc w:val="center"/>
              <w:rPr>
                <w:rFonts w:hint="eastAsia" w:eastAsia="宋体"/>
                <w:color w:val="auto"/>
              </w:rPr>
            </w:pPr>
            <w:r>
              <w:rPr>
                <w:rFonts w:hint="eastAsia" w:eastAsia="宋体"/>
                <w:color w:val="auto"/>
                <w:lang w:val="en-US" w:eastAsia="zh-CN"/>
              </w:rPr>
              <w:t>鹤岗市水运管理处</w:t>
            </w:r>
          </w:p>
        </w:tc>
        <w:tc>
          <w:tcPr>
            <w:tcW w:w="1115" w:type="dxa"/>
            <w:gridSpan w:val="2"/>
            <w:vAlign w:val="bottom"/>
          </w:tcPr>
          <w:p w14:paraId="7667A298">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67F46FF6">
            <w:pPr>
              <w:pStyle w:val="101"/>
              <w:jc w:val="center"/>
              <w:rPr>
                <w:rFonts w:hint="eastAsia" w:eastAsia="宋体"/>
                <w:color w:val="auto"/>
              </w:rPr>
            </w:pPr>
            <w:r>
              <w:rPr>
                <w:rFonts w:hint="eastAsia" w:eastAsia="宋体"/>
                <w:color w:val="auto"/>
                <w:lang w:val="en-US" w:eastAsia="zh-CN"/>
              </w:rPr>
              <w:t>1745</w:t>
            </w:r>
          </w:p>
        </w:tc>
        <w:tc>
          <w:tcPr>
            <w:tcW w:w="729" w:type="pct"/>
            <w:gridSpan w:val="2"/>
            <w:vAlign w:val="center"/>
          </w:tcPr>
          <w:p w14:paraId="2199EE89">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2B3F988B">
            <w:pPr>
              <w:pStyle w:val="101"/>
              <w:jc w:val="center"/>
              <w:rPr>
                <w:rFonts w:hint="eastAsia" w:eastAsia="宋体"/>
                <w:color w:val="auto"/>
              </w:rPr>
            </w:pPr>
            <w:r>
              <w:rPr>
                <w:rFonts w:hint="eastAsia" w:eastAsia="宋体"/>
                <w:color w:val="auto"/>
                <w:lang w:val="en-US" w:eastAsia="zh-CN"/>
              </w:rPr>
              <w:t>50</w:t>
            </w:r>
          </w:p>
        </w:tc>
      </w:tr>
      <w:tr w14:paraId="1D0A709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22C1000">
            <w:pPr>
              <w:pStyle w:val="101"/>
              <w:jc w:val="center"/>
              <w:rPr>
                <w:color w:val="auto"/>
              </w:rPr>
            </w:pPr>
          </w:p>
        </w:tc>
        <w:tc>
          <w:tcPr>
            <w:tcW w:w="390" w:type="pct"/>
            <w:vAlign w:val="center"/>
          </w:tcPr>
          <w:p w14:paraId="5656381B">
            <w:pPr>
              <w:pStyle w:val="101"/>
              <w:jc w:val="center"/>
              <w:rPr>
                <w:rFonts w:hint="eastAsia" w:eastAsia="宋体"/>
                <w:color w:val="auto"/>
              </w:rPr>
            </w:pPr>
            <w:r>
              <w:rPr>
                <w:rFonts w:hint="eastAsia" w:eastAsia="宋体"/>
                <w:color w:val="auto"/>
                <w:lang w:val="en-US" w:eastAsia="zh-CN"/>
              </w:rPr>
              <w:t>50</w:t>
            </w:r>
          </w:p>
        </w:tc>
        <w:tc>
          <w:tcPr>
            <w:tcW w:w="1713" w:type="pct"/>
            <w:vAlign w:val="center"/>
          </w:tcPr>
          <w:p w14:paraId="05EFC73B">
            <w:pPr>
              <w:pStyle w:val="101"/>
              <w:jc w:val="center"/>
              <w:rPr>
                <w:rFonts w:hint="eastAsia" w:eastAsia="宋体"/>
                <w:color w:val="auto"/>
              </w:rPr>
            </w:pPr>
            <w:r>
              <w:rPr>
                <w:rFonts w:hint="eastAsia" w:eastAsia="宋体"/>
                <w:color w:val="auto"/>
                <w:lang w:val="en-US" w:eastAsia="zh-CN"/>
              </w:rPr>
              <w:t>兴建小区</w:t>
            </w:r>
          </w:p>
        </w:tc>
        <w:tc>
          <w:tcPr>
            <w:tcW w:w="1115" w:type="dxa"/>
            <w:gridSpan w:val="2"/>
            <w:vAlign w:val="bottom"/>
          </w:tcPr>
          <w:p w14:paraId="751E7094">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11E652E6">
            <w:pPr>
              <w:pStyle w:val="101"/>
              <w:jc w:val="center"/>
              <w:rPr>
                <w:rFonts w:hint="eastAsia" w:eastAsia="宋体"/>
                <w:color w:val="auto"/>
              </w:rPr>
            </w:pPr>
            <w:r>
              <w:rPr>
                <w:rFonts w:hint="eastAsia" w:eastAsia="宋体"/>
                <w:color w:val="auto"/>
                <w:lang w:val="en-US" w:eastAsia="zh-CN"/>
              </w:rPr>
              <w:t>1755</w:t>
            </w:r>
          </w:p>
        </w:tc>
        <w:tc>
          <w:tcPr>
            <w:tcW w:w="729" w:type="pct"/>
            <w:gridSpan w:val="2"/>
            <w:vAlign w:val="center"/>
          </w:tcPr>
          <w:p w14:paraId="282BF3C2">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091C56AC">
            <w:pPr>
              <w:pStyle w:val="101"/>
              <w:jc w:val="center"/>
              <w:rPr>
                <w:rFonts w:hint="eastAsia" w:eastAsia="宋体"/>
                <w:color w:val="auto"/>
              </w:rPr>
            </w:pPr>
            <w:r>
              <w:rPr>
                <w:rFonts w:hint="eastAsia" w:eastAsia="宋体"/>
                <w:color w:val="auto"/>
                <w:lang w:val="en-US" w:eastAsia="zh-CN"/>
              </w:rPr>
              <w:t>7000</w:t>
            </w:r>
          </w:p>
        </w:tc>
      </w:tr>
      <w:tr w14:paraId="65A21D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10F14AF">
            <w:pPr>
              <w:pStyle w:val="101"/>
              <w:jc w:val="center"/>
              <w:rPr>
                <w:color w:val="auto"/>
              </w:rPr>
            </w:pPr>
          </w:p>
        </w:tc>
        <w:tc>
          <w:tcPr>
            <w:tcW w:w="390" w:type="pct"/>
            <w:vAlign w:val="center"/>
          </w:tcPr>
          <w:p w14:paraId="6D5B57A6">
            <w:pPr>
              <w:pStyle w:val="101"/>
              <w:jc w:val="center"/>
              <w:rPr>
                <w:rFonts w:hint="eastAsia" w:eastAsia="宋体"/>
                <w:color w:val="auto"/>
              </w:rPr>
            </w:pPr>
            <w:r>
              <w:rPr>
                <w:rFonts w:hint="eastAsia" w:eastAsia="宋体"/>
                <w:color w:val="auto"/>
                <w:lang w:val="en-US" w:eastAsia="zh-CN"/>
              </w:rPr>
              <w:t>51</w:t>
            </w:r>
          </w:p>
        </w:tc>
        <w:tc>
          <w:tcPr>
            <w:tcW w:w="1713" w:type="pct"/>
            <w:vAlign w:val="center"/>
          </w:tcPr>
          <w:p w14:paraId="2DF761A2">
            <w:pPr>
              <w:pStyle w:val="101"/>
              <w:jc w:val="center"/>
              <w:rPr>
                <w:rFonts w:hint="eastAsia" w:eastAsia="宋体"/>
                <w:color w:val="auto"/>
              </w:rPr>
            </w:pPr>
            <w:r>
              <w:rPr>
                <w:rFonts w:hint="eastAsia" w:eastAsia="宋体"/>
                <w:color w:val="auto"/>
                <w:lang w:val="en-US" w:eastAsia="zh-CN"/>
              </w:rPr>
              <w:t>鹤岗市城市管理行政执法局</w:t>
            </w:r>
          </w:p>
        </w:tc>
        <w:tc>
          <w:tcPr>
            <w:tcW w:w="1115" w:type="dxa"/>
            <w:gridSpan w:val="2"/>
            <w:vAlign w:val="bottom"/>
          </w:tcPr>
          <w:p w14:paraId="7E84623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78DBC329">
            <w:pPr>
              <w:pStyle w:val="101"/>
              <w:jc w:val="center"/>
              <w:rPr>
                <w:rFonts w:hint="eastAsia" w:eastAsia="宋体"/>
                <w:color w:val="auto"/>
              </w:rPr>
            </w:pPr>
            <w:r>
              <w:rPr>
                <w:rFonts w:hint="eastAsia" w:eastAsia="宋体"/>
                <w:color w:val="auto"/>
                <w:lang w:val="en-US" w:eastAsia="zh-CN"/>
              </w:rPr>
              <w:t>1760</w:t>
            </w:r>
          </w:p>
        </w:tc>
        <w:tc>
          <w:tcPr>
            <w:tcW w:w="729" w:type="pct"/>
            <w:gridSpan w:val="2"/>
            <w:vAlign w:val="center"/>
          </w:tcPr>
          <w:p w14:paraId="5D979A07">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BBB6EB3">
            <w:pPr>
              <w:pStyle w:val="101"/>
              <w:jc w:val="center"/>
              <w:rPr>
                <w:rFonts w:hint="eastAsia" w:eastAsia="宋体"/>
                <w:color w:val="auto"/>
              </w:rPr>
            </w:pPr>
            <w:r>
              <w:rPr>
                <w:rFonts w:hint="eastAsia" w:eastAsia="宋体"/>
                <w:color w:val="auto"/>
                <w:lang w:val="en-US" w:eastAsia="zh-CN"/>
              </w:rPr>
              <w:t>40</w:t>
            </w:r>
          </w:p>
        </w:tc>
      </w:tr>
      <w:tr w14:paraId="2B50EF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8703511">
            <w:pPr>
              <w:pStyle w:val="101"/>
              <w:jc w:val="center"/>
              <w:rPr>
                <w:color w:val="auto"/>
              </w:rPr>
            </w:pPr>
          </w:p>
        </w:tc>
        <w:tc>
          <w:tcPr>
            <w:tcW w:w="390" w:type="pct"/>
            <w:vAlign w:val="center"/>
          </w:tcPr>
          <w:p w14:paraId="3BCCEE2A">
            <w:pPr>
              <w:pStyle w:val="101"/>
              <w:jc w:val="center"/>
              <w:rPr>
                <w:rFonts w:hint="eastAsia" w:eastAsia="宋体"/>
                <w:color w:val="auto"/>
              </w:rPr>
            </w:pPr>
            <w:r>
              <w:rPr>
                <w:rFonts w:hint="eastAsia" w:eastAsia="宋体"/>
                <w:color w:val="auto"/>
                <w:lang w:val="en-US" w:eastAsia="zh-CN"/>
              </w:rPr>
              <w:t>52</w:t>
            </w:r>
          </w:p>
        </w:tc>
        <w:tc>
          <w:tcPr>
            <w:tcW w:w="1713" w:type="pct"/>
            <w:vAlign w:val="center"/>
          </w:tcPr>
          <w:p w14:paraId="4FA02AA1">
            <w:pPr>
              <w:pStyle w:val="101"/>
              <w:jc w:val="center"/>
              <w:rPr>
                <w:rFonts w:hint="eastAsia" w:eastAsia="宋体"/>
                <w:color w:val="auto"/>
              </w:rPr>
            </w:pPr>
            <w:r>
              <w:rPr>
                <w:rFonts w:hint="eastAsia" w:eastAsia="宋体"/>
                <w:color w:val="auto"/>
                <w:lang w:val="en-US" w:eastAsia="zh-CN"/>
              </w:rPr>
              <w:t>盛和家园小区</w:t>
            </w:r>
          </w:p>
        </w:tc>
        <w:tc>
          <w:tcPr>
            <w:tcW w:w="1115" w:type="dxa"/>
            <w:gridSpan w:val="2"/>
            <w:vAlign w:val="bottom"/>
          </w:tcPr>
          <w:p w14:paraId="269991D1">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1E36EF57">
            <w:pPr>
              <w:pStyle w:val="101"/>
              <w:jc w:val="center"/>
              <w:rPr>
                <w:rFonts w:hint="eastAsia" w:eastAsia="宋体"/>
                <w:color w:val="auto"/>
              </w:rPr>
            </w:pPr>
            <w:r>
              <w:rPr>
                <w:rFonts w:hint="eastAsia" w:eastAsia="宋体"/>
                <w:color w:val="auto"/>
                <w:lang w:val="en-US" w:eastAsia="zh-CN"/>
              </w:rPr>
              <w:t>1780</w:t>
            </w:r>
          </w:p>
        </w:tc>
        <w:tc>
          <w:tcPr>
            <w:tcW w:w="729" w:type="pct"/>
            <w:gridSpan w:val="2"/>
            <w:vAlign w:val="center"/>
          </w:tcPr>
          <w:p w14:paraId="2CA5ABF0">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6FB5C81C">
            <w:pPr>
              <w:pStyle w:val="101"/>
              <w:jc w:val="center"/>
              <w:rPr>
                <w:rFonts w:hint="eastAsia" w:eastAsia="宋体"/>
                <w:color w:val="auto"/>
              </w:rPr>
            </w:pPr>
            <w:r>
              <w:rPr>
                <w:rFonts w:hint="eastAsia" w:eastAsia="宋体"/>
                <w:color w:val="auto"/>
                <w:lang w:val="en-US" w:eastAsia="zh-CN"/>
              </w:rPr>
              <w:t>5000</w:t>
            </w:r>
          </w:p>
        </w:tc>
      </w:tr>
      <w:tr w14:paraId="279D0B0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F60662F">
            <w:pPr>
              <w:pStyle w:val="101"/>
              <w:jc w:val="center"/>
              <w:rPr>
                <w:color w:val="auto"/>
              </w:rPr>
            </w:pPr>
          </w:p>
        </w:tc>
        <w:tc>
          <w:tcPr>
            <w:tcW w:w="390" w:type="pct"/>
            <w:vAlign w:val="center"/>
          </w:tcPr>
          <w:p w14:paraId="1A7057E1">
            <w:pPr>
              <w:pStyle w:val="101"/>
              <w:jc w:val="center"/>
              <w:rPr>
                <w:rFonts w:hint="eastAsia" w:eastAsia="宋体"/>
                <w:color w:val="auto"/>
              </w:rPr>
            </w:pPr>
            <w:r>
              <w:rPr>
                <w:rFonts w:hint="eastAsia" w:eastAsia="宋体"/>
                <w:color w:val="auto"/>
                <w:lang w:val="en-US" w:eastAsia="zh-CN"/>
              </w:rPr>
              <w:t>53</w:t>
            </w:r>
          </w:p>
        </w:tc>
        <w:tc>
          <w:tcPr>
            <w:tcW w:w="1713" w:type="pct"/>
            <w:vAlign w:val="center"/>
          </w:tcPr>
          <w:p w14:paraId="47D6685F">
            <w:pPr>
              <w:pStyle w:val="101"/>
              <w:jc w:val="center"/>
              <w:rPr>
                <w:rFonts w:hint="eastAsia" w:eastAsia="宋体"/>
                <w:color w:val="auto"/>
              </w:rPr>
            </w:pPr>
            <w:r>
              <w:rPr>
                <w:rFonts w:hint="eastAsia" w:eastAsia="宋体"/>
                <w:color w:val="auto"/>
                <w:lang w:val="en-US" w:eastAsia="zh-CN"/>
              </w:rPr>
              <w:t>国家税务总局鹤岗市税务局</w:t>
            </w:r>
          </w:p>
        </w:tc>
        <w:tc>
          <w:tcPr>
            <w:tcW w:w="1115" w:type="dxa"/>
            <w:gridSpan w:val="2"/>
            <w:vAlign w:val="bottom"/>
          </w:tcPr>
          <w:p w14:paraId="239F6D9D">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75BC3634">
            <w:pPr>
              <w:pStyle w:val="101"/>
              <w:jc w:val="center"/>
              <w:rPr>
                <w:rFonts w:hint="eastAsia" w:eastAsia="宋体"/>
                <w:color w:val="auto"/>
              </w:rPr>
            </w:pPr>
            <w:r>
              <w:rPr>
                <w:rFonts w:hint="eastAsia" w:eastAsia="宋体"/>
                <w:color w:val="auto"/>
                <w:lang w:val="en-US" w:eastAsia="zh-CN"/>
              </w:rPr>
              <w:t>1790</w:t>
            </w:r>
          </w:p>
        </w:tc>
        <w:tc>
          <w:tcPr>
            <w:tcW w:w="729" w:type="pct"/>
            <w:gridSpan w:val="2"/>
            <w:vAlign w:val="center"/>
          </w:tcPr>
          <w:p w14:paraId="32A4BE2B">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4E318083">
            <w:pPr>
              <w:pStyle w:val="101"/>
              <w:jc w:val="center"/>
              <w:rPr>
                <w:rFonts w:hint="eastAsia" w:eastAsia="宋体"/>
                <w:color w:val="auto"/>
              </w:rPr>
            </w:pPr>
            <w:r>
              <w:rPr>
                <w:rFonts w:hint="eastAsia" w:eastAsia="宋体"/>
                <w:color w:val="auto"/>
                <w:lang w:val="en-US" w:eastAsia="zh-CN"/>
              </w:rPr>
              <w:t>80</w:t>
            </w:r>
          </w:p>
        </w:tc>
      </w:tr>
      <w:tr w14:paraId="14BFE57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965D0BF">
            <w:pPr>
              <w:pStyle w:val="101"/>
              <w:jc w:val="center"/>
              <w:rPr>
                <w:color w:val="auto"/>
              </w:rPr>
            </w:pPr>
          </w:p>
        </w:tc>
        <w:tc>
          <w:tcPr>
            <w:tcW w:w="390" w:type="pct"/>
            <w:vAlign w:val="center"/>
          </w:tcPr>
          <w:p w14:paraId="54808767">
            <w:pPr>
              <w:pStyle w:val="101"/>
              <w:jc w:val="center"/>
              <w:rPr>
                <w:rFonts w:hint="eastAsia" w:eastAsia="宋体"/>
                <w:color w:val="auto"/>
              </w:rPr>
            </w:pPr>
            <w:r>
              <w:rPr>
                <w:rFonts w:hint="eastAsia" w:eastAsia="宋体"/>
                <w:color w:val="auto"/>
                <w:lang w:val="en-US" w:eastAsia="zh-CN"/>
              </w:rPr>
              <w:t>54</w:t>
            </w:r>
          </w:p>
        </w:tc>
        <w:tc>
          <w:tcPr>
            <w:tcW w:w="1713" w:type="pct"/>
            <w:vAlign w:val="center"/>
          </w:tcPr>
          <w:p w14:paraId="31CA5A55">
            <w:pPr>
              <w:pStyle w:val="101"/>
              <w:jc w:val="center"/>
              <w:rPr>
                <w:rFonts w:hint="eastAsia" w:eastAsia="宋体"/>
                <w:color w:val="auto"/>
              </w:rPr>
            </w:pPr>
            <w:r>
              <w:rPr>
                <w:rFonts w:hint="eastAsia" w:eastAsia="宋体"/>
                <w:color w:val="auto"/>
                <w:lang w:val="en-US" w:eastAsia="zh-CN"/>
              </w:rPr>
              <w:t>爱心家园</w:t>
            </w:r>
          </w:p>
        </w:tc>
        <w:tc>
          <w:tcPr>
            <w:tcW w:w="1115" w:type="dxa"/>
            <w:gridSpan w:val="2"/>
            <w:vAlign w:val="bottom"/>
          </w:tcPr>
          <w:p w14:paraId="3BDF3F53">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59904647">
            <w:pPr>
              <w:pStyle w:val="101"/>
              <w:jc w:val="center"/>
              <w:rPr>
                <w:rFonts w:hint="eastAsia" w:eastAsia="宋体"/>
                <w:color w:val="auto"/>
              </w:rPr>
            </w:pPr>
            <w:r>
              <w:rPr>
                <w:rFonts w:hint="eastAsia" w:eastAsia="宋体"/>
                <w:color w:val="auto"/>
                <w:lang w:val="en-US" w:eastAsia="zh-CN"/>
              </w:rPr>
              <w:t>1790</w:t>
            </w:r>
          </w:p>
        </w:tc>
        <w:tc>
          <w:tcPr>
            <w:tcW w:w="729" w:type="pct"/>
            <w:gridSpan w:val="2"/>
            <w:vAlign w:val="center"/>
          </w:tcPr>
          <w:p w14:paraId="360EABC7">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11197632">
            <w:pPr>
              <w:pStyle w:val="101"/>
              <w:jc w:val="center"/>
              <w:rPr>
                <w:rFonts w:hint="eastAsia" w:eastAsia="宋体"/>
                <w:color w:val="auto"/>
              </w:rPr>
            </w:pPr>
            <w:r>
              <w:rPr>
                <w:rFonts w:hint="eastAsia" w:eastAsia="宋体"/>
                <w:color w:val="auto"/>
                <w:lang w:val="en-US" w:eastAsia="zh-CN"/>
              </w:rPr>
              <w:t>4000</w:t>
            </w:r>
          </w:p>
        </w:tc>
      </w:tr>
      <w:tr w14:paraId="18E088A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B30C58F">
            <w:pPr>
              <w:pStyle w:val="101"/>
              <w:jc w:val="center"/>
              <w:rPr>
                <w:color w:val="auto"/>
              </w:rPr>
            </w:pPr>
          </w:p>
        </w:tc>
        <w:tc>
          <w:tcPr>
            <w:tcW w:w="390" w:type="pct"/>
            <w:vAlign w:val="center"/>
          </w:tcPr>
          <w:p w14:paraId="2BBAA909">
            <w:pPr>
              <w:pStyle w:val="101"/>
              <w:jc w:val="center"/>
              <w:rPr>
                <w:rFonts w:hint="eastAsia" w:eastAsia="宋体"/>
                <w:color w:val="auto"/>
              </w:rPr>
            </w:pPr>
            <w:r>
              <w:rPr>
                <w:rFonts w:hint="eastAsia" w:eastAsia="宋体"/>
                <w:color w:val="auto"/>
                <w:lang w:val="en-US" w:eastAsia="zh-CN"/>
              </w:rPr>
              <w:t>55</w:t>
            </w:r>
          </w:p>
        </w:tc>
        <w:tc>
          <w:tcPr>
            <w:tcW w:w="1713" w:type="pct"/>
            <w:vAlign w:val="center"/>
          </w:tcPr>
          <w:p w14:paraId="33BDAB73">
            <w:pPr>
              <w:pStyle w:val="101"/>
              <w:jc w:val="center"/>
              <w:rPr>
                <w:rFonts w:hint="eastAsia" w:eastAsia="宋体"/>
                <w:color w:val="auto"/>
              </w:rPr>
            </w:pPr>
            <w:r>
              <w:rPr>
                <w:rFonts w:hint="eastAsia" w:eastAsia="宋体"/>
                <w:color w:val="auto"/>
                <w:lang w:val="en-US" w:eastAsia="zh-CN"/>
              </w:rPr>
              <w:t>麓林山派出所</w:t>
            </w:r>
          </w:p>
        </w:tc>
        <w:tc>
          <w:tcPr>
            <w:tcW w:w="1115" w:type="dxa"/>
            <w:gridSpan w:val="2"/>
            <w:vAlign w:val="bottom"/>
          </w:tcPr>
          <w:p w14:paraId="385F461B">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65C807F3">
            <w:pPr>
              <w:pStyle w:val="101"/>
              <w:jc w:val="center"/>
              <w:rPr>
                <w:rFonts w:hint="eastAsia" w:eastAsia="宋体"/>
                <w:color w:val="auto"/>
              </w:rPr>
            </w:pPr>
            <w:r>
              <w:rPr>
                <w:rFonts w:hint="eastAsia" w:eastAsia="宋体"/>
                <w:color w:val="auto"/>
                <w:lang w:val="en-US" w:eastAsia="zh-CN"/>
              </w:rPr>
              <w:t>1805</w:t>
            </w:r>
          </w:p>
        </w:tc>
        <w:tc>
          <w:tcPr>
            <w:tcW w:w="729" w:type="pct"/>
            <w:gridSpan w:val="2"/>
            <w:vAlign w:val="center"/>
          </w:tcPr>
          <w:p w14:paraId="12B93448">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4102390">
            <w:pPr>
              <w:pStyle w:val="101"/>
              <w:jc w:val="center"/>
              <w:rPr>
                <w:rFonts w:hint="eastAsia" w:eastAsia="宋体"/>
                <w:color w:val="auto"/>
              </w:rPr>
            </w:pPr>
            <w:r>
              <w:rPr>
                <w:rFonts w:hint="eastAsia" w:eastAsia="宋体"/>
                <w:color w:val="auto"/>
                <w:lang w:val="en-US" w:eastAsia="zh-CN"/>
              </w:rPr>
              <w:t>20</w:t>
            </w:r>
          </w:p>
        </w:tc>
      </w:tr>
      <w:tr w14:paraId="70E7DBA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92A122C">
            <w:pPr>
              <w:pStyle w:val="101"/>
              <w:jc w:val="center"/>
              <w:rPr>
                <w:color w:val="auto"/>
              </w:rPr>
            </w:pPr>
          </w:p>
        </w:tc>
        <w:tc>
          <w:tcPr>
            <w:tcW w:w="390" w:type="pct"/>
            <w:vAlign w:val="center"/>
          </w:tcPr>
          <w:p w14:paraId="566DE55E">
            <w:pPr>
              <w:pStyle w:val="101"/>
              <w:jc w:val="center"/>
              <w:rPr>
                <w:rFonts w:hint="eastAsia" w:eastAsia="宋体"/>
                <w:color w:val="auto"/>
              </w:rPr>
            </w:pPr>
            <w:r>
              <w:rPr>
                <w:rFonts w:hint="eastAsia" w:eastAsia="宋体"/>
                <w:color w:val="auto"/>
                <w:lang w:val="en-US" w:eastAsia="zh-CN"/>
              </w:rPr>
              <w:t>56</w:t>
            </w:r>
          </w:p>
        </w:tc>
        <w:tc>
          <w:tcPr>
            <w:tcW w:w="1713" w:type="pct"/>
            <w:vAlign w:val="center"/>
          </w:tcPr>
          <w:p w14:paraId="25A8304E">
            <w:pPr>
              <w:pStyle w:val="101"/>
              <w:jc w:val="center"/>
              <w:rPr>
                <w:rFonts w:hint="eastAsia" w:eastAsia="宋体"/>
                <w:color w:val="auto"/>
              </w:rPr>
            </w:pPr>
            <w:r>
              <w:rPr>
                <w:rFonts w:hint="eastAsia" w:eastAsia="宋体"/>
                <w:color w:val="auto"/>
                <w:lang w:val="en-US" w:eastAsia="zh-CN"/>
              </w:rPr>
              <w:t>苹果新居</w:t>
            </w:r>
          </w:p>
        </w:tc>
        <w:tc>
          <w:tcPr>
            <w:tcW w:w="1115" w:type="dxa"/>
            <w:gridSpan w:val="2"/>
            <w:vAlign w:val="bottom"/>
          </w:tcPr>
          <w:p w14:paraId="365A4FFC">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55DF277">
            <w:pPr>
              <w:pStyle w:val="101"/>
              <w:jc w:val="center"/>
              <w:rPr>
                <w:rFonts w:hint="eastAsia" w:eastAsia="宋体"/>
                <w:color w:val="auto"/>
              </w:rPr>
            </w:pPr>
            <w:r>
              <w:rPr>
                <w:rFonts w:hint="eastAsia" w:eastAsia="宋体"/>
                <w:color w:val="auto"/>
                <w:lang w:val="en-US" w:eastAsia="zh-CN"/>
              </w:rPr>
              <w:t>1820</w:t>
            </w:r>
          </w:p>
        </w:tc>
        <w:tc>
          <w:tcPr>
            <w:tcW w:w="729" w:type="pct"/>
            <w:gridSpan w:val="2"/>
            <w:vAlign w:val="center"/>
          </w:tcPr>
          <w:p w14:paraId="2C9DD20C">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4EA77336">
            <w:pPr>
              <w:pStyle w:val="101"/>
              <w:jc w:val="center"/>
              <w:rPr>
                <w:rFonts w:hint="eastAsia" w:eastAsia="宋体"/>
                <w:color w:val="auto"/>
              </w:rPr>
            </w:pPr>
            <w:r>
              <w:rPr>
                <w:rFonts w:hint="eastAsia" w:eastAsia="宋体"/>
                <w:color w:val="auto"/>
                <w:lang w:val="en-US" w:eastAsia="zh-CN"/>
              </w:rPr>
              <w:t>5000</w:t>
            </w:r>
          </w:p>
        </w:tc>
      </w:tr>
      <w:tr w14:paraId="46DF398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003B681">
            <w:pPr>
              <w:pStyle w:val="101"/>
              <w:jc w:val="center"/>
              <w:rPr>
                <w:color w:val="auto"/>
              </w:rPr>
            </w:pPr>
          </w:p>
        </w:tc>
        <w:tc>
          <w:tcPr>
            <w:tcW w:w="390" w:type="pct"/>
            <w:vAlign w:val="center"/>
          </w:tcPr>
          <w:p w14:paraId="0606A705">
            <w:pPr>
              <w:pStyle w:val="101"/>
              <w:jc w:val="center"/>
              <w:rPr>
                <w:rFonts w:hint="eastAsia" w:eastAsia="宋体"/>
                <w:color w:val="auto"/>
              </w:rPr>
            </w:pPr>
            <w:r>
              <w:rPr>
                <w:rFonts w:hint="eastAsia" w:eastAsia="宋体"/>
                <w:color w:val="auto"/>
                <w:lang w:val="en-US" w:eastAsia="zh-CN"/>
              </w:rPr>
              <w:t>57</w:t>
            </w:r>
          </w:p>
        </w:tc>
        <w:tc>
          <w:tcPr>
            <w:tcW w:w="1713" w:type="pct"/>
            <w:vAlign w:val="center"/>
          </w:tcPr>
          <w:p w14:paraId="0A1379A6">
            <w:pPr>
              <w:pStyle w:val="101"/>
              <w:jc w:val="center"/>
              <w:rPr>
                <w:rFonts w:hint="eastAsia" w:eastAsia="宋体"/>
                <w:color w:val="auto"/>
              </w:rPr>
            </w:pPr>
            <w:r>
              <w:rPr>
                <w:rFonts w:hint="eastAsia" w:eastAsia="宋体"/>
                <w:color w:val="auto"/>
                <w:lang w:val="en-US" w:eastAsia="zh-CN"/>
              </w:rPr>
              <w:t>邮政春晖小区</w:t>
            </w:r>
          </w:p>
        </w:tc>
        <w:tc>
          <w:tcPr>
            <w:tcW w:w="1115" w:type="dxa"/>
            <w:gridSpan w:val="2"/>
            <w:vAlign w:val="bottom"/>
          </w:tcPr>
          <w:p w14:paraId="04AFAEC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394DC9F0">
            <w:pPr>
              <w:pStyle w:val="101"/>
              <w:jc w:val="center"/>
              <w:rPr>
                <w:rFonts w:hint="eastAsia" w:eastAsia="宋体"/>
                <w:color w:val="auto"/>
              </w:rPr>
            </w:pPr>
            <w:r>
              <w:rPr>
                <w:rFonts w:hint="eastAsia" w:eastAsia="宋体"/>
                <w:color w:val="auto"/>
                <w:lang w:val="en-US" w:eastAsia="zh-CN"/>
              </w:rPr>
              <w:t>1860</w:t>
            </w:r>
          </w:p>
        </w:tc>
        <w:tc>
          <w:tcPr>
            <w:tcW w:w="729" w:type="pct"/>
            <w:gridSpan w:val="2"/>
            <w:vAlign w:val="center"/>
          </w:tcPr>
          <w:p w14:paraId="55F318F6">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7419951C">
            <w:pPr>
              <w:pStyle w:val="101"/>
              <w:jc w:val="center"/>
              <w:rPr>
                <w:rFonts w:hint="eastAsia" w:eastAsia="宋体"/>
                <w:color w:val="auto"/>
              </w:rPr>
            </w:pPr>
            <w:r>
              <w:rPr>
                <w:rFonts w:hint="eastAsia" w:eastAsia="宋体"/>
                <w:color w:val="auto"/>
                <w:lang w:val="en-US" w:eastAsia="zh-CN"/>
              </w:rPr>
              <w:t>6000</w:t>
            </w:r>
          </w:p>
        </w:tc>
      </w:tr>
      <w:tr w14:paraId="3AF4A7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4C78EFB">
            <w:pPr>
              <w:pStyle w:val="101"/>
              <w:jc w:val="center"/>
              <w:rPr>
                <w:color w:val="auto"/>
              </w:rPr>
            </w:pPr>
          </w:p>
        </w:tc>
        <w:tc>
          <w:tcPr>
            <w:tcW w:w="390" w:type="pct"/>
            <w:vAlign w:val="center"/>
          </w:tcPr>
          <w:p w14:paraId="6514683A">
            <w:pPr>
              <w:pStyle w:val="101"/>
              <w:jc w:val="center"/>
              <w:rPr>
                <w:rFonts w:hint="eastAsia" w:eastAsia="宋体"/>
                <w:color w:val="auto"/>
              </w:rPr>
            </w:pPr>
            <w:r>
              <w:rPr>
                <w:rFonts w:hint="eastAsia" w:eastAsia="宋体"/>
                <w:color w:val="auto"/>
                <w:lang w:val="en-US" w:eastAsia="zh-CN"/>
              </w:rPr>
              <w:t>58</w:t>
            </w:r>
          </w:p>
        </w:tc>
        <w:tc>
          <w:tcPr>
            <w:tcW w:w="1713" w:type="pct"/>
            <w:vAlign w:val="center"/>
          </w:tcPr>
          <w:p w14:paraId="74B4A82E">
            <w:pPr>
              <w:pStyle w:val="101"/>
              <w:jc w:val="center"/>
              <w:rPr>
                <w:rFonts w:hint="eastAsia" w:eastAsia="宋体"/>
                <w:color w:val="auto"/>
              </w:rPr>
            </w:pPr>
            <w:r>
              <w:rPr>
                <w:rFonts w:hint="eastAsia" w:eastAsia="宋体"/>
                <w:color w:val="auto"/>
                <w:lang w:val="en-US" w:eastAsia="zh-CN"/>
              </w:rPr>
              <w:t>福寿缘敬老院</w:t>
            </w:r>
          </w:p>
        </w:tc>
        <w:tc>
          <w:tcPr>
            <w:tcW w:w="1115" w:type="dxa"/>
            <w:gridSpan w:val="2"/>
            <w:vAlign w:val="bottom"/>
          </w:tcPr>
          <w:p w14:paraId="162AE0F8">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6F9F29A">
            <w:pPr>
              <w:pStyle w:val="101"/>
              <w:jc w:val="center"/>
              <w:rPr>
                <w:rFonts w:hint="eastAsia" w:eastAsia="宋体"/>
                <w:color w:val="auto"/>
              </w:rPr>
            </w:pPr>
            <w:r>
              <w:rPr>
                <w:rFonts w:hint="eastAsia" w:eastAsia="宋体"/>
                <w:color w:val="auto"/>
                <w:lang w:val="en-US" w:eastAsia="zh-CN"/>
              </w:rPr>
              <w:t>1865</w:t>
            </w:r>
          </w:p>
        </w:tc>
        <w:tc>
          <w:tcPr>
            <w:tcW w:w="729" w:type="pct"/>
            <w:gridSpan w:val="2"/>
            <w:vAlign w:val="center"/>
          </w:tcPr>
          <w:p w14:paraId="3A168A03">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3A38741D">
            <w:pPr>
              <w:pStyle w:val="101"/>
              <w:jc w:val="center"/>
              <w:rPr>
                <w:rFonts w:hint="eastAsia" w:eastAsia="宋体"/>
                <w:color w:val="auto"/>
              </w:rPr>
            </w:pPr>
            <w:r>
              <w:rPr>
                <w:rFonts w:hint="eastAsia" w:eastAsia="宋体"/>
                <w:color w:val="auto"/>
                <w:lang w:val="en-US" w:eastAsia="zh-CN"/>
              </w:rPr>
              <w:t>80</w:t>
            </w:r>
          </w:p>
        </w:tc>
      </w:tr>
      <w:tr w14:paraId="00BD95A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4ED411C">
            <w:pPr>
              <w:pStyle w:val="101"/>
              <w:jc w:val="center"/>
              <w:rPr>
                <w:color w:val="auto"/>
              </w:rPr>
            </w:pPr>
          </w:p>
        </w:tc>
        <w:tc>
          <w:tcPr>
            <w:tcW w:w="390" w:type="pct"/>
            <w:vAlign w:val="center"/>
          </w:tcPr>
          <w:p w14:paraId="12EC0A65">
            <w:pPr>
              <w:pStyle w:val="101"/>
              <w:jc w:val="center"/>
              <w:rPr>
                <w:rFonts w:hint="eastAsia" w:eastAsia="宋体"/>
                <w:color w:val="auto"/>
              </w:rPr>
            </w:pPr>
            <w:r>
              <w:rPr>
                <w:rFonts w:hint="eastAsia" w:eastAsia="宋体"/>
                <w:color w:val="auto"/>
                <w:lang w:val="en-US" w:eastAsia="zh-CN"/>
              </w:rPr>
              <w:t>59</w:t>
            </w:r>
          </w:p>
        </w:tc>
        <w:tc>
          <w:tcPr>
            <w:tcW w:w="1713" w:type="pct"/>
            <w:vAlign w:val="center"/>
          </w:tcPr>
          <w:p w14:paraId="38A592B5">
            <w:pPr>
              <w:pStyle w:val="101"/>
              <w:jc w:val="center"/>
              <w:rPr>
                <w:rFonts w:hint="eastAsia" w:eastAsia="宋体"/>
                <w:color w:val="auto"/>
              </w:rPr>
            </w:pPr>
            <w:r>
              <w:rPr>
                <w:rFonts w:hint="eastAsia" w:eastAsia="宋体"/>
                <w:color w:val="auto"/>
                <w:lang w:val="en-US" w:eastAsia="zh-CN"/>
              </w:rPr>
              <w:t>尚典国际</w:t>
            </w:r>
          </w:p>
        </w:tc>
        <w:tc>
          <w:tcPr>
            <w:tcW w:w="1115" w:type="dxa"/>
            <w:gridSpan w:val="2"/>
            <w:vAlign w:val="bottom"/>
          </w:tcPr>
          <w:p w14:paraId="2CE78F6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3320CB2D">
            <w:pPr>
              <w:pStyle w:val="101"/>
              <w:jc w:val="center"/>
              <w:rPr>
                <w:rFonts w:hint="eastAsia" w:eastAsia="宋体"/>
                <w:color w:val="auto"/>
              </w:rPr>
            </w:pPr>
            <w:r>
              <w:rPr>
                <w:rFonts w:hint="eastAsia" w:eastAsia="宋体"/>
                <w:color w:val="auto"/>
                <w:lang w:val="en-US" w:eastAsia="zh-CN"/>
              </w:rPr>
              <w:t>1880</w:t>
            </w:r>
          </w:p>
        </w:tc>
        <w:tc>
          <w:tcPr>
            <w:tcW w:w="729" w:type="pct"/>
            <w:gridSpan w:val="2"/>
            <w:vAlign w:val="center"/>
          </w:tcPr>
          <w:p w14:paraId="6213C266">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0F0348C7">
            <w:pPr>
              <w:pStyle w:val="101"/>
              <w:jc w:val="center"/>
              <w:rPr>
                <w:rFonts w:hint="eastAsia" w:eastAsia="宋体"/>
                <w:color w:val="auto"/>
              </w:rPr>
            </w:pPr>
            <w:r>
              <w:rPr>
                <w:rFonts w:hint="eastAsia" w:eastAsia="宋体"/>
                <w:color w:val="auto"/>
                <w:lang w:val="en-US" w:eastAsia="zh-CN"/>
              </w:rPr>
              <w:t>4500</w:t>
            </w:r>
          </w:p>
        </w:tc>
      </w:tr>
      <w:tr w14:paraId="774FE0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0C3E5E0">
            <w:pPr>
              <w:pStyle w:val="101"/>
              <w:jc w:val="center"/>
              <w:rPr>
                <w:color w:val="auto"/>
              </w:rPr>
            </w:pPr>
          </w:p>
        </w:tc>
        <w:tc>
          <w:tcPr>
            <w:tcW w:w="390" w:type="pct"/>
            <w:vAlign w:val="center"/>
          </w:tcPr>
          <w:p w14:paraId="263DA480">
            <w:pPr>
              <w:pStyle w:val="101"/>
              <w:jc w:val="center"/>
              <w:rPr>
                <w:rFonts w:hint="eastAsia" w:eastAsia="宋体"/>
                <w:color w:val="auto"/>
              </w:rPr>
            </w:pPr>
            <w:r>
              <w:rPr>
                <w:rFonts w:hint="eastAsia" w:eastAsia="宋体"/>
                <w:color w:val="auto"/>
                <w:lang w:val="en-US" w:eastAsia="zh-CN"/>
              </w:rPr>
              <w:t>60</w:t>
            </w:r>
          </w:p>
        </w:tc>
        <w:tc>
          <w:tcPr>
            <w:tcW w:w="1713" w:type="pct"/>
            <w:vAlign w:val="center"/>
          </w:tcPr>
          <w:p w14:paraId="015E8CA1">
            <w:pPr>
              <w:pStyle w:val="101"/>
              <w:jc w:val="center"/>
              <w:rPr>
                <w:rFonts w:hint="eastAsia" w:eastAsia="宋体"/>
                <w:color w:val="auto"/>
              </w:rPr>
            </w:pPr>
            <w:r>
              <w:rPr>
                <w:rFonts w:hint="eastAsia" w:eastAsia="宋体"/>
                <w:color w:val="auto"/>
                <w:lang w:val="en-US" w:eastAsia="zh-CN"/>
              </w:rPr>
              <w:t>阳光家园</w:t>
            </w:r>
          </w:p>
        </w:tc>
        <w:tc>
          <w:tcPr>
            <w:tcW w:w="1115" w:type="dxa"/>
            <w:gridSpan w:val="2"/>
            <w:vAlign w:val="bottom"/>
          </w:tcPr>
          <w:p w14:paraId="4EB0B393">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7B84B725">
            <w:pPr>
              <w:pStyle w:val="101"/>
              <w:jc w:val="center"/>
              <w:rPr>
                <w:rFonts w:hint="eastAsia" w:eastAsia="宋体"/>
                <w:color w:val="auto"/>
              </w:rPr>
            </w:pPr>
            <w:r>
              <w:rPr>
                <w:rFonts w:hint="eastAsia" w:eastAsia="宋体"/>
                <w:color w:val="auto"/>
                <w:lang w:val="en-US" w:eastAsia="zh-CN"/>
              </w:rPr>
              <w:t>1910</w:t>
            </w:r>
          </w:p>
        </w:tc>
        <w:tc>
          <w:tcPr>
            <w:tcW w:w="729" w:type="pct"/>
            <w:gridSpan w:val="2"/>
            <w:vAlign w:val="center"/>
          </w:tcPr>
          <w:p w14:paraId="110DF3FC">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27F984AC">
            <w:pPr>
              <w:pStyle w:val="101"/>
              <w:jc w:val="center"/>
              <w:rPr>
                <w:rFonts w:hint="eastAsia" w:eastAsia="宋体"/>
                <w:color w:val="auto"/>
              </w:rPr>
            </w:pPr>
            <w:r>
              <w:rPr>
                <w:rFonts w:hint="eastAsia" w:eastAsia="宋体"/>
                <w:color w:val="auto"/>
                <w:lang w:val="en-US" w:eastAsia="zh-CN"/>
              </w:rPr>
              <w:t>6000</w:t>
            </w:r>
          </w:p>
        </w:tc>
      </w:tr>
      <w:tr w14:paraId="506AAE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76C011E">
            <w:pPr>
              <w:pStyle w:val="101"/>
              <w:jc w:val="center"/>
              <w:rPr>
                <w:color w:val="auto"/>
              </w:rPr>
            </w:pPr>
          </w:p>
        </w:tc>
        <w:tc>
          <w:tcPr>
            <w:tcW w:w="390" w:type="pct"/>
            <w:vAlign w:val="center"/>
          </w:tcPr>
          <w:p w14:paraId="6516DD46">
            <w:pPr>
              <w:pStyle w:val="101"/>
              <w:jc w:val="center"/>
              <w:rPr>
                <w:rFonts w:hint="eastAsia" w:eastAsia="宋体"/>
                <w:color w:val="auto"/>
              </w:rPr>
            </w:pPr>
            <w:r>
              <w:rPr>
                <w:rFonts w:hint="eastAsia" w:eastAsia="宋体"/>
                <w:color w:val="auto"/>
                <w:lang w:val="en-US" w:eastAsia="zh-CN"/>
              </w:rPr>
              <w:t>61</w:t>
            </w:r>
          </w:p>
        </w:tc>
        <w:tc>
          <w:tcPr>
            <w:tcW w:w="1713" w:type="pct"/>
            <w:vAlign w:val="center"/>
          </w:tcPr>
          <w:p w14:paraId="44163E78">
            <w:pPr>
              <w:pStyle w:val="101"/>
              <w:jc w:val="center"/>
              <w:rPr>
                <w:rFonts w:hint="eastAsia" w:eastAsia="宋体"/>
                <w:color w:val="auto"/>
              </w:rPr>
            </w:pPr>
            <w:r>
              <w:rPr>
                <w:rFonts w:hint="eastAsia" w:eastAsia="宋体"/>
                <w:color w:val="auto"/>
                <w:lang w:val="en-US" w:eastAsia="zh-CN"/>
              </w:rPr>
              <w:t>北国明珠</w:t>
            </w:r>
          </w:p>
        </w:tc>
        <w:tc>
          <w:tcPr>
            <w:tcW w:w="1115" w:type="dxa"/>
            <w:gridSpan w:val="2"/>
            <w:vAlign w:val="bottom"/>
          </w:tcPr>
          <w:p w14:paraId="32D53094">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w:t>
            </w:r>
          </w:p>
        </w:tc>
        <w:tc>
          <w:tcPr>
            <w:tcW w:w="592" w:type="pct"/>
            <w:vAlign w:val="center"/>
          </w:tcPr>
          <w:p w14:paraId="1748469E">
            <w:pPr>
              <w:pStyle w:val="101"/>
              <w:jc w:val="center"/>
              <w:rPr>
                <w:rFonts w:hint="eastAsia" w:eastAsia="宋体"/>
                <w:color w:val="auto"/>
              </w:rPr>
            </w:pPr>
            <w:r>
              <w:rPr>
                <w:rFonts w:hint="eastAsia" w:eastAsia="宋体"/>
                <w:color w:val="auto"/>
                <w:lang w:val="en-US" w:eastAsia="zh-CN"/>
              </w:rPr>
              <w:t>1935</w:t>
            </w:r>
          </w:p>
        </w:tc>
        <w:tc>
          <w:tcPr>
            <w:tcW w:w="729" w:type="pct"/>
            <w:gridSpan w:val="2"/>
            <w:vAlign w:val="center"/>
          </w:tcPr>
          <w:p w14:paraId="1B52D331">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49F1FE73">
            <w:pPr>
              <w:pStyle w:val="101"/>
              <w:jc w:val="center"/>
              <w:rPr>
                <w:rFonts w:hint="eastAsia" w:eastAsia="宋体"/>
                <w:color w:val="auto"/>
              </w:rPr>
            </w:pPr>
            <w:r>
              <w:rPr>
                <w:rFonts w:hint="eastAsia" w:eastAsia="宋体"/>
                <w:color w:val="auto"/>
                <w:lang w:val="en-US" w:eastAsia="zh-CN"/>
              </w:rPr>
              <w:t>6000</w:t>
            </w:r>
          </w:p>
        </w:tc>
      </w:tr>
      <w:tr w14:paraId="64D4A2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7C9591C">
            <w:pPr>
              <w:pStyle w:val="101"/>
              <w:jc w:val="center"/>
              <w:rPr>
                <w:color w:val="auto"/>
              </w:rPr>
            </w:pPr>
          </w:p>
        </w:tc>
        <w:tc>
          <w:tcPr>
            <w:tcW w:w="390" w:type="pct"/>
            <w:vAlign w:val="center"/>
          </w:tcPr>
          <w:p w14:paraId="14F8B5A5">
            <w:pPr>
              <w:pStyle w:val="101"/>
              <w:jc w:val="center"/>
              <w:rPr>
                <w:rFonts w:hint="eastAsia" w:eastAsia="宋体"/>
                <w:color w:val="auto"/>
              </w:rPr>
            </w:pPr>
            <w:r>
              <w:rPr>
                <w:rFonts w:hint="eastAsia" w:eastAsia="宋体"/>
                <w:color w:val="auto"/>
                <w:lang w:val="en-US" w:eastAsia="zh-CN"/>
              </w:rPr>
              <w:t>62</w:t>
            </w:r>
          </w:p>
        </w:tc>
        <w:tc>
          <w:tcPr>
            <w:tcW w:w="1713" w:type="pct"/>
            <w:vAlign w:val="center"/>
          </w:tcPr>
          <w:p w14:paraId="4D5F6255">
            <w:pPr>
              <w:pStyle w:val="101"/>
              <w:jc w:val="center"/>
              <w:rPr>
                <w:rFonts w:hint="eastAsia" w:eastAsia="宋体"/>
                <w:color w:val="auto"/>
              </w:rPr>
            </w:pPr>
            <w:r>
              <w:rPr>
                <w:rFonts w:hint="eastAsia" w:eastAsia="宋体"/>
                <w:color w:val="auto"/>
                <w:lang w:val="en-US" w:eastAsia="zh-CN"/>
              </w:rPr>
              <w:t>鹤岗市公安局南山分局富力派出所</w:t>
            </w:r>
          </w:p>
        </w:tc>
        <w:tc>
          <w:tcPr>
            <w:tcW w:w="1115" w:type="dxa"/>
            <w:gridSpan w:val="2"/>
            <w:vAlign w:val="bottom"/>
          </w:tcPr>
          <w:p w14:paraId="69FFEC7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4F021339">
            <w:pPr>
              <w:pStyle w:val="101"/>
              <w:jc w:val="center"/>
              <w:rPr>
                <w:rFonts w:hint="eastAsia" w:eastAsia="宋体"/>
                <w:color w:val="auto"/>
              </w:rPr>
            </w:pPr>
            <w:r>
              <w:rPr>
                <w:rFonts w:hint="eastAsia" w:eastAsia="宋体"/>
                <w:color w:val="auto"/>
                <w:lang w:val="en-US" w:eastAsia="zh-CN"/>
              </w:rPr>
              <w:t>1950</w:t>
            </w:r>
          </w:p>
        </w:tc>
        <w:tc>
          <w:tcPr>
            <w:tcW w:w="729" w:type="pct"/>
            <w:gridSpan w:val="2"/>
            <w:vAlign w:val="center"/>
          </w:tcPr>
          <w:p w14:paraId="3AB8C4BB">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19A985F">
            <w:pPr>
              <w:pStyle w:val="101"/>
              <w:jc w:val="center"/>
              <w:rPr>
                <w:rFonts w:hint="eastAsia" w:eastAsia="宋体"/>
                <w:color w:val="auto"/>
              </w:rPr>
            </w:pPr>
            <w:r>
              <w:rPr>
                <w:rFonts w:hint="eastAsia" w:eastAsia="宋体"/>
                <w:color w:val="auto"/>
                <w:lang w:val="en-US" w:eastAsia="zh-CN"/>
              </w:rPr>
              <w:t>20</w:t>
            </w:r>
          </w:p>
        </w:tc>
      </w:tr>
      <w:tr w14:paraId="76A478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408B2AE">
            <w:pPr>
              <w:pStyle w:val="101"/>
              <w:jc w:val="center"/>
              <w:rPr>
                <w:color w:val="auto"/>
              </w:rPr>
            </w:pPr>
          </w:p>
        </w:tc>
        <w:tc>
          <w:tcPr>
            <w:tcW w:w="390" w:type="pct"/>
            <w:vAlign w:val="center"/>
          </w:tcPr>
          <w:p w14:paraId="34572B7E">
            <w:pPr>
              <w:pStyle w:val="101"/>
              <w:jc w:val="center"/>
              <w:rPr>
                <w:rFonts w:hint="eastAsia" w:eastAsia="宋体"/>
                <w:color w:val="auto"/>
              </w:rPr>
            </w:pPr>
            <w:r>
              <w:rPr>
                <w:rFonts w:hint="eastAsia" w:eastAsia="宋体"/>
                <w:color w:val="auto"/>
                <w:lang w:val="en-US" w:eastAsia="zh-CN"/>
              </w:rPr>
              <w:t>63</w:t>
            </w:r>
          </w:p>
        </w:tc>
        <w:tc>
          <w:tcPr>
            <w:tcW w:w="1713" w:type="pct"/>
            <w:vAlign w:val="center"/>
          </w:tcPr>
          <w:p w14:paraId="25268CB9">
            <w:pPr>
              <w:pStyle w:val="101"/>
              <w:jc w:val="center"/>
              <w:rPr>
                <w:rFonts w:hint="eastAsia" w:eastAsia="宋体"/>
                <w:color w:val="auto"/>
              </w:rPr>
            </w:pPr>
            <w:r>
              <w:rPr>
                <w:rFonts w:hint="eastAsia" w:eastAsia="宋体"/>
                <w:color w:val="auto"/>
                <w:lang w:val="en-US" w:eastAsia="zh-CN"/>
              </w:rPr>
              <w:t>九州兴盛花园小区</w:t>
            </w:r>
          </w:p>
        </w:tc>
        <w:tc>
          <w:tcPr>
            <w:tcW w:w="1115" w:type="dxa"/>
            <w:gridSpan w:val="2"/>
            <w:vAlign w:val="bottom"/>
          </w:tcPr>
          <w:p w14:paraId="4654B347">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30E25901">
            <w:pPr>
              <w:pStyle w:val="101"/>
              <w:jc w:val="center"/>
              <w:rPr>
                <w:rFonts w:hint="eastAsia" w:eastAsia="宋体"/>
                <w:color w:val="auto"/>
              </w:rPr>
            </w:pPr>
            <w:r>
              <w:rPr>
                <w:rFonts w:hint="eastAsia" w:eastAsia="宋体"/>
                <w:color w:val="auto"/>
                <w:lang w:val="en-US" w:eastAsia="zh-CN"/>
              </w:rPr>
              <w:t>1990</w:t>
            </w:r>
          </w:p>
        </w:tc>
        <w:tc>
          <w:tcPr>
            <w:tcW w:w="729" w:type="pct"/>
            <w:gridSpan w:val="2"/>
            <w:vAlign w:val="center"/>
          </w:tcPr>
          <w:p w14:paraId="4C510301">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59AC8116">
            <w:pPr>
              <w:pStyle w:val="101"/>
              <w:jc w:val="center"/>
              <w:rPr>
                <w:rFonts w:hint="eastAsia" w:eastAsia="宋体"/>
                <w:color w:val="auto"/>
              </w:rPr>
            </w:pPr>
            <w:r>
              <w:rPr>
                <w:rFonts w:hint="eastAsia" w:eastAsia="宋体"/>
                <w:color w:val="auto"/>
                <w:lang w:val="en-US" w:eastAsia="zh-CN"/>
              </w:rPr>
              <w:t>5000</w:t>
            </w:r>
          </w:p>
        </w:tc>
      </w:tr>
      <w:tr w14:paraId="467E031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2E0F7D4">
            <w:pPr>
              <w:pStyle w:val="101"/>
              <w:jc w:val="center"/>
              <w:rPr>
                <w:color w:val="auto"/>
              </w:rPr>
            </w:pPr>
          </w:p>
        </w:tc>
        <w:tc>
          <w:tcPr>
            <w:tcW w:w="390" w:type="pct"/>
            <w:vAlign w:val="center"/>
          </w:tcPr>
          <w:p w14:paraId="0CD14F8B">
            <w:pPr>
              <w:pStyle w:val="101"/>
              <w:jc w:val="center"/>
              <w:rPr>
                <w:rFonts w:hint="eastAsia" w:eastAsia="宋体"/>
                <w:color w:val="auto"/>
              </w:rPr>
            </w:pPr>
            <w:r>
              <w:rPr>
                <w:rFonts w:hint="eastAsia" w:eastAsia="宋体"/>
                <w:color w:val="auto"/>
                <w:lang w:val="en-US" w:eastAsia="zh-CN"/>
              </w:rPr>
              <w:t>64</w:t>
            </w:r>
          </w:p>
        </w:tc>
        <w:tc>
          <w:tcPr>
            <w:tcW w:w="1713" w:type="pct"/>
            <w:vAlign w:val="center"/>
          </w:tcPr>
          <w:p w14:paraId="68ACF4AE">
            <w:pPr>
              <w:pStyle w:val="101"/>
              <w:jc w:val="center"/>
              <w:rPr>
                <w:rFonts w:hint="eastAsia" w:eastAsia="宋体"/>
                <w:color w:val="auto"/>
              </w:rPr>
            </w:pPr>
            <w:r>
              <w:rPr>
                <w:rFonts w:hint="eastAsia" w:eastAsia="宋体"/>
                <w:color w:val="auto"/>
                <w:lang w:val="en-US" w:eastAsia="zh-CN"/>
              </w:rPr>
              <w:t>今时学府</w:t>
            </w:r>
          </w:p>
        </w:tc>
        <w:tc>
          <w:tcPr>
            <w:tcW w:w="1115" w:type="dxa"/>
            <w:gridSpan w:val="2"/>
            <w:vAlign w:val="bottom"/>
          </w:tcPr>
          <w:p w14:paraId="30938862">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70A42AB7">
            <w:pPr>
              <w:pStyle w:val="101"/>
              <w:jc w:val="center"/>
              <w:rPr>
                <w:rFonts w:hint="eastAsia" w:eastAsia="宋体"/>
                <w:color w:val="auto"/>
              </w:rPr>
            </w:pPr>
            <w:r>
              <w:rPr>
                <w:rFonts w:hint="eastAsia" w:eastAsia="宋体"/>
                <w:color w:val="auto"/>
                <w:lang w:val="en-US" w:eastAsia="zh-CN"/>
              </w:rPr>
              <w:t>2105</w:t>
            </w:r>
          </w:p>
        </w:tc>
        <w:tc>
          <w:tcPr>
            <w:tcW w:w="729" w:type="pct"/>
            <w:gridSpan w:val="2"/>
            <w:vAlign w:val="center"/>
          </w:tcPr>
          <w:p w14:paraId="69CFAAAF">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4D89A536">
            <w:pPr>
              <w:pStyle w:val="101"/>
              <w:jc w:val="center"/>
              <w:rPr>
                <w:rFonts w:hint="eastAsia" w:eastAsia="宋体"/>
                <w:color w:val="auto"/>
              </w:rPr>
            </w:pPr>
            <w:r>
              <w:rPr>
                <w:rFonts w:hint="eastAsia" w:eastAsia="宋体"/>
                <w:color w:val="auto"/>
                <w:lang w:val="en-US" w:eastAsia="zh-CN"/>
              </w:rPr>
              <w:t>4000</w:t>
            </w:r>
          </w:p>
        </w:tc>
      </w:tr>
      <w:tr w14:paraId="341C74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6998D06">
            <w:pPr>
              <w:pStyle w:val="101"/>
              <w:jc w:val="center"/>
              <w:rPr>
                <w:color w:val="auto"/>
              </w:rPr>
            </w:pPr>
          </w:p>
        </w:tc>
        <w:tc>
          <w:tcPr>
            <w:tcW w:w="390" w:type="pct"/>
            <w:vAlign w:val="center"/>
          </w:tcPr>
          <w:p w14:paraId="5FB677A5">
            <w:pPr>
              <w:pStyle w:val="101"/>
              <w:jc w:val="center"/>
              <w:rPr>
                <w:rFonts w:hint="eastAsia" w:eastAsia="宋体"/>
                <w:color w:val="auto"/>
              </w:rPr>
            </w:pPr>
            <w:r>
              <w:rPr>
                <w:rFonts w:hint="eastAsia" w:eastAsia="宋体"/>
                <w:color w:val="auto"/>
                <w:lang w:val="en-US" w:eastAsia="zh-CN"/>
              </w:rPr>
              <w:t>65</w:t>
            </w:r>
          </w:p>
        </w:tc>
        <w:tc>
          <w:tcPr>
            <w:tcW w:w="1713" w:type="pct"/>
            <w:vAlign w:val="center"/>
          </w:tcPr>
          <w:p w14:paraId="2BE5D362">
            <w:pPr>
              <w:pStyle w:val="101"/>
              <w:jc w:val="center"/>
              <w:rPr>
                <w:rFonts w:hint="eastAsia" w:eastAsia="宋体"/>
                <w:color w:val="auto"/>
              </w:rPr>
            </w:pPr>
            <w:r>
              <w:rPr>
                <w:rFonts w:hint="eastAsia" w:eastAsia="宋体"/>
                <w:color w:val="auto"/>
                <w:lang w:val="en-US" w:eastAsia="zh-CN"/>
              </w:rPr>
              <w:t>南苑</w:t>
            </w:r>
          </w:p>
        </w:tc>
        <w:tc>
          <w:tcPr>
            <w:tcW w:w="1115" w:type="dxa"/>
            <w:gridSpan w:val="2"/>
            <w:vAlign w:val="bottom"/>
          </w:tcPr>
          <w:p w14:paraId="7EA465C1">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4A51AA5A">
            <w:pPr>
              <w:pStyle w:val="101"/>
              <w:jc w:val="center"/>
              <w:rPr>
                <w:rFonts w:hint="eastAsia" w:eastAsia="宋体"/>
                <w:color w:val="auto"/>
              </w:rPr>
            </w:pPr>
            <w:r>
              <w:rPr>
                <w:rFonts w:hint="eastAsia" w:eastAsia="宋体"/>
                <w:color w:val="auto"/>
                <w:lang w:val="en-US" w:eastAsia="zh-CN"/>
              </w:rPr>
              <w:t>2145</w:t>
            </w:r>
          </w:p>
        </w:tc>
        <w:tc>
          <w:tcPr>
            <w:tcW w:w="729" w:type="pct"/>
            <w:gridSpan w:val="2"/>
            <w:vAlign w:val="center"/>
          </w:tcPr>
          <w:p w14:paraId="2F30AF4C">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2DA39FC6">
            <w:pPr>
              <w:pStyle w:val="101"/>
              <w:jc w:val="center"/>
              <w:rPr>
                <w:rFonts w:hint="eastAsia" w:eastAsia="宋体"/>
                <w:color w:val="auto"/>
              </w:rPr>
            </w:pPr>
            <w:r>
              <w:rPr>
                <w:rFonts w:hint="eastAsia" w:eastAsia="宋体"/>
                <w:color w:val="auto"/>
                <w:lang w:val="en-US" w:eastAsia="zh-CN"/>
              </w:rPr>
              <w:t>5000</w:t>
            </w:r>
          </w:p>
        </w:tc>
      </w:tr>
      <w:tr w14:paraId="17BC978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26CD383">
            <w:pPr>
              <w:pStyle w:val="101"/>
              <w:jc w:val="center"/>
              <w:rPr>
                <w:color w:val="auto"/>
              </w:rPr>
            </w:pPr>
          </w:p>
        </w:tc>
        <w:tc>
          <w:tcPr>
            <w:tcW w:w="390" w:type="pct"/>
            <w:vAlign w:val="center"/>
          </w:tcPr>
          <w:p w14:paraId="3BFA10C9">
            <w:pPr>
              <w:pStyle w:val="101"/>
              <w:jc w:val="center"/>
              <w:rPr>
                <w:rFonts w:hint="eastAsia" w:eastAsia="宋体"/>
                <w:color w:val="auto"/>
              </w:rPr>
            </w:pPr>
            <w:r>
              <w:rPr>
                <w:rFonts w:hint="eastAsia" w:eastAsia="宋体"/>
                <w:color w:val="auto"/>
                <w:lang w:val="en-US" w:eastAsia="zh-CN"/>
              </w:rPr>
              <w:t>66</w:t>
            </w:r>
          </w:p>
        </w:tc>
        <w:tc>
          <w:tcPr>
            <w:tcW w:w="1713" w:type="pct"/>
            <w:vAlign w:val="center"/>
          </w:tcPr>
          <w:p w14:paraId="0BA19A71">
            <w:pPr>
              <w:pStyle w:val="101"/>
              <w:jc w:val="center"/>
              <w:rPr>
                <w:rFonts w:hint="eastAsia" w:eastAsia="宋体"/>
                <w:color w:val="auto"/>
              </w:rPr>
            </w:pPr>
            <w:r>
              <w:rPr>
                <w:rFonts w:hint="eastAsia" w:eastAsia="宋体"/>
                <w:color w:val="auto"/>
                <w:lang w:val="en-US" w:eastAsia="zh-CN"/>
              </w:rPr>
              <w:t>胜利组团</w:t>
            </w:r>
          </w:p>
        </w:tc>
        <w:tc>
          <w:tcPr>
            <w:tcW w:w="1115" w:type="dxa"/>
            <w:gridSpan w:val="2"/>
            <w:vAlign w:val="bottom"/>
          </w:tcPr>
          <w:p w14:paraId="42311395">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561464FF">
            <w:pPr>
              <w:pStyle w:val="101"/>
              <w:jc w:val="center"/>
              <w:rPr>
                <w:rFonts w:hint="eastAsia" w:eastAsia="宋体"/>
                <w:color w:val="auto"/>
              </w:rPr>
            </w:pPr>
            <w:r>
              <w:rPr>
                <w:rFonts w:hint="eastAsia" w:eastAsia="宋体"/>
                <w:color w:val="auto"/>
                <w:lang w:val="en-US" w:eastAsia="zh-CN"/>
              </w:rPr>
              <w:t>2155</w:t>
            </w:r>
          </w:p>
        </w:tc>
        <w:tc>
          <w:tcPr>
            <w:tcW w:w="729" w:type="pct"/>
            <w:gridSpan w:val="2"/>
            <w:vAlign w:val="center"/>
          </w:tcPr>
          <w:p w14:paraId="4E2F50B0">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53DBB77E">
            <w:pPr>
              <w:pStyle w:val="101"/>
              <w:jc w:val="center"/>
              <w:rPr>
                <w:rFonts w:hint="eastAsia" w:eastAsia="宋体"/>
                <w:color w:val="auto"/>
              </w:rPr>
            </w:pPr>
            <w:r>
              <w:rPr>
                <w:rFonts w:hint="eastAsia" w:eastAsia="宋体"/>
                <w:color w:val="auto"/>
                <w:lang w:val="en-US" w:eastAsia="zh-CN"/>
              </w:rPr>
              <w:t>6000</w:t>
            </w:r>
          </w:p>
        </w:tc>
      </w:tr>
      <w:tr w14:paraId="1F09466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9D26A65">
            <w:pPr>
              <w:pStyle w:val="101"/>
              <w:jc w:val="center"/>
              <w:rPr>
                <w:color w:val="auto"/>
              </w:rPr>
            </w:pPr>
          </w:p>
        </w:tc>
        <w:tc>
          <w:tcPr>
            <w:tcW w:w="390" w:type="pct"/>
            <w:vAlign w:val="center"/>
          </w:tcPr>
          <w:p w14:paraId="648151F1">
            <w:pPr>
              <w:pStyle w:val="101"/>
              <w:jc w:val="center"/>
              <w:rPr>
                <w:rFonts w:hint="eastAsia" w:eastAsia="宋体"/>
                <w:color w:val="auto"/>
              </w:rPr>
            </w:pPr>
            <w:r>
              <w:rPr>
                <w:rFonts w:hint="eastAsia" w:eastAsia="宋体"/>
                <w:color w:val="auto"/>
                <w:lang w:val="en-US" w:eastAsia="zh-CN"/>
              </w:rPr>
              <w:t>67</w:t>
            </w:r>
          </w:p>
        </w:tc>
        <w:tc>
          <w:tcPr>
            <w:tcW w:w="1713" w:type="pct"/>
            <w:vAlign w:val="center"/>
          </w:tcPr>
          <w:p w14:paraId="06AE8B36">
            <w:pPr>
              <w:pStyle w:val="101"/>
              <w:jc w:val="center"/>
              <w:rPr>
                <w:rFonts w:hint="eastAsia" w:eastAsia="宋体"/>
                <w:color w:val="auto"/>
              </w:rPr>
            </w:pPr>
            <w:r>
              <w:rPr>
                <w:rFonts w:hint="eastAsia" w:eastAsia="宋体"/>
                <w:color w:val="auto"/>
                <w:lang w:val="en-US" w:eastAsia="zh-CN"/>
              </w:rPr>
              <w:t>红旗路派出所</w:t>
            </w:r>
          </w:p>
        </w:tc>
        <w:tc>
          <w:tcPr>
            <w:tcW w:w="1115" w:type="dxa"/>
            <w:gridSpan w:val="2"/>
            <w:vAlign w:val="bottom"/>
          </w:tcPr>
          <w:p w14:paraId="55C77640">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92D4089">
            <w:pPr>
              <w:pStyle w:val="101"/>
              <w:jc w:val="center"/>
              <w:rPr>
                <w:rFonts w:hint="eastAsia" w:eastAsia="宋体"/>
                <w:color w:val="auto"/>
              </w:rPr>
            </w:pPr>
            <w:r>
              <w:rPr>
                <w:rFonts w:hint="eastAsia" w:eastAsia="宋体"/>
                <w:color w:val="auto"/>
                <w:lang w:val="en-US" w:eastAsia="zh-CN"/>
              </w:rPr>
              <w:t>2165</w:t>
            </w:r>
          </w:p>
        </w:tc>
        <w:tc>
          <w:tcPr>
            <w:tcW w:w="729" w:type="pct"/>
            <w:gridSpan w:val="2"/>
            <w:vAlign w:val="center"/>
          </w:tcPr>
          <w:p w14:paraId="029E9917">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0368BFFB">
            <w:pPr>
              <w:pStyle w:val="101"/>
              <w:jc w:val="center"/>
              <w:rPr>
                <w:rFonts w:hint="eastAsia" w:eastAsia="宋体"/>
                <w:color w:val="auto"/>
              </w:rPr>
            </w:pPr>
            <w:r>
              <w:rPr>
                <w:rFonts w:hint="eastAsia" w:eastAsia="宋体"/>
                <w:color w:val="auto"/>
                <w:lang w:val="en-US" w:eastAsia="zh-CN"/>
              </w:rPr>
              <w:t>20</w:t>
            </w:r>
          </w:p>
        </w:tc>
      </w:tr>
      <w:tr w14:paraId="58EB8D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52DFE69">
            <w:pPr>
              <w:pStyle w:val="101"/>
              <w:jc w:val="center"/>
              <w:rPr>
                <w:color w:val="auto"/>
              </w:rPr>
            </w:pPr>
          </w:p>
        </w:tc>
        <w:tc>
          <w:tcPr>
            <w:tcW w:w="390" w:type="pct"/>
            <w:vAlign w:val="center"/>
          </w:tcPr>
          <w:p w14:paraId="334E02E6">
            <w:pPr>
              <w:pStyle w:val="101"/>
              <w:jc w:val="center"/>
              <w:rPr>
                <w:rFonts w:hint="eastAsia" w:eastAsia="宋体"/>
                <w:color w:val="auto"/>
              </w:rPr>
            </w:pPr>
            <w:r>
              <w:rPr>
                <w:rFonts w:hint="eastAsia" w:eastAsia="宋体"/>
                <w:color w:val="auto"/>
                <w:lang w:val="en-US" w:eastAsia="zh-CN"/>
              </w:rPr>
              <w:t>68</w:t>
            </w:r>
          </w:p>
        </w:tc>
        <w:tc>
          <w:tcPr>
            <w:tcW w:w="1713" w:type="pct"/>
            <w:vAlign w:val="center"/>
          </w:tcPr>
          <w:p w14:paraId="7B5F2EAD">
            <w:pPr>
              <w:pStyle w:val="101"/>
              <w:jc w:val="center"/>
              <w:rPr>
                <w:rFonts w:hint="eastAsia" w:eastAsia="宋体"/>
                <w:color w:val="auto"/>
              </w:rPr>
            </w:pPr>
            <w:r>
              <w:rPr>
                <w:rFonts w:hint="eastAsia" w:eastAsia="宋体"/>
                <w:color w:val="auto"/>
                <w:lang w:val="en-US" w:eastAsia="zh-CN"/>
              </w:rPr>
              <w:t>红旗小区</w:t>
            </w:r>
          </w:p>
        </w:tc>
        <w:tc>
          <w:tcPr>
            <w:tcW w:w="1115" w:type="dxa"/>
            <w:gridSpan w:val="2"/>
            <w:vAlign w:val="bottom"/>
          </w:tcPr>
          <w:p w14:paraId="3725B287">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64D2606">
            <w:pPr>
              <w:pStyle w:val="101"/>
              <w:jc w:val="center"/>
              <w:rPr>
                <w:rFonts w:hint="eastAsia" w:eastAsia="宋体"/>
                <w:color w:val="auto"/>
              </w:rPr>
            </w:pPr>
            <w:r>
              <w:rPr>
                <w:rFonts w:hint="eastAsia" w:eastAsia="宋体"/>
                <w:color w:val="auto"/>
                <w:lang w:val="en-US" w:eastAsia="zh-CN"/>
              </w:rPr>
              <w:t>2180</w:t>
            </w:r>
          </w:p>
        </w:tc>
        <w:tc>
          <w:tcPr>
            <w:tcW w:w="729" w:type="pct"/>
            <w:gridSpan w:val="2"/>
            <w:vAlign w:val="center"/>
          </w:tcPr>
          <w:p w14:paraId="21BD3069">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1BA8296E">
            <w:pPr>
              <w:pStyle w:val="101"/>
              <w:jc w:val="center"/>
              <w:rPr>
                <w:rFonts w:hint="eastAsia" w:eastAsia="宋体"/>
                <w:color w:val="auto"/>
              </w:rPr>
            </w:pPr>
            <w:r>
              <w:rPr>
                <w:rFonts w:hint="eastAsia" w:eastAsia="宋体"/>
                <w:color w:val="auto"/>
                <w:lang w:val="en-US" w:eastAsia="zh-CN"/>
              </w:rPr>
              <w:t>4500</w:t>
            </w:r>
          </w:p>
        </w:tc>
      </w:tr>
      <w:tr w14:paraId="348A43A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68077C4">
            <w:pPr>
              <w:pStyle w:val="101"/>
              <w:jc w:val="center"/>
              <w:rPr>
                <w:color w:val="auto"/>
              </w:rPr>
            </w:pPr>
          </w:p>
        </w:tc>
        <w:tc>
          <w:tcPr>
            <w:tcW w:w="390" w:type="pct"/>
            <w:vAlign w:val="center"/>
          </w:tcPr>
          <w:p w14:paraId="5E3FB6A6">
            <w:pPr>
              <w:pStyle w:val="101"/>
              <w:jc w:val="center"/>
              <w:rPr>
                <w:rFonts w:hint="eastAsia" w:eastAsia="宋体"/>
                <w:color w:val="auto"/>
              </w:rPr>
            </w:pPr>
            <w:r>
              <w:rPr>
                <w:rFonts w:hint="eastAsia" w:eastAsia="宋体"/>
                <w:color w:val="auto"/>
                <w:lang w:val="en-US" w:eastAsia="zh-CN"/>
              </w:rPr>
              <w:t>69</w:t>
            </w:r>
          </w:p>
        </w:tc>
        <w:tc>
          <w:tcPr>
            <w:tcW w:w="1713" w:type="pct"/>
            <w:vAlign w:val="center"/>
          </w:tcPr>
          <w:p w14:paraId="69B22FD2">
            <w:pPr>
              <w:pStyle w:val="101"/>
              <w:jc w:val="center"/>
              <w:rPr>
                <w:rFonts w:hint="eastAsia" w:eastAsia="宋体"/>
                <w:color w:val="auto"/>
              </w:rPr>
            </w:pPr>
            <w:r>
              <w:rPr>
                <w:rFonts w:hint="eastAsia" w:eastAsia="宋体"/>
                <w:color w:val="auto"/>
                <w:lang w:val="en-US" w:eastAsia="zh-CN"/>
              </w:rPr>
              <w:t>鹤岗市工农区政府</w:t>
            </w:r>
          </w:p>
        </w:tc>
        <w:tc>
          <w:tcPr>
            <w:tcW w:w="1115" w:type="dxa"/>
            <w:gridSpan w:val="2"/>
            <w:vAlign w:val="bottom"/>
          </w:tcPr>
          <w:p w14:paraId="03A1EDDA">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11F42F68">
            <w:pPr>
              <w:pStyle w:val="101"/>
              <w:jc w:val="center"/>
              <w:rPr>
                <w:rFonts w:hint="eastAsia" w:eastAsia="宋体"/>
                <w:color w:val="auto"/>
              </w:rPr>
            </w:pPr>
            <w:r>
              <w:rPr>
                <w:rFonts w:hint="eastAsia" w:eastAsia="宋体"/>
                <w:color w:val="auto"/>
                <w:lang w:val="en-US" w:eastAsia="zh-CN"/>
              </w:rPr>
              <w:t>2184</w:t>
            </w:r>
          </w:p>
        </w:tc>
        <w:tc>
          <w:tcPr>
            <w:tcW w:w="729" w:type="pct"/>
            <w:gridSpan w:val="2"/>
            <w:vAlign w:val="center"/>
          </w:tcPr>
          <w:p w14:paraId="4077D101">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8729BE2">
            <w:pPr>
              <w:pStyle w:val="101"/>
              <w:jc w:val="center"/>
              <w:rPr>
                <w:rFonts w:hint="eastAsia" w:eastAsia="宋体"/>
                <w:color w:val="auto"/>
              </w:rPr>
            </w:pPr>
            <w:r>
              <w:rPr>
                <w:rFonts w:hint="eastAsia" w:eastAsia="宋体"/>
                <w:color w:val="auto"/>
                <w:lang w:val="en-US" w:eastAsia="zh-CN"/>
              </w:rPr>
              <w:t>120</w:t>
            </w:r>
          </w:p>
        </w:tc>
      </w:tr>
      <w:tr w14:paraId="64124E6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F81E397">
            <w:pPr>
              <w:pStyle w:val="101"/>
              <w:jc w:val="center"/>
              <w:rPr>
                <w:color w:val="auto"/>
              </w:rPr>
            </w:pPr>
          </w:p>
        </w:tc>
        <w:tc>
          <w:tcPr>
            <w:tcW w:w="390" w:type="pct"/>
            <w:vAlign w:val="center"/>
          </w:tcPr>
          <w:p w14:paraId="0E30F18B">
            <w:pPr>
              <w:pStyle w:val="101"/>
              <w:jc w:val="center"/>
              <w:rPr>
                <w:rFonts w:hint="eastAsia" w:eastAsia="宋体"/>
                <w:color w:val="auto"/>
              </w:rPr>
            </w:pPr>
            <w:r>
              <w:rPr>
                <w:rFonts w:hint="eastAsia" w:eastAsia="宋体"/>
                <w:color w:val="auto"/>
                <w:lang w:val="en-US" w:eastAsia="zh-CN"/>
              </w:rPr>
              <w:t>70</w:t>
            </w:r>
          </w:p>
        </w:tc>
        <w:tc>
          <w:tcPr>
            <w:tcW w:w="1713" w:type="pct"/>
            <w:vAlign w:val="center"/>
          </w:tcPr>
          <w:p w14:paraId="68584BC6">
            <w:pPr>
              <w:pStyle w:val="101"/>
              <w:jc w:val="center"/>
              <w:rPr>
                <w:rFonts w:hint="eastAsia" w:eastAsia="宋体"/>
                <w:color w:val="auto"/>
              </w:rPr>
            </w:pPr>
            <w:r>
              <w:rPr>
                <w:rFonts w:hint="eastAsia" w:eastAsia="宋体"/>
                <w:color w:val="auto"/>
                <w:lang w:val="en-US" w:eastAsia="zh-CN"/>
              </w:rPr>
              <w:t>工农区人民法院少年法庭</w:t>
            </w:r>
          </w:p>
        </w:tc>
        <w:tc>
          <w:tcPr>
            <w:tcW w:w="1115" w:type="dxa"/>
            <w:gridSpan w:val="2"/>
            <w:vAlign w:val="bottom"/>
          </w:tcPr>
          <w:p w14:paraId="187C0CFF">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5C9FDB3">
            <w:pPr>
              <w:pStyle w:val="101"/>
              <w:jc w:val="center"/>
              <w:rPr>
                <w:rFonts w:hint="eastAsia" w:eastAsia="宋体"/>
                <w:color w:val="auto"/>
              </w:rPr>
            </w:pPr>
            <w:r>
              <w:rPr>
                <w:rFonts w:hint="eastAsia" w:eastAsia="宋体"/>
                <w:color w:val="auto"/>
                <w:lang w:val="en-US" w:eastAsia="zh-CN"/>
              </w:rPr>
              <w:t>2230</w:t>
            </w:r>
          </w:p>
        </w:tc>
        <w:tc>
          <w:tcPr>
            <w:tcW w:w="729" w:type="pct"/>
            <w:gridSpan w:val="2"/>
            <w:vAlign w:val="center"/>
          </w:tcPr>
          <w:p w14:paraId="3C4F8E0C">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31747045">
            <w:pPr>
              <w:pStyle w:val="101"/>
              <w:jc w:val="center"/>
              <w:rPr>
                <w:rFonts w:hint="eastAsia" w:eastAsia="宋体"/>
                <w:color w:val="auto"/>
              </w:rPr>
            </w:pPr>
            <w:r>
              <w:rPr>
                <w:rFonts w:hint="eastAsia" w:eastAsia="宋体"/>
                <w:color w:val="auto"/>
                <w:lang w:val="en-US" w:eastAsia="zh-CN"/>
              </w:rPr>
              <w:t>35</w:t>
            </w:r>
          </w:p>
        </w:tc>
      </w:tr>
      <w:tr w14:paraId="5A22517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32EC458">
            <w:pPr>
              <w:pStyle w:val="101"/>
              <w:jc w:val="center"/>
              <w:rPr>
                <w:color w:val="auto"/>
              </w:rPr>
            </w:pPr>
          </w:p>
        </w:tc>
        <w:tc>
          <w:tcPr>
            <w:tcW w:w="390" w:type="pct"/>
            <w:vAlign w:val="center"/>
          </w:tcPr>
          <w:p w14:paraId="62C794C7">
            <w:pPr>
              <w:pStyle w:val="101"/>
              <w:jc w:val="center"/>
              <w:rPr>
                <w:rFonts w:hint="eastAsia" w:eastAsia="宋体"/>
                <w:color w:val="auto"/>
              </w:rPr>
            </w:pPr>
            <w:r>
              <w:rPr>
                <w:rFonts w:hint="eastAsia" w:eastAsia="宋体"/>
                <w:color w:val="auto"/>
                <w:lang w:val="en-US" w:eastAsia="zh-CN"/>
              </w:rPr>
              <w:t>71</w:t>
            </w:r>
          </w:p>
        </w:tc>
        <w:tc>
          <w:tcPr>
            <w:tcW w:w="1713" w:type="pct"/>
            <w:vAlign w:val="center"/>
          </w:tcPr>
          <w:p w14:paraId="51F58827">
            <w:pPr>
              <w:pStyle w:val="101"/>
              <w:jc w:val="center"/>
              <w:rPr>
                <w:rFonts w:hint="eastAsia" w:eastAsia="宋体"/>
                <w:color w:val="auto"/>
              </w:rPr>
            </w:pPr>
            <w:r>
              <w:rPr>
                <w:rFonts w:hint="eastAsia" w:eastAsia="宋体"/>
                <w:color w:val="auto"/>
                <w:lang w:val="en-US" w:eastAsia="zh-CN"/>
              </w:rPr>
              <w:t>鹤岗市工农区人民法院</w:t>
            </w:r>
          </w:p>
        </w:tc>
        <w:tc>
          <w:tcPr>
            <w:tcW w:w="1115" w:type="dxa"/>
            <w:gridSpan w:val="2"/>
            <w:vAlign w:val="bottom"/>
          </w:tcPr>
          <w:p w14:paraId="33A4BE12">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B53A444">
            <w:pPr>
              <w:pStyle w:val="101"/>
              <w:jc w:val="center"/>
              <w:rPr>
                <w:rFonts w:hint="eastAsia" w:eastAsia="宋体"/>
                <w:color w:val="auto"/>
              </w:rPr>
            </w:pPr>
            <w:r>
              <w:rPr>
                <w:rFonts w:hint="eastAsia" w:eastAsia="宋体"/>
                <w:color w:val="auto"/>
                <w:lang w:val="en-US" w:eastAsia="zh-CN"/>
              </w:rPr>
              <w:t>2250</w:t>
            </w:r>
          </w:p>
        </w:tc>
        <w:tc>
          <w:tcPr>
            <w:tcW w:w="729" w:type="pct"/>
            <w:gridSpan w:val="2"/>
            <w:vAlign w:val="center"/>
          </w:tcPr>
          <w:p w14:paraId="37AE1DD0">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2B82AEFD">
            <w:pPr>
              <w:pStyle w:val="101"/>
              <w:jc w:val="center"/>
              <w:rPr>
                <w:rFonts w:hint="eastAsia" w:eastAsia="宋体"/>
                <w:color w:val="auto"/>
              </w:rPr>
            </w:pPr>
            <w:r>
              <w:rPr>
                <w:rFonts w:hint="eastAsia" w:eastAsia="宋体"/>
                <w:color w:val="auto"/>
                <w:lang w:val="en-US" w:eastAsia="zh-CN"/>
              </w:rPr>
              <w:t>100</w:t>
            </w:r>
          </w:p>
        </w:tc>
      </w:tr>
      <w:tr w14:paraId="42E718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32BC2EE">
            <w:pPr>
              <w:pStyle w:val="101"/>
              <w:jc w:val="center"/>
              <w:rPr>
                <w:color w:val="auto"/>
              </w:rPr>
            </w:pPr>
          </w:p>
        </w:tc>
        <w:tc>
          <w:tcPr>
            <w:tcW w:w="390" w:type="pct"/>
            <w:vAlign w:val="center"/>
          </w:tcPr>
          <w:p w14:paraId="2C1819AD">
            <w:pPr>
              <w:pStyle w:val="101"/>
              <w:jc w:val="center"/>
              <w:rPr>
                <w:rFonts w:hint="eastAsia" w:eastAsia="宋体"/>
                <w:color w:val="auto"/>
              </w:rPr>
            </w:pPr>
            <w:r>
              <w:rPr>
                <w:rFonts w:hint="eastAsia" w:eastAsia="宋体"/>
                <w:color w:val="auto"/>
                <w:lang w:val="en-US" w:eastAsia="zh-CN"/>
              </w:rPr>
              <w:t>72</w:t>
            </w:r>
          </w:p>
        </w:tc>
        <w:tc>
          <w:tcPr>
            <w:tcW w:w="1713" w:type="pct"/>
            <w:vAlign w:val="center"/>
          </w:tcPr>
          <w:p w14:paraId="61192C77">
            <w:pPr>
              <w:pStyle w:val="101"/>
              <w:jc w:val="center"/>
              <w:rPr>
                <w:rFonts w:hint="eastAsia" w:eastAsia="宋体"/>
                <w:color w:val="auto"/>
              </w:rPr>
            </w:pPr>
            <w:r>
              <w:rPr>
                <w:rFonts w:hint="eastAsia" w:eastAsia="宋体"/>
                <w:color w:val="auto"/>
                <w:lang w:val="en-US" w:eastAsia="zh-CN"/>
              </w:rPr>
              <w:t>书香苑</w:t>
            </w:r>
          </w:p>
        </w:tc>
        <w:tc>
          <w:tcPr>
            <w:tcW w:w="1115" w:type="dxa"/>
            <w:gridSpan w:val="2"/>
            <w:vAlign w:val="bottom"/>
          </w:tcPr>
          <w:p w14:paraId="3017026F">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E5B901A">
            <w:pPr>
              <w:pStyle w:val="101"/>
              <w:jc w:val="center"/>
              <w:rPr>
                <w:rFonts w:hint="eastAsia" w:eastAsia="宋体"/>
                <w:color w:val="auto"/>
              </w:rPr>
            </w:pPr>
            <w:r>
              <w:rPr>
                <w:rFonts w:hint="eastAsia" w:eastAsia="宋体"/>
                <w:color w:val="auto"/>
                <w:lang w:val="en-US" w:eastAsia="zh-CN"/>
              </w:rPr>
              <w:t>2260</w:t>
            </w:r>
          </w:p>
        </w:tc>
        <w:tc>
          <w:tcPr>
            <w:tcW w:w="729" w:type="pct"/>
            <w:gridSpan w:val="2"/>
            <w:vAlign w:val="center"/>
          </w:tcPr>
          <w:p w14:paraId="46DEC71E">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598B839D">
            <w:pPr>
              <w:pStyle w:val="101"/>
              <w:jc w:val="center"/>
              <w:rPr>
                <w:rFonts w:hint="eastAsia" w:eastAsia="宋体"/>
                <w:color w:val="auto"/>
              </w:rPr>
            </w:pPr>
            <w:r>
              <w:rPr>
                <w:rFonts w:hint="eastAsia" w:eastAsia="宋体"/>
                <w:color w:val="auto"/>
                <w:lang w:val="en-US" w:eastAsia="zh-CN"/>
              </w:rPr>
              <w:t>4000</w:t>
            </w:r>
          </w:p>
        </w:tc>
      </w:tr>
      <w:tr w14:paraId="157F3C7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00A5387">
            <w:pPr>
              <w:pStyle w:val="101"/>
              <w:jc w:val="center"/>
              <w:rPr>
                <w:color w:val="auto"/>
              </w:rPr>
            </w:pPr>
          </w:p>
        </w:tc>
        <w:tc>
          <w:tcPr>
            <w:tcW w:w="390" w:type="pct"/>
            <w:vAlign w:val="center"/>
          </w:tcPr>
          <w:p w14:paraId="01EF561F">
            <w:pPr>
              <w:pStyle w:val="101"/>
              <w:jc w:val="center"/>
              <w:rPr>
                <w:rFonts w:hint="eastAsia" w:eastAsia="宋体"/>
                <w:color w:val="auto"/>
              </w:rPr>
            </w:pPr>
            <w:r>
              <w:rPr>
                <w:rFonts w:hint="eastAsia" w:eastAsia="宋体"/>
                <w:color w:val="auto"/>
                <w:lang w:val="en-US" w:eastAsia="zh-CN"/>
              </w:rPr>
              <w:t>73</w:t>
            </w:r>
          </w:p>
        </w:tc>
        <w:tc>
          <w:tcPr>
            <w:tcW w:w="1713" w:type="pct"/>
            <w:vAlign w:val="center"/>
          </w:tcPr>
          <w:p w14:paraId="2EE626AD">
            <w:pPr>
              <w:pStyle w:val="101"/>
              <w:jc w:val="center"/>
              <w:rPr>
                <w:rFonts w:hint="eastAsia" w:eastAsia="宋体"/>
                <w:color w:val="auto"/>
              </w:rPr>
            </w:pPr>
            <w:r>
              <w:rPr>
                <w:rFonts w:hint="eastAsia" w:eastAsia="宋体"/>
                <w:color w:val="auto"/>
                <w:lang w:val="en-US" w:eastAsia="zh-CN"/>
              </w:rPr>
              <w:t>鹤岗市育才中学</w:t>
            </w:r>
          </w:p>
        </w:tc>
        <w:tc>
          <w:tcPr>
            <w:tcW w:w="1115" w:type="dxa"/>
            <w:gridSpan w:val="2"/>
            <w:vAlign w:val="bottom"/>
          </w:tcPr>
          <w:p w14:paraId="39DEBB83">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CDD8A3E">
            <w:pPr>
              <w:pStyle w:val="101"/>
              <w:jc w:val="center"/>
              <w:rPr>
                <w:rFonts w:hint="eastAsia" w:eastAsia="宋体"/>
                <w:color w:val="auto"/>
              </w:rPr>
            </w:pPr>
            <w:r>
              <w:rPr>
                <w:rFonts w:hint="eastAsia" w:eastAsia="宋体"/>
                <w:color w:val="auto"/>
                <w:lang w:val="en-US" w:eastAsia="zh-CN"/>
              </w:rPr>
              <w:t>2280</w:t>
            </w:r>
          </w:p>
        </w:tc>
        <w:tc>
          <w:tcPr>
            <w:tcW w:w="729" w:type="pct"/>
            <w:gridSpan w:val="2"/>
            <w:vAlign w:val="center"/>
          </w:tcPr>
          <w:p w14:paraId="69D5E18D">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4B5BFDE8">
            <w:pPr>
              <w:pStyle w:val="101"/>
              <w:jc w:val="center"/>
              <w:rPr>
                <w:rFonts w:hint="eastAsia" w:eastAsia="宋体"/>
                <w:color w:val="auto"/>
              </w:rPr>
            </w:pPr>
            <w:r>
              <w:rPr>
                <w:rFonts w:hint="eastAsia" w:eastAsia="宋体"/>
                <w:color w:val="auto"/>
                <w:lang w:val="en-US" w:eastAsia="zh-CN"/>
              </w:rPr>
              <w:t>900</w:t>
            </w:r>
          </w:p>
        </w:tc>
      </w:tr>
      <w:tr w14:paraId="4DD1F1B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C633FED">
            <w:pPr>
              <w:pStyle w:val="101"/>
              <w:jc w:val="center"/>
              <w:rPr>
                <w:color w:val="auto"/>
              </w:rPr>
            </w:pPr>
          </w:p>
        </w:tc>
        <w:tc>
          <w:tcPr>
            <w:tcW w:w="390" w:type="pct"/>
            <w:vAlign w:val="center"/>
          </w:tcPr>
          <w:p w14:paraId="051FA9D2">
            <w:pPr>
              <w:pStyle w:val="101"/>
              <w:jc w:val="center"/>
              <w:rPr>
                <w:rFonts w:hint="eastAsia" w:eastAsia="宋体"/>
                <w:color w:val="auto"/>
              </w:rPr>
            </w:pPr>
            <w:r>
              <w:rPr>
                <w:rFonts w:hint="eastAsia" w:eastAsia="宋体"/>
                <w:color w:val="auto"/>
                <w:lang w:val="en-US" w:eastAsia="zh-CN"/>
              </w:rPr>
              <w:t>74</w:t>
            </w:r>
          </w:p>
        </w:tc>
        <w:tc>
          <w:tcPr>
            <w:tcW w:w="1713" w:type="pct"/>
            <w:vAlign w:val="center"/>
          </w:tcPr>
          <w:p w14:paraId="7FF0059F">
            <w:pPr>
              <w:pStyle w:val="101"/>
              <w:jc w:val="center"/>
              <w:rPr>
                <w:rFonts w:hint="eastAsia" w:eastAsia="宋体"/>
                <w:color w:val="auto"/>
              </w:rPr>
            </w:pPr>
            <w:r>
              <w:rPr>
                <w:rFonts w:hint="eastAsia" w:eastAsia="宋体"/>
                <w:color w:val="auto"/>
                <w:lang w:val="en-US" w:eastAsia="zh-CN"/>
              </w:rPr>
              <w:t>黑龙江省鹤岗市工农区人民检察院</w:t>
            </w:r>
          </w:p>
        </w:tc>
        <w:tc>
          <w:tcPr>
            <w:tcW w:w="1115" w:type="dxa"/>
            <w:gridSpan w:val="2"/>
            <w:vAlign w:val="bottom"/>
          </w:tcPr>
          <w:p w14:paraId="405FB5B5">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23AD59E">
            <w:pPr>
              <w:pStyle w:val="101"/>
              <w:jc w:val="center"/>
              <w:rPr>
                <w:rFonts w:hint="eastAsia" w:eastAsia="宋体"/>
                <w:color w:val="auto"/>
              </w:rPr>
            </w:pPr>
            <w:r>
              <w:rPr>
                <w:rFonts w:hint="eastAsia" w:eastAsia="宋体"/>
                <w:color w:val="auto"/>
                <w:lang w:val="en-US" w:eastAsia="zh-CN"/>
              </w:rPr>
              <w:t>2290</w:t>
            </w:r>
          </w:p>
        </w:tc>
        <w:tc>
          <w:tcPr>
            <w:tcW w:w="729" w:type="pct"/>
            <w:gridSpan w:val="2"/>
            <w:vAlign w:val="center"/>
          </w:tcPr>
          <w:p w14:paraId="45DF08DB">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6A4B2E88">
            <w:pPr>
              <w:pStyle w:val="101"/>
              <w:jc w:val="center"/>
              <w:rPr>
                <w:rFonts w:hint="eastAsia" w:eastAsia="宋体"/>
                <w:color w:val="auto"/>
              </w:rPr>
            </w:pPr>
            <w:r>
              <w:rPr>
                <w:rFonts w:hint="eastAsia" w:eastAsia="宋体"/>
                <w:color w:val="auto"/>
                <w:lang w:val="en-US" w:eastAsia="zh-CN"/>
              </w:rPr>
              <w:t>100</w:t>
            </w:r>
          </w:p>
        </w:tc>
      </w:tr>
      <w:tr w14:paraId="7C7858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9EF0621">
            <w:pPr>
              <w:pStyle w:val="101"/>
              <w:jc w:val="center"/>
              <w:rPr>
                <w:color w:val="auto"/>
              </w:rPr>
            </w:pPr>
          </w:p>
        </w:tc>
        <w:tc>
          <w:tcPr>
            <w:tcW w:w="390" w:type="pct"/>
            <w:vAlign w:val="center"/>
          </w:tcPr>
          <w:p w14:paraId="4D036604">
            <w:pPr>
              <w:pStyle w:val="101"/>
              <w:jc w:val="center"/>
              <w:rPr>
                <w:rFonts w:hint="eastAsia" w:eastAsia="宋体"/>
                <w:color w:val="auto"/>
              </w:rPr>
            </w:pPr>
            <w:r>
              <w:rPr>
                <w:rFonts w:hint="eastAsia" w:eastAsia="宋体"/>
                <w:color w:val="auto"/>
                <w:lang w:val="en-US" w:eastAsia="zh-CN"/>
              </w:rPr>
              <w:t>75</w:t>
            </w:r>
          </w:p>
        </w:tc>
        <w:tc>
          <w:tcPr>
            <w:tcW w:w="1713" w:type="pct"/>
            <w:vAlign w:val="center"/>
          </w:tcPr>
          <w:p w14:paraId="4A6744A9">
            <w:pPr>
              <w:pStyle w:val="101"/>
              <w:jc w:val="center"/>
              <w:rPr>
                <w:rFonts w:hint="eastAsia" w:eastAsia="宋体"/>
                <w:color w:val="auto"/>
              </w:rPr>
            </w:pPr>
            <w:r>
              <w:rPr>
                <w:rFonts w:hint="eastAsia" w:eastAsia="宋体"/>
                <w:color w:val="auto"/>
                <w:lang w:val="en-US" w:eastAsia="zh-CN"/>
              </w:rPr>
              <w:t>福临家园</w:t>
            </w:r>
          </w:p>
        </w:tc>
        <w:tc>
          <w:tcPr>
            <w:tcW w:w="1115" w:type="dxa"/>
            <w:gridSpan w:val="2"/>
            <w:vAlign w:val="bottom"/>
          </w:tcPr>
          <w:p w14:paraId="42144F1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692B665E">
            <w:pPr>
              <w:pStyle w:val="101"/>
              <w:jc w:val="center"/>
              <w:rPr>
                <w:rFonts w:hint="eastAsia" w:eastAsia="宋体"/>
                <w:color w:val="auto"/>
              </w:rPr>
            </w:pPr>
            <w:r>
              <w:rPr>
                <w:rFonts w:hint="eastAsia" w:eastAsia="宋体"/>
                <w:color w:val="auto"/>
                <w:lang w:val="en-US" w:eastAsia="zh-CN"/>
              </w:rPr>
              <w:t>2290</w:t>
            </w:r>
          </w:p>
        </w:tc>
        <w:tc>
          <w:tcPr>
            <w:tcW w:w="729" w:type="pct"/>
            <w:gridSpan w:val="2"/>
            <w:vAlign w:val="center"/>
          </w:tcPr>
          <w:p w14:paraId="30F61A93">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5750E172">
            <w:pPr>
              <w:pStyle w:val="101"/>
              <w:jc w:val="center"/>
              <w:rPr>
                <w:rFonts w:hint="eastAsia" w:eastAsia="宋体"/>
                <w:color w:val="auto"/>
              </w:rPr>
            </w:pPr>
            <w:r>
              <w:rPr>
                <w:rFonts w:hint="eastAsia" w:eastAsia="宋体"/>
                <w:color w:val="auto"/>
                <w:lang w:val="en-US" w:eastAsia="zh-CN"/>
              </w:rPr>
              <w:t>6000</w:t>
            </w:r>
          </w:p>
        </w:tc>
      </w:tr>
      <w:tr w14:paraId="1A34A94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C58BACB">
            <w:pPr>
              <w:pStyle w:val="101"/>
              <w:jc w:val="center"/>
              <w:rPr>
                <w:color w:val="auto"/>
              </w:rPr>
            </w:pPr>
          </w:p>
        </w:tc>
        <w:tc>
          <w:tcPr>
            <w:tcW w:w="390" w:type="pct"/>
            <w:vAlign w:val="center"/>
          </w:tcPr>
          <w:p w14:paraId="08E9124D">
            <w:pPr>
              <w:pStyle w:val="101"/>
              <w:jc w:val="center"/>
              <w:rPr>
                <w:rFonts w:hint="eastAsia" w:eastAsia="宋体"/>
                <w:color w:val="auto"/>
              </w:rPr>
            </w:pPr>
            <w:r>
              <w:rPr>
                <w:rFonts w:hint="eastAsia" w:eastAsia="宋体"/>
                <w:color w:val="auto"/>
                <w:lang w:val="en-US" w:eastAsia="zh-CN"/>
              </w:rPr>
              <w:t>76</w:t>
            </w:r>
          </w:p>
        </w:tc>
        <w:tc>
          <w:tcPr>
            <w:tcW w:w="1713" w:type="pct"/>
            <w:vAlign w:val="center"/>
          </w:tcPr>
          <w:p w14:paraId="53A5CC62">
            <w:pPr>
              <w:pStyle w:val="101"/>
              <w:jc w:val="center"/>
              <w:rPr>
                <w:rFonts w:hint="eastAsia" w:eastAsia="宋体"/>
                <w:color w:val="auto"/>
              </w:rPr>
            </w:pPr>
            <w:r>
              <w:rPr>
                <w:rFonts w:hint="eastAsia" w:eastAsia="宋体"/>
                <w:color w:val="auto"/>
                <w:lang w:val="en-US" w:eastAsia="zh-CN"/>
              </w:rPr>
              <w:t>鹤丰园</w:t>
            </w:r>
          </w:p>
        </w:tc>
        <w:tc>
          <w:tcPr>
            <w:tcW w:w="1115" w:type="dxa"/>
            <w:gridSpan w:val="2"/>
            <w:vAlign w:val="bottom"/>
          </w:tcPr>
          <w:p w14:paraId="26F2B05A">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37EE1A3F">
            <w:pPr>
              <w:pStyle w:val="101"/>
              <w:jc w:val="center"/>
              <w:rPr>
                <w:rFonts w:hint="eastAsia" w:eastAsia="宋体"/>
                <w:color w:val="auto"/>
              </w:rPr>
            </w:pPr>
            <w:r>
              <w:rPr>
                <w:rFonts w:hint="eastAsia" w:eastAsia="宋体"/>
                <w:color w:val="auto"/>
                <w:lang w:val="en-US" w:eastAsia="zh-CN"/>
              </w:rPr>
              <w:t>2315</w:t>
            </w:r>
          </w:p>
        </w:tc>
        <w:tc>
          <w:tcPr>
            <w:tcW w:w="729" w:type="pct"/>
            <w:gridSpan w:val="2"/>
            <w:vAlign w:val="center"/>
          </w:tcPr>
          <w:p w14:paraId="567EB114">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49E4618E">
            <w:pPr>
              <w:pStyle w:val="101"/>
              <w:jc w:val="center"/>
              <w:rPr>
                <w:rFonts w:hint="eastAsia" w:eastAsia="宋体"/>
                <w:color w:val="auto"/>
              </w:rPr>
            </w:pPr>
            <w:r>
              <w:rPr>
                <w:rFonts w:hint="eastAsia" w:eastAsia="宋体"/>
                <w:color w:val="auto"/>
                <w:lang w:val="en-US" w:eastAsia="zh-CN"/>
              </w:rPr>
              <w:t>7000</w:t>
            </w:r>
          </w:p>
        </w:tc>
      </w:tr>
      <w:tr w14:paraId="3301E24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05A9A2A">
            <w:pPr>
              <w:pStyle w:val="101"/>
              <w:jc w:val="center"/>
              <w:rPr>
                <w:color w:val="auto"/>
              </w:rPr>
            </w:pPr>
          </w:p>
        </w:tc>
        <w:tc>
          <w:tcPr>
            <w:tcW w:w="390" w:type="pct"/>
            <w:vAlign w:val="center"/>
          </w:tcPr>
          <w:p w14:paraId="7584917F">
            <w:pPr>
              <w:pStyle w:val="101"/>
              <w:jc w:val="center"/>
              <w:rPr>
                <w:rFonts w:hint="eastAsia" w:eastAsia="宋体"/>
                <w:color w:val="auto"/>
              </w:rPr>
            </w:pPr>
            <w:r>
              <w:rPr>
                <w:rFonts w:hint="eastAsia" w:eastAsia="宋体"/>
                <w:color w:val="auto"/>
                <w:lang w:val="en-US" w:eastAsia="zh-CN"/>
              </w:rPr>
              <w:t>77</w:t>
            </w:r>
          </w:p>
        </w:tc>
        <w:tc>
          <w:tcPr>
            <w:tcW w:w="1713" w:type="pct"/>
            <w:vAlign w:val="center"/>
          </w:tcPr>
          <w:p w14:paraId="0F3B7D51">
            <w:pPr>
              <w:pStyle w:val="101"/>
              <w:jc w:val="center"/>
              <w:rPr>
                <w:rFonts w:hint="eastAsia" w:eastAsia="宋体"/>
                <w:color w:val="auto"/>
              </w:rPr>
            </w:pPr>
            <w:r>
              <w:rPr>
                <w:rFonts w:hint="eastAsia" w:eastAsia="宋体"/>
                <w:color w:val="auto"/>
                <w:lang w:val="en-US" w:eastAsia="zh-CN"/>
              </w:rPr>
              <w:t>丰麟家园</w:t>
            </w:r>
          </w:p>
        </w:tc>
        <w:tc>
          <w:tcPr>
            <w:tcW w:w="1115" w:type="dxa"/>
            <w:gridSpan w:val="2"/>
            <w:vAlign w:val="bottom"/>
          </w:tcPr>
          <w:p w14:paraId="2FC1A532">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A061A31">
            <w:pPr>
              <w:pStyle w:val="101"/>
              <w:jc w:val="center"/>
              <w:rPr>
                <w:rFonts w:hint="eastAsia" w:eastAsia="宋体"/>
                <w:color w:val="auto"/>
              </w:rPr>
            </w:pPr>
            <w:r>
              <w:rPr>
                <w:rFonts w:hint="eastAsia" w:eastAsia="宋体"/>
                <w:color w:val="auto"/>
                <w:lang w:val="en-US" w:eastAsia="zh-CN"/>
              </w:rPr>
              <w:t>2340</w:t>
            </w:r>
          </w:p>
        </w:tc>
        <w:tc>
          <w:tcPr>
            <w:tcW w:w="729" w:type="pct"/>
            <w:gridSpan w:val="2"/>
            <w:vAlign w:val="center"/>
          </w:tcPr>
          <w:p w14:paraId="1C8E3623">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188228B2">
            <w:pPr>
              <w:pStyle w:val="101"/>
              <w:jc w:val="center"/>
              <w:rPr>
                <w:rFonts w:hint="eastAsia" w:eastAsia="宋体"/>
                <w:color w:val="auto"/>
              </w:rPr>
            </w:pPr>
            <w:r>
              <w:rPr>
                <w:rFonts w:hint="eastAsia" w:eastAsia="宋体"/>
                <w:color w:val="auto"/>
                <w:lang w:val="en-US" w:eastAsia="zh-CN"/>
              </w:rPr>
              <w:t>8000</w:t>
            </w:r>
          </w:p>
        </w:tc>
      </w:tr>
      <w:tr w14:paraId="5F551E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56A8AC0">
            <w:pPr>
              <w:pStyle w:val="101"/>
              <w:jc w:val="center"/>
              <w:rPr>
                <w:color w:val="auto"/>
              </w:rPr>
            </w:pPr>
          </w:p>
        </w:tc>
        <w:tc>
          <w:tcPr>
            <w:tcW w:w="390" w:type="pct"/>
            <w:vAlign w:val="center"/>
          </w:tcPr>
          <w:p w14:paraId="41E63902">
            <w:pPr>
              <w:pStyle w:val="101"/>
              <w:jc w:val="center"/>
              <w:rPr>
                <w:rFonts w:hint="eastAsia" w:eastAsia="宋体"/>
                <w:color w:val="auto"/>
              </w:rPr>
            </w:pPr>
            <w:r>
              <w:rPr>
                <w:rFonts w:hint="eastAsia" w:eastAsia="宋体"/>
                <w:color w:val="auto"/>
                <w:lang w:val="en-US" w:eastAsia="zh-CN"/>
              </w:rPr>
              <w:t>78</w:t>
            </w:r>
          </w:p>
        </w:tc>
        <w:tc>
          <w:tcPr>
            <w:tcW w:w="1713" w:type="pct"/>
            <w:vAlign w:val="center"/>
          </w:tcPr>
          <w:p w14:paraId="7C2727E8">
            <w:pPr>
              <w:pStyle w:val="101"/>
              <w:jc w:val="center"/>
              <w:rPr>
                <w:rFonts w:hint="eastAsia" w:eastAsia="宋体"/>
                <w:color w:val="auto"/>
              </w:rPr>
            </w:pPr>
            <w:r>
              <w:rPr>
                <w:rFonts w:hint="eastAsia" w:eastAsia="宋体"/>
                <w:color w:val="auto"/>
                <w:lang w:val="en-US" w:eastAsia="zh-CN"/>
              </w:rPr>
              <w:t>鹤岗市第四中学</w:t>
            </w:r>
          </w:p>
        </w:tc>
        <w:tc>
          <w:tcPr>
            <w:tcW w:w="1115" w:type="dxa"/>
            <w:gridSpan w:val="2"/>
            <w:vAlign w:val="bottom"/>
          </w:tcPr>
          <w:p w14:paraId="7A81A77F">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26C0368">
            <w:pPr>
              <w:pStyle w:val="101"/>
              <w:jc w:val="center"/>
              <w:rPr>
                <w:rFonts w:hint="eastAsia" w:eastAsia="宋体"/>
                <w:color w:val="auto"/>
              </w:rPr>
            </w:pPr>
            <w:r>
              <w:rPr>
                <w:rFonts w:hint="eastAsia" w:eastAsia="宋体"/>
                <w:color w:val="auto"/>
                <w:lang w:val="en-US" w:eastAsia="zh-CN"/>
              </w:rPr>
              <w:t>2350</w:t>
            </w:r>
          </w:p>
        </w:tc>
        <w:tc>
          <w:tcPr>
            <w:tcW w:w="729" w:type="pct"/>
            <w:gridSpan w:val="2"/>
            <w:vAlign w:val="center"/>
          </w:tcPr>
          <w:p w14:paraId="7385E2E3">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73598AB2">
            <w:pPr>
              <w:pStyle w:val="101"/>
              <w:jc w:val="center"/>
              <w:rPr>
                <w:rFonts w:hint="eastAsia" w:eastAsia="宋体"/>
                <w:color w:val="auto"/>
              </w:rPr>
            </w:pPr>
            <w:r>
              <w:rPr>
                <w:rFonts w:hint="eastAsia" w:eastAsia="宋体"/>
                <w:color w:val="auto"/>
                <w:lang w:val="en-US" w:eastAsia="zh-CN"/>
              </w:rPr>
              <w:t>700</w:t>
            </w:r>
          </w:p>
        </w:tc>
      </w:tr>
      <w:tr w14:paraId="3778E95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D837006">
            <w:pPr>
              <w:pStyle w:val="101"/>
              <w:jc w:val="center"/>
              <w:rPr>
                <w:color w:val="auto"/>
              </w:rPr>
            </w:pPr>
          </w:p>
        </w:tc>
        <w:tc>
          <w:tcPr>
            <w:tcW w:w="390" w:type="pct"/>
            <w:vAlign w:val="center"/>
          </w:tcPr>
          <w:p w14:paraId="10A2CF5D">
            <w:pPr>
              <w:pStyle w:val="101"/>
              <w:jc w:val="center"/>
              <w:rPr>
                <w:rFonts w:hint="eastAsia" w:eastAsia="宋体"/>
                <w:color w:val="auto"/>
              </w:rPr>
            </w:pPr>
            <w:r>
              <w:rPr>
                <w:rFonts w:hint="eastAsia" w:eastAsia="宋体"/>
                <w:color w:val="auto"/>
                <w:lang w:val="en-US" w:eastAsia="zh-CN"/>
              </w:rPr>
              <w:t>79</w:t>
            </w:r>
          </w:p>
        </w:tc>
        <w:tc>
          <w:tcPr>
            <w:tcW w:w="1713" w:type="pct"/>
            <w:vAlign w:val="center"/>
          </w:tcPr>
          <w:p w14:paraId="6A428FDF">
            <w:pPr>
              <w:pStyle w:val="101"/>
              <w:jc w:val="center"/>
              <w:rPr>
                <w:rFonts w:hint="eastAsia" w:eastAsia="宋体"/>
                <w:color w:val="auto"/>
              </w:rPr>
            </w:pPr>
            <w:r>
              <w:rPr>
                <w:rFonts w:hint="eastAsia" w:eastAsia="宋体"/>
                <w:color w:val="auto"/>
                <w:lang w:val="en-US" w:eastAsia="zh-CN"/>
              </w:rPr>
              <w:t>学府上苑</w:t>
            </w:r>
          </w:p>
        </w:tc>
        <w:tc>
          <w:tcPr>
            <w:tcW w:w="1115" w:type="dxa"/>
            <w:gridSpan w:val="2"/>
            <w:vAlign w:val="bottom"/>
          </w:tcPr>
          <w:p w14:paraId="34263504">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1533FCA1">
            <w:pPr>
              <w:pStyle w:val="101"/>
              <w:jc w:val="center"/>
              <w:rPr>
                <w:rFonts w:hint="eastAsia" w:eastAsia="宋体"/>
                <w:color w:val="auto"/>
              </w:rPr>
            </w:pPr>
            <w:r>
              <w:rPr>
                <w:rFonts w:hint="eastAsia" w:eastAsia="宋体"/>
                <w:color w:val="auto"/>
                <w:lang w:val="en-US" w:eastAsia="zh-CN"/>
              </w:rPr>
              <w:t>2365</w:t>
            </w:r>
          </w:p>
        </w:tc>
        <w:tc>
          <w:tcPr>
            <w:tcW w:w="729" w:type="pct"/>
            <w:gridSpan w:val="2"/>
            <w:vAlign w:val="center"/>
          </w:tcPr>
          <w:p w14:paraId="2BF5CC12">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22C93366">
            <w:pPr>
              <w:pStyle w:val="101"/>
              <w:jc w:val="center"/>
              <w:rPr>
                <w:rFonts w:hint="eastAsia" w:eastAsia="宋体"/>
                <w:color w:val="auto"/>
              </w:rPr>
            </w:pPr>
            <w:r>
              <w:rPr>
                <w:rFonts w:hint="eastAsia" w:eastAsia="宋体"/>
                <w:color w:val="auto"/>
                <w:lang w:val="en-US" w:eastAsia="zh-CN"/>
              </w:rPr>
              <w:t>3500</w:t>
            </w:r>
          </w:p>
        </w:tc>
      </w:tr>
      <w:tr w14:paraId="7F6E8D5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B250789">
            <w:pPr>
              <w:pStyle w:val="101"/>
              <w:jc w:val="center"/>
              <w:rPr>
                <w:color w:val="auto"/>
              </w:rPr>
            </w:pPr>
          </w:p>
        </w:tc>
        <w:tc>
          <w:tcPr>
            <w:tcW w:w="390" w:type="pct"/>
            <w:vAlign w:val="center"/>
          </w:tcPr>
          <w:p w14:paraId="513387BC">
            <w:pPr>
              <w:pStyle w:val="101"/>
              <w:jc w:val="center"/>
              <w:rPr>
                <w:rFonts w:hint="eastAsia" w:eastAsia="宋体"/>
                <w:color w:val="auto"/>
              </w:rPr>
            </w:pPr>
            <w:r>
              <w:rPr>
                <w:rFonts w:hint="eastAsia" w:eastAsia="宋体"/>
                <w:color w:val="auto"/>
                <w:lang w:val="en-US" w:eastAsia="zh-CN"/>
              </w:rPr>
              <w:t>80</w:t>
            </w:r>
          </w:p>
        </w:tc>
        <w:tc>
          <w:tcPr>
            <w:tcW w:w="1713" w:type="pct"/>
            <w:vAlign w:val="center"/>
          </w:tcPr>
          <w:p w14:paraId="2FB58849">
            <w:pPr>
              <w:pStyle w:val="101"/>
              <w:jc w:val="center"/>
              <w:rPr>
                <w:rFonts w:hint="eastAsia" w:eastAsia="宋体"/>
                <w:color w:val="auto"/>
              </w:rPr>
            </w:pPr>
            <w:r>
              <w:rPr>
                <w:rFonts w:hint="eastAsia" w:eastAsia="宋体"/>
                <w:color w:val="auto"/>
                <w:lang w:val="en-US" w:eastAsia="zh-CN"/>
              </w:rPr>
              <w:t>金地新城</w:t>
            </w:r>
          </w:p>
        </w:tc>
        <w:tc>
          <w:tcPr>
            <w:tcW w:w="1115" w:type="dxa"/>
            <w:gridSpan w:val="2"/>
            <w:vAlign w:val="bottom"/>
          </w:tcPr>
          <w:p w14:paraId="58BB48CC">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2ED435F2">
            <w:pPr>
              <w:pStyle w:val="101"/>
              <w:jc w:val="center"/>
              <w:rPr>
                <w:rFonts w:hint="eastAsia" w:eastAsia="宋体"/>
                <w:color w:val="auto"/>
              </w:rPr>
            </w:pPr>
            <w:r>
              <w:rPr>
                <w:rFonts w:hint="eastAsia" w:eastAsia="宋体"/>
                <w:color w:val="auto"/>
                <w:lang w:val="en-US" w:eastAsia="zh-CN"/>
              </w:rPr>
              <w:t>2400</w:t>
            </w:r>
          </w:p>
        </w:tc>
        <w:tc>
          <w:tcPr>
            <w:tcW w:w="729" w:type="pct"/>
            <w:gridSpan w:val="2"/>
            <w:vAlign w:val="center"/>
          </w:tcPr>
          <w:p w14:paraId="3C906A96">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3AE8EED8">
            <w:pPr>
              <w:pStyle w:val="101"/>
              <w:jc w:val="center"/>
              <w:rPr>
                <w:rFonts w:hint="eastAsia" w:eastAsia="宋体"/>
                <w:color w:val="auto"/>
              </w:rPr>
            </w:pPr>
            <w:r>
              <w:rPr>
                <w:rFonts w:hint="eastAsia" w:eastAsia="宋体"/>
                <w:color w:val="auto"/>
                <w:lang w:val="en-US" w:eastAsia="zh-CN"/>
              </w:rPr>
              <w:t>4500</w:t>
            </w:r>
          </w:p>
        </w:tc>
      </w:tr>
      <w:tr w14:paraId="4A48931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2FE3268">
            <w:pPr>
              <w:pStyle w:val="101"/>
              <w:jc w:val="center"/>
              <w:rPr>
                <w:color w:val="auto"/>
              </w:rPr>
            </w:pPr>
          </w:p>
        </w:tc>
        <w:tc>
          <w:tcPr>
            <w:tcW w:w="390" w:type="pct"/>
            <w:vAlign w:val="center"/>
          </w:tcPr>
          <w:p w14:paraId="3A5D8728">
            <w:pPr>
              <w:pStyle w:val="101"/>
              <w:jc w:val="center"/>
              <w:rPr>
                <w:rFonts w:hint="eastAsia" w:eastAsia="宋体"/>
                <w:color w:val="auto"/>
              </w:rPr>
            </w:pPr>
            <w:r>
              <w:rPr>
                <w:rFonts w:hint="eastAsia" w:eastAsia="宋体"/>
                <w:color w:val="auto"/>
                <w:lang w:val="en-US" w:eastAsia="zh-CN"/>
              </w:rPr>
              <w:t>81</w:t>
            </w:r>
          </w:p>
        </w:tc>
        <w:tc>
          <w:tcPr>
            <w:tcW w:w="1713" w:type="pct"/>
            <w:vAlign w:val="center"/>
          </w:tcPr>
          <w:p w14:paraId="5D1C5764">
            <w:pPr>
              <w:pStyle w:val="101"/>
              <w:jc w:val="center"/>
              <w:rPr>
                <w:rFonts w:hint="eastAsia" w:eastAsia="宋体"/>
                <w:color w:val="auto"/>
              </w:rPr>
            </w:pPr>
            <w:r>
              <w:rPr>
                <w:rFonts w:hint="eastAsia" w:eastAsia="宋体"/>
                <w:color w:val="auto"/>
                <w:lang w:val="en-US" w:eastAsia="zh-CN"/>
              </w:rPr>
              <w:t>坤德花园</w:t>
            </w:r>
          </w:p>
        </w:tc>
        <w:tc>
          <w:tcPr>
            <w:tcW w:w="1115" w:type="dxa"/>
            <w:gridSpan w:val="2"/>
            <w:vAlign w:val="bottom"/>
          </w:tcPr>
          <w:p w14:paraId="30F8AE71">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7DC5DDA">
            <w:pPr>
              <w:pStyle w:val="101"/>
              <w:jc w:val="center"/>
              <w:rPr>
                <w:rFonts w:hint="eastAsia" w:eastAsia="宋体"/>
                <w:color w:val="auto"/>
              </w:rPr>
            </w:pPr>
            <w:r>
              <w:rPr>
                <w:rFonts w:hint="eastAsia" w:eastAsia="宋体"/>
                <w:color w:val="auto"/>
                <w:lang w:val="en-US" w:eastAsia="zh-CN"/>
              </w:rPr>
              <w:t>2405</w:t>
            </w:r>
          </w:p>
        </w:tc>
        <w:tc>
          <w:tcPr>
            <w:tcW w:w="729" w:type="pct"/>
            <w:gridSpan w:val="2"/>
            <w:vAlign w:val="center"/>
          </w:tcPr>
          <w:p w14:paraId="509940B5">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4C9D2286">
            <w:pPr>
              <w:pStyle w:val="101"/>
              <w:jc w:val="center"/>
              <w:rPr>
                <w:rFonts w:hint="eastAsia" w:eastAsia="宋体"/>
                <w:color w:val="auto"/>
              </w:rPr>
            </w:pPr>
            <w:r>
              <w:rPr>
                <w:rFonts w:hint="eastAsia" w:eastAsia="宋体"/>
                <w:color w:val="auto"/>
                <w:lang w:val="en-US" w:eastAsia="zh-CN"/>
              </w:rPr>
              <w:t>5000</w:t>
            </w:r>
          </w:p>
        </w:tc>
      </w:tr>
      <w:tr w14:paraId="5E7CC07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9C32FBF">
            <w:pPr>
              <w:pStyle w:val="101"/>
              <w:jc w:val="center"/>
              <w:rPr>
                <w:color w:val="auto"/>
              </w:rPr>
            </w:pPr>
          </w:p>
        </w:tc>
        <w:tc>
          <w:tcPr>
            <w:tcW w:w="390" w:type="pct"/>
            <w:vAlign w:val="center"/>
          </w:tcPr>
          <w:p w14:paraId="5DCAC67B">
            <w:pPr>
              <w:pStyle w:val="101"/>
              <w:jc w:val="center"/>
              <w:rPr>
                <w:rFonts w:hint="eastAsia" w:eastAsia="宋体"/>
                <w:color w:val="auto"/>
              </w:rPr>
            </w:pPr>
            <w:r>
              <w:rPr>
                <w:rFonts w:hint="eastAsia" w:eastAsia="宋体"/>
                <w:color w:val="auto"/>
                <w:lang w:val="en-US" w:eastAsia="zh-CN"/>
              </w:rPr>
              <w:t>82</w:t>
            </w:r>
          </w:p>
        </w:tc>
        <w:tc>
          <w:tcPr>
            <w:tcW w:w="1713" w:type="pct"/>
            <w:vAlign w:val="center"/>
          </w:tcPr>
          <w:p w14:paraId="76390B74">
            <w:pPr>
              <w:pStyle w:val="101"/>
              <w:jc w:val="center"/>
              <w:rPr>
                <w:rFonts w:hint="eastAsia" w:eastAsia="宋体"/>
                <w:color w:val="auto"/>
              </w:rPr>
            </w:pPr>
            <w:r>
              <w:rPr>
                <w:rFonts w:hint="eastAsia" w:eastAsia="宋体"/>
                <w:color w:val="auto"/>
                <w:lang w:val="en-US" w:eastAsia="zh-CN"/>
              </w:rPr>
              <w:t>蔬园乡人民政府</w:t>
            </w:r>
          </w:p>
        </w:tc>
        <w:tc>
          <w:tcPr>
            <w:tcW w:w="1115" w:type="dxa"/>
            <w:gridSpan w:val="2"/>
            <w:vAlign w:val="bottom"/>
          </w:tcPr>
          <w:p w14:paraId="25D77154">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26DEE2C9">
            <w:pPr>
              <w:pStyle w:val="101"/>
              <w:jc w:val="center"/>
              <w:rPr>
                <w:rFonts w:hint="eastAsia" w:eastAsia="宋体"/>
                <w:color w:val="auto"/>
              </w:rPr>
            </w:pPr>
            <w:r>
              <w:rPr>
                <w:rFonts w:hint="eastAsia" w:eastAsia="宋体"/>
                <w:color w:val="auto"/>
                <w:lang w:val="en-US" w:eastAsia="zh-CN"/>
              </w:rPr>
              <w:t>2435</w:t>
            </w:r>
          </w:p>
        </w:tc>
        <w:tc>
          <w:tcPr>
            <w:tcW w:w="729" w:type="pct"/>
            <w:gridSpan w:val="2"/>
            <w:vAlign w:val="center"/>
          </w:tcPr>
          <w:p w14:paraId="260A42CE">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07444277">
            <w:pPr>
              <w:pStyle w:val="101"/>
              <w:jc w:val="center"/>
              <w:rPr>
                <w:rFonts w:hint="eastAsia" w:eastAsia="宋体"/>
                <w:color w:val="auto"/>
              </w:rPr>
            </w:pPr>
            <w:r>
              <w:rPr>
                <w:rFonts w:hint="eastAsia" w:eastAsia="宋体"/>
                <w:color w:val="auto"/>
                <w:lang w:val="en-US" w:eastAsia="zh-CN"/>
              </w:rPr>
              <w:t>60</w:t>
            </w:r>
          </w:p>
        </w:tc>
      </w:tr>
      <w:tr w14:paraId="2D7EA4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6966A80">
            <w:pPr>
              <w:pStyle w:val="101"/>
              <w:jc w:val="center"/>
              <w:rPr>
                <w:color w:val="auto"/>
              </w:rPr>
            </w:pPr>
          </w:p>
        </w:tc>
        <w:tc>
          <w:tcPr>
            <w:tcW w:w="390" w:type="pct"/>
            <w:vAlign w:val="center"/>
          </w:tcPr>
          <w:p w14:paraId="0B3C015F">
            <w:pPr>
              <w:pStyle w:val="101"/>
              <w:jc w:val="center"/>
              <w:rPr>
                <w:rFonts w:hint="eastAsia" w:eastAsia="宋体"/>
                <w:color w:val="auto"/>
              </w:rPr>
            </w:pPr>
            <w:r>
              <w:rPr>
                <w:rFonts w:hint="eastAsia" w:eastAsia="宋体"/>
                <w:color w:val="auto"/>
                <w:lang w:val="en-US" w:eastAsia="zh-CN"/>
              </w:rPr>
              <w:t>83</w:t>
            </w:r>
          </w:p>
        </w:tc>
        <w:tc>
          <w:tcPr>
            <w:tcW w:w="1713" w:type="pct"/>
            <w:vAlign w:val="center"/>
          </w:tcPr>
          <w:p w14:paraId="0C9A87CF">
            <w:pPr>
              <w:pStyle w:val="101"/>
              <w:jc w:val="center"/>
              <w:rPr>
                <w:rFonts w:hint="eastAsia" w:eastAsia="宋体"/>
                <w:color w:val="auto"/>
              </w:rPr>
            </w:pPr>
            <w:r>
              <w:rPr>
                <w:rFonts w:hint="eastAsia" w:eastAsia="宋体"/>
                <w:color w:val="auto"/>
                <w:lang w:val="en-US" w:eastAsia="zh-CN"/>
              </w:rPr>
              <w:t>鹤岗市第一中学</w:t>
            </w:r>
          </w:p>
        </w:tc>
        <w:tc>
          <w:tcPr>
            <w:tcW w:w="1115" w:type="dxa"/>
            <w:gridSpan w:val="2"/>
            <w:vAlign w:val="bottom"/>
          </w:tcPr>
          <w:p w14:paraId="7608E95D">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1AA7486A">
            <w:pPr>
              <w:pStyle w:val="101"/>
              <w:jc w:val="center"/>
              <w:rPr>
                <w:rFonts w:hint="eastAsia" w:eastAsia="宋体"/>
                <w:color w:val="auto"/>
              </w:rPr>
            </w:pPr>
            <w:r>
              <w:rPr>
                <w:rFonts w:hint="eastAsia" w:eastAsia="宋体"/>
                <w:color w:val="auto"/>
                <w:lang w:val="en-US" w:eastAsia="zh-CN"/>
              </w:rPr>
              <w:t>2445</w:t>
            </w:r>
          </w:p>
        </w:tc>
        <w:tc>
          <w:tcPr>
            <w:tcW w:w="729" w:type="pct"/>
            <w:gridSpan w:val="2"/>
            <w:vAlign w:val="center"/>
          </w:tcPr>
          <w:p w14:paraId="716C9835">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1FA26219">
            <w:pPr>
              <w:pStyle w:val="101"/>
              <w:jc w:val="center"/>
              <w:rPr>
                <w:rFonts w:hint="eastAsia" w:eastAsia="宋体"/>
                <w:color w:val="auto"/>
              </w:rPr>
            </w:pPr>
            <w:r>
              <w:rPr>
                <w:rFonts w:hint="eastAsia" w:eastAsia="宋体"/>
                <w:color w:val="auto"/>
                <w:lang w:val="en-US" w:eastAsia="zh-CN"/>
              </w:rPr>
              <w:t>700</w:t>
            </w:r>
          </w:p>
        </w:tc>
      </w:tr>
      <w:tr w14:paraId="28D9D35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9CFAF7B">
            <w:pPr>
              <w:pStyle w:val="101"/>
              <w:jc w:val="center"/>
              <w:rPr>
                <w:color w:val="auto"/>
              </w:rPr>
            </w:pPr>
          </w:p>
        </w:tc>
        <w:tc>
          <w:tcPr>
            <w:tcW w:w="390" w:type="pct"/>
            <w:vAlign w:val="center"/>
          </w:tcPr>
          <w:p w14:paraId="723F752F">
            <w:pPr>
              <w:pStyle w:val="101"/>
              <w:jc w:val="center"/>
              <w:rPr>
                <w:rFonts w:hint="eastAsia" w:eastAsia="宋体"/>
                <w:color w:val="auto"/>
              </w:rPr>
            </w:pPr>
            <w:r>
              <w:rPr>
                <w:rFonts w:hint="eastAsia" w:eastAsia="宋体"/>
                <w:color w:val="auto"/>
                <w:lang w:val="en-US" w:eastAsia="zh-CN"/>
              </w:rPr>
              <w:t>84</w:t>
            </w:r>
          </w:p>
        </w:tc>
        <w:tc>
          <w:tcPr>
            <w:tcW w:w="1713" w:type="pct"/>
            <w:vAlign w:val="center"/>
          </w:tcPr>
          <w:p w14:paraId="670E9887">
            <w:pPr>
              <w:pStyle w:val="101"/>
              <w:jc w:val="center"/>
              <w:rPr>
                <w:rFonts w:hint="eastAsia" w:eastAsia="宋体"/>
                <w:color w:val="auto"/>
              </w:rPr>
            </w:pPr>
            <w:r>
              <w:rPr>
                <w:rFonts w:hint="eastAsia" w:eastAsia="宋体"/>
                <w:color w:val="auto"/>
                <w:lang w:val="en-US" w:eastAsia="zh-CN"/>
              </w:rPr>
              <w:t>中国海关</w:t>
            </w:r>
          </w:p>
        </w:tc>
        <w:tc>
          <w:tcPr>
            <w:tcW w:w="1115" w:type="dxa"/>
            <w:gridSpan w:val="2"/>
            <w:vAlign w:val="bottom"/>
          </w:tcPr>
          <w:p w14:paraId="7FEA0F39">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372103C7">
            <w:pPr>
              <w:pStyle w:val="101"/>
              <w:jc w:val="center"/>
              <w:rPr>
                <w:rFonts w:hint="eastAsia" w:eastAsia="宋体"/>
                <w:color w:val="auto"/>
              </w:rPr>
            </w:pPr>
            <w:r>
              <w:rPr>
                <w:rFonts w:hint="eastAsia" w:eastAsia="宋体"/>
                <w:color w:val="auto"/>
                <w:lang w:val="en-US" w:eastAsia="zh-CN"/>
              </w:rPr>
              <w:t>2460</w:t>
            </w:r>
          </w:p>
        </w:tc>
        <w:tc>
          <w:tcPr>
            <w:tcW w:w="729" w:type="pct"/>
            <w:gridSpan w:val="2"/>
            <w:vAlign w:val="center"/>
          </w:tcPr>
          <w:p w14:paraId="551D1C41">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21A9E9F">
            <w:pPr>
              <w:pStyle w:val="101"/>
              <w:jc w:val="center"/>
              <w:rPr>
                <w:rFonts w:hint="eastAsia" w:eastAsia="宋体"/>
                <w:color w:val="auto"/>
              </w:rPr>
            </w:pPr>
            <w:r>
              <w:rPr>
                <w:rFonts w:hint="eastAsia" w:eastAsia="宋体"/>
                <w:color w:val="auto"/>
                <w:lang w:val="en-US" w:eastAsia="zh-CN"/>
              </w:rPr>
              <w:t>60</w:t>
            </w:r>
          </w:p>
        </w:tc>
      </w:tr>
      <w:tr w14:paraId="1AB6D19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406AADE">
            <w:pPr>
              <w:pStyle w:val="101"/>
              <w:jc w:val="center"/>
              <w:rPr>
                <w:color w:val="auto"/>
              </w:rPr>
            </w:pPr>
          </w:p>
        </w:tc>
        <w:tc>
          <w:tcPr>
            <w:tcW w:w="390" w:type="pct"/>
            <w:vAlign w:val="center"/>
          </w:tcPr>
          <w:p w14:paraId="4D54A6BF">
            <w:pPr>
              <w:pStyle w:val="101"/>
              <w:jc w:val="center"/>
              <w:rPr>
                <w:rFonts w:hint="eastAsia" w:eastAsia="宋体"/>
                <w:color w:val="auto"/>
              </w:rPr>
            </w:pPr>
            <w:r>
              <w:rPr>
                <w:rFonts w:hint="eastAsia" w:eastAsia="宋体"/>
                <w:color w:val="auto"/>
                <w:lang w:val="en-US" w:eastAsia="zh-CN"/>
              </w:rPr>
              <w:t>85</w:t>
            </w:r>
          </w:p>
        </w:tc>
        <w:tc>
          <w:tcPr>
            <w:tcW w:w="1713" w:type="pct"/>
            <w:vAlign w:val="center"/>
          </w:tcPr>
          <w:p w14:paraId="08FC4D6B">
            <w:pPr>
              <w:pStyle w:val="101"/>
              <w:jc w:val="center"/>
              <w:rPr>
                <w:rFonts w:hint="eastAsia" w:eastAsia="宋体"/>
                <w:color w:val="auto"/>
              </w:rPr>
            </w:pPr>
            <w:r>
              <w:rPr>
                <w:rFonts w:hint="eastAsia" w:eastAsia="宋体"/>
                <w:color w:val="auto"/>
                <w:lang w:val="en-US" w:eastAsia="zh-CN"/>
              </w:rPr>
              <w:t>鹤岗市公安局工农公安分局</w:t>
            </w:r>
          </w:p>
        </w:tc>
        <w:tc>
          <w:tcPr>
            <w:tcW w:w="1115" w:type="dxa"/>
            <w:gridSpan w:val="2"/>
            <w:vAlign w:val="bottom"/>
          </w:tcPr>
          <w:p w14:paraId="7609B266">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035A4C7">
            <w:pPr>
              <w:pStyle w:val="101"/>
              <w:jc w:val="center"/>
              <w:rPr>
                <w:rFonts w:hint="eastAsia" w:eastAsia="宋体"/>
                <w:color w:val="auto"/>
              </w:rPr>
            </w:pPr>
            <w:r>
              <w:rPr>
                <w:rFonts w:hint="eastAsia" w:eastAsia="宋体"/>
                <w:color w:val="auto"/>
                <w:lang w:val="en-US" w:eastAsia="zh-CN"/>
              </w:rPr>
              <w:t>2485</w:t>
            </w:r>
          </w:p>
        </w:tc>
        <w:tc>
          <w:tcPr>
            <w:tcW w:w="729" w:type="pct"/>
            <w:gridSpan w:val="2"/>
            <w:vAlign w:val="center"/>
          </w:tcPr>
          <w:p w14:paraId="0749AF08">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03CA4DB1">
            <w:pPr>
              <w:pStyle w:val="101"/>
              <w:jc w:val="center"/>
              <w:rPr>
                <w:rFonts w:hint="eastAsia" w:eastAsia="宋体"/>
                <w:color w:val="auto"/>
              </w:rPr>
            </w:pPr>
            <w:r>
              <w:rPr>
                <w:rFonts w:hint="eastAsia" w:eastAsia="宋体"/>
                <w:color w:val="auto"/>
                <w:lang w:val="en-US" w:eastAsia="zh-CN"/>
              </w:rPr>
              <w:t>20</w:t>
            </w:r>
          </w:p>
        </w:tc>
      </w:tr>
      <w:tr w14:paraId="602AC68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9943F20">
            <w:pPr>
              <w:pStyle w:val="101"/>
              <w:jc w:val="center"/>
              <w:rPr>
                <w:color w:val="auto"/>
              </w:rPr>
            </w:pPr>
          </w:p>
        </w:tc>
        <w:tc>
          <w:tcPr>
            <w:tcW w:w="390" w:type="pct"/>
            <w:vAlign w:val="center"/>
          </w:tcPr>
          <w:p w14:paraId="39CC7BED">
            <w:pPr>
              <w:pStyle w:val="101"/>
              <w:jc w:val="center"/>
              <w:rPr>
                <w:rFonts w:hint="eastAsia" w:eastAsia="宋体"/>
                <w:color w:val="auto"/>
              </w:rPr>
            </w:pPr>
            <w:r>
              <w:rPr>
                <w:rFonts w:hint="eastAsia" w:eastAsia="宋体"/>
                <w:color w:val="auto"/>
                <w:lang w:val="en-US" w:eastAsia="zh-CN"/>
              </w:rPr>
              <w:t>86</w:t>
            </w:r>
          </w:p>
        </w:tc>
        <w:tc>
          <w:tcPr>
            <w:tcW w:w="1713" w:type="pct"/>
            <w:vAlign w:val="center"/>
          </w:tcPr>
          <w:p w14:paraId="32145C47">
            <w:pPr>
              <w:pStyle w:val="101"/>
              <w:jc w:val="center"/>
              <w:rPr>
                <w:rFonts w:hint="eastAsia" w:eastAsia="宋体"/>
                <w:color w:val="auto"/>
              </w:rPr>
            </w:pPr>
            <w:r>
              <w:rPr>
                <w:rFonts w:hint="eastAsia" w:eastAsia="宋体"/>
                <w:color w:val="auto"/>
                <w:lang w:val="en-US" w:eastAsia="zh-CN"/>
              </w:rPr>
              <w:t>时代雅居二期</w:t>
            </w:r>
          </w:p>
        </w:tc>
        <w:tc>
          <w:tcPr>
            <w:tcW w:w="1115" w:type="dxa"/>
            <w:gridSpan w:val="2"/>
            <w:vAlign w:val="bottom"/>
          </w:tcPr>
          <w:p w14:paraId="0749B473">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434C715F">
            <w:pPr>
              <w:pStyle w:val="101"/>
              <w:jc w:val="center"/>
              <w:rPr>
                <w:rFonts w:hint="eastAsia" w:eastAsia="宋体"/>
                <w:color w:val="auto"/>
              </w:rPr>
            </w:pPr>
            <w:r>
              <w:rPr>
                <w:rFonts w:hint="eastAsia" w:eastAsia="宋体"/>
                <w:color w:val="auto"/>
                <w:lang w:val="en-US" w:eastAsia="zh-CN"/>
              </w:rPr>
              <w:t>2525</w:t>
            </w:r>
          </w:p>
        </w:tc>
        <w:tc>
          <w:tcPr>
            <w:tcW w:w="729" w:type="pct"/>
            <w:gridSpan w:val="2"/>
            <w:vAlign w:val="center"/>
          </w:tcPr>
          <w:p w14:paraId="199B926F">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7C64E358">
            <w:pPr>
              <w:pStyle w:val="101"/>
              <w:jc w:val="center"/>
              <w:rPr>
                <w:rFonts w:hint="eastAsia" w:eastAsia="宋体"/>
                <w:color w:val="auto"/>
              </w:rPr>
            </w:pPr>
            <w:r>
              <w:rPr>
                <w:rFonts w:hint="eastAsia" w:eastAsia="宋体"/>
                <w:color w:val="auto"/>
                <w:lang w:val="en-US" w:eastAsia="zh-CN"/>
              </w:rPr>
              <w:t>4000</w:t>
            </w:r>
          </w:p>
        </w:tc>
      </w:tr>
      <w:tr w14:paraId="50C79FE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1C5719C">
            <w:pPr>
              <w:pStyle w:val="101"/>
              <w:jc w:val="center"/>
              <w:rPr>
                <w:color w:val="auto"/>
              </w:rPr>
            </w:pPr>
          </w:p>
        </w:tc>
        <w:tc>
          <w:tcPr>
            <w:tcW w:w="390" w:type="pct"/>
            <w:vAlign w:val="center"/>
          </w:tcPr>
          <w:p w14:paraId="5A0ECFB9">
            <w:pPr>
              <w:pStyle w:val="101"/>
              <w:jc w:val="center"/>
              <w:rPr>
                <w:rFonts w:hint="eastAsia" w:eastAsia="宋体"/>
                <w:color w:val="auto"/>
              </w:rPr>
            </w:pPr>
            <w:r>
              <w:rPr>
                <w:rFonts w:hint="eastAsia" w:eastAsia="宋体"/>
                <w:color w:val="auto"/>
                <w:lang w:val="en-US" w:eastAsia="zh-CN"/>
              </w:rPr>
              <w:t>87</w:t>
            </w:r>
          </w:p>
        </w:tc>
        <w:tc>
          <w:tcPr>
            <w:tcW w:w="1713" w:type="pct"/>
            <w:vAlign w:val="center"/>
          </w:tcPr>
          <w:p w14:paraId="6B6BB146">
            <w:pPr>
              <w:pStyle w:val="101"/>
              <w:jc w:val="center"/>
              <w:rPr>
                <w:rFonts w:hint="eastAsia" w:eastAsia="宋体"/>
                <w:color w:val="auto"/>
              </w:rPr>
            </w:pPr>
            <w:r>
              <w:rPr>
                <w:rFonts w:hint="eastAsia" w:eastAsia="宋体"/>
                <w:color w:val="auto"/>
                <w:lang w:val="en-US" w:eastAsia="zh-CN"/>
              </w:rPr>
              <w:t>新南小区</w:t>
            </w:r>
          </w:p>
        </w:tc>
        <w:tc>
          <w:tcPr>
            <w:tcW w:w="1115" w:type="dxa"/>
            <w:gridSpan w:val="2"/>
            <w:vAlign w:val="bottom"/>
          </w:tcPr>
          <w:p w14:paraId="2ED064E1">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DD3BCE9">
            <w:pPr>
              <w:pStyle w:val="101"/>
              <w:jc w:val="center"/>
              <w:rPr>
                <w:rFonts w:hint="eastAsia" w:eastAsia="宋体"/>
                <w:color w:val="auto"/>
              </w:rPr>
            </w:pPr>
            <w:r>
              <w:rPr>
                <w:rFonts w:hint="eastAsia" w:eastAsia="宋体"/>
                <w:color w:val="auto"/>
                <w:lang w:val="en-US" w:eastAsia="zh-CN"/>
              </w:rPr>
              <w:t>2555</w:t>
            </w:r>
          </w:p>
        </w:tc>
        <w:tc>
          <w:tcPr>
            <w:tcW w:w="729" w:type="pct"/>
            <w:gridSpan w:val="2"/>
            <w:vAlign w:val="center"/>
          </w:tcPr>
          <w:p w14:paraId="11FD431F">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20EC1051">
            <w:pPr>
              <w:pStyle w:val="101"/>
              <w:jc w:val="center"/>
              <w:rPr>
                <w:rFonts w:hint="eastAsia" w:eastAsia="宋体"/>
                <w:color w:val="auto"/>
              </w:rPr>
            </w:pPr>
            <w:r>
              <w:rPr>
                <w:rFonts w:hint="eastAsia" w:eastAsia="宋体"/>
                <w:color w:val="auto"/>
                <w:lang w:val="en-US" w:eastAsia="zh-CN"/>
              </w:rPr>
              <w:t>5000</w:t>
            </w:r>
          </w:p>
        </w:tc>
      </w:tr>
      <w:tr w14:paraId="7C93D83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51B8219">
            <w:pPr>
              <w:pStyle w:val="101"/>
              <w:jc w:val="center"/>
              <w:rPr>
                <w:color w:val="auto"/>
              </w:rPr>
            </w:pPr>
          </w:p>
        </w:tc>
        <w:tc>
          <w:tcPr>
            <w:tcW w:w="390" w:type="pct"/>
            <w:vAlign w:val="center"/>
          </w:tcPr>
          <w:p w14:paraId="730AB270">
            <w:pPr>
              <w:pStyle w:val="101"/>
              <w:jc w:val="center"/>
              <w:rPr>
                <w:rFonts w:hint="eastAsia" w:eastAsia="宋体"/>
                <w:color w:val="auto"/>
              </w:rPr>
            </w:pPr>
            <w:r>
              <w:rPr>
                <w:rFonts w:hint="eastAsia" w:eastAsia="宋体"/>
                <w:color w:val="auto"/>
                <w:lang w:val="en-US" w:eastAsia="zh-CN"/>
              </w:rPr>
              <w:t>88</w:t>
            </w:r>
          </w:p>
        </w:tc>
        <w:tc>
          <w:tcPr>
            <w:tcW w:w="1713" w:type="pct"/>
            <w:vAlign w:val="center"/>
          </w:tcPr>
          <w:p w14:paraId="42CFC046">
            <w:pPr>
              <w:pStyle w:val="101"/>
              <w:jc w:val="center"/>
              <w:rPr>
                <w:rFonts w:hint="eastAsia" w:eastAsia="宋体"/>
                <w:color w:val="auto"/>
              </w:rPr>
            </w:pPr>
            <w:r>
              <w:rPr>
                <w:rFonts w:hint="eastAsia" w:eastAsia="宋体"/>
                <w:color w:val="auto"/>
                <w:lang w:val="en-US" w:eastAsia="zh-CN"/>
              </w:rPr>
              <w:t>鹤岗市房产管理局</w:t>
            </w:r>
          </w:p>
        </w:tc>
        <w:tc>
          <w:tcPr>
            <w:tcW w:w="1115" w:type="dxa"/>
            <w:gridSpan w:val="2"/>
            <w:vAlign w:val="bottom"/>
          </w:tcPr>
          <w:p w14:paraId="0B2E81CF">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FFF97B7">
            <w:pPr>
              <w:pStyle w:val="101"/>
              <w:jc w:val="center"/>
              <w:rPr>
                <w:rFonts w:hint="eastAsia" w:eastAsia="宋体"/>
                <w:color w:val="auto"/>
              </w:rPr>
            </w:pPr>
            <w:r>
              <w:rPr>
                <w:rFonts w:hint="eastAsia" w:eastAsia="宋体"/>
                <w:color w:val="auto"/>
                <w:lang w:val="en-US" w:eastAsia="zh-CN"/>
              </w:rPr>
              <w:t>2645</w:t>
            </w:r>
          </w:p>
        </w:tc>
        <w:tc>
          <w:tcPr>
            <w:tcW w:w="729" w:type="pct"/>
            <w:gridSpan w:val="2"/>
            <w:vAlign w:val="center"/>
          </w:tcPr>
          <w:p w14:paraId="07D4D83E">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0A29E9F0">
            <w:pPr>
              <w:pStyle w:val="101"/>
              <w:jc w:val="center"/>
              <w:rPr>
                <w:rFonts w:hint="eastAsia" w:eastAsia="宋体"/>
                <w:color w:val="auto"/>
              </w:rPr>
            </w:pPr>
            <w:r>
              <w:rPr>
                <w:rFonts w:hint="eastAsia" w:eastAsia="宋体"/>
                <w:color w:val="auto"/>
                <w:lang w:val="en-US" w:eastAsia="zh-CN"/>
              </w:rPr>
              <w:t>80</w:t>
            </w:r>
          </w:p>
        </w:tc>
      </w:tr>
      <w:tr w14:paraId="602BC01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3EC96D6">
            <w:pPr>
              <w:pStyle w:val="101"/>
              <w:jc w:val="center"/>
              <w:rPr>
                <w:color w:val="auto"/>
              </w:rPr>
            </w:pPr>
          </w:p>
        </w:tc>
        <w:tc>
          <w:tcPr>
            <w:tcW w:w="390" w:type="pct"/>
            <w:vAlign w:val="center"/>
          </w:tcPr>
          <w:p w14:paraId="7E74D112">
            <w:pPr>
              <w:pStyle w:val="101"/>
              <w:jc w:val="center"/>
              <w:rPr>
                <w:rFonts w:hint="eastAsia" w:eastAsia="宋体"/>
                <w:color w:val="auto"/>
              </w:rPr>
            </w:pPr>
            <w:r>
              <w:rPr>
                <w:rFonts w:hint="eastAsia" w:eastAsia="宋体"/>
                <w:color w:val="auto"/>
                <w:lang w:val="en-US" w:eastAsia="zh-CN"/>
              </w:rPr>
              <w:t>89</w:t>
            </w:r>
          </w:p>
        </w:tc>
        <w:tc>
          <w:tcPr>
            <w:tcW w:w="1713" w:type="pct"/>
            <w:vAlign w:val="center"/>
          </w:tcPr>
          <w:p w14:paraId="696B3E26">
            <w:pPr>
              <w:pStyle w:val="101"/>
              <w:jc w:val="center"/>
              <w:rPr>
                <w:rFonts w:hint="eastAsia" w:eastAsia="宋体"/>
                <w:color w:val="auto"/>
              </w:rPr>
            </w:pPr>
            <w:r>
              <w:rPr>
                <w:rFonts w:hint="eastAsia" w:eastAsia="宋体"/>
                <w:color w:val="auto"/>
                <w:lang w:val="en-US" w:eastAsia="zh-CN"/>
              </w:rPr>
              <w:t>新鹤B区</w:t>
            </w:r>
          </w:p>
        </w:tc>
        <w:tc>
          <w:tcPr>
            <w:tcW w:w="1115" w:type="dxa"/>
            <w:gridSpan w:val="2"/>
            <w:vAlign w:val="bottom"/>
          </w:tcPr>
          <w:p w14:paraId="7DF1CAF8">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4527FEA0">
            <w:pPr>
              <w:pStyle w:val="101"/>
              <w:jc w:val="center"/>
              <w:rPr>
                <w:rFonts w:hint="eastAsia" w:eastAsia="宋体"/>
                <w:color w:val="auto"/>
              </w:rPr>
            </w:pPr>
            <w:r>
              <w:rPr>
                <w:rFonts w:hint="eastAsia" w:eastAsia="宋体"/>
                <w:color w:val="auto"/>
                <w:lang w:val="en-US" w:eastAsia="zh-CN"/>
              </w:rPr>
              <w:t>2665</w:t>
            </w:r>
          </w:p>
        </w:tc>
        <w:tc>
          <w:tcPr>
            <w:tcW w:w="729" w:type="pct"/>
            <w:gridSpan w:val="2"/>
            <w:vAlign w:val="center"/>
          </w:tcPr>
          <w:p w14:paraId="0E932222">
            <w:pPr>
              <w:pStyle w:val="101"/>
              <w:jc w:val="center"/>
              <w:rPr>
                <w:rFonts w:hint="eastAsia" w:eastAsia="宋体"/>
                <w:color w:val="auto"/>
              </w:rPr>
            </w:pPr>
            <w:r>
              <w:rPr>
                <w:rFonts w:hint="eastAsia" w:eastAsia="宋体"/>
                <w:color w:val="auto"/>
                <w:lang w:val="en-US" w:eastAsia="zh-CN"/>
              </w:rPr>
              <w:t>居住区</w:t>
            </w:r>
          </w:p>
        </w:tc>
        <w:tc>
          <w:tcPr>
            <w:tcW w:w="591" w:type="pct"/>
            <w:vAlign w:val="center"/>
          </w:tcPr>
          <w:p w14:paraId="6E19A463">
            <w:pPr>
              <w:pStyle w:val="101"/>
              <w:jc w:val="center"/>
              <w:rPr>
                <w:rFonts w:hint="eastAsia" w:eastAsia="宋体"/>
                <w:color w:val="auto"/>
              </w:rPr>
            </w:pPr>
            <w:r>
              <w:rPr>
                <w:rFonts w:hint="eastAsia" w:eastAsia="宋体"/>
                <w:color w:val="auto"/>
                <w:lang w:val="en-US" w:eastAsia="zh-CN"/>
              </w:rPr>
              <w:t>3000</w:t>
            </w:r>
          </w:p>
        </w:tc>
      </w:tr>
      <w:tr w14:paraId="3ADBD8F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BAC27C2">
            <w:pPr>
              <w:pStyle w:val="101"/>
              <w:jc w:val="center"/>
              <w:rPr>
                <w:color w:val="auto"/>
              </w:rPr>
            </w:pPr>
          </w:p>
        </w:tc>
        <w:tc>
          <w:tcPr>
            <w:tcW w:w="390" w:type="pct"/>
            <w:vAlign w:val="center"/>
          </w:tcPr>
          <w:p w14:paraId="4B25142F">
            <w:pPr>
              <w:pStyle w:val="101"/>
              <w:jc w:val="center"/>
              <w:rPr>
                <w:rFonts w:hint="eastAsia" w:eastAsia="宋体"/>
                <w:color w:val="auto"/>
              </w:rPr>
            </w:pPr>
            <w:r>
              <w:rPr>
                <w:rFonts w:hint="eastAsia" w:eastAsia="宋体"/>
                <w:color w:val="auto"/>
                <w:lang w:val="en-US" w:eastAsia="zh-CN"/>
              </w:rPr>
              <w:t>90</w:t>
            </w:r>
          </w:p>
        </w:tc>
        <w:tc>
          <w:tcPr>
            <w:tcW w:w="1713" w:type="pct"/>
            <w:vAlign w:val="center"/>
          </w:tcPr>
          <w:p w14:paraId="574A2FA7">
            <w:pPr>
              <w:pStyle w:val="101"/>
              <w:jc w:val="center"/>
              <w:rPr>
                <w:rFonts w:hint="eastAsia" w:eastAsia="宋体"/>
                <w:color w:val="auto"/>
              </w:rPr>
            </w:pPr>
            <w:r>
              <w:rPr>
                <w:rFonts w:hint="eastAsia" w:eastAsia="宋体"/>
                <w:color w:val="auto"/>
                <w:lang w:val="en-US" w:eastAsia="zh-CN"/>
              </w:rPr>
              <w:t>鹤岗市第十七中学</w:t>
            </w:r>
          </w:p>
        </w:tc>
        <w:tc>
          <w:tcPr>
            <w:tcW w:w="1115" w:type="dxa"/>
            <w:gridSpan w:val="2"/>
            <w:vAlign w:val="bottom"/>
          </w:tcPr>
          <w:p w14:paraId="28F32116">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A8F4F4C">
            <w:pPr>
              <w:pStyle w:val="101"/>
              <w:jc w:val="center"/>
              <w:rPr>
                <w:rFonts w:hint="eastAsia" w:eastAsia="宋体"/>
                <w:color w:val="auto"/>
              </w:rPr>
            </w:pPr>
            <w:r>
              <w:rPr>
                <w:rFonts w:hint="eastAsia" w:eastAsia="宋体"/>
                <w:color w:val="auto"/>
                <w:lang w:val="en-US" w:eastAsia="zh-CN"/>
              </w:rPr>
              <w:t>2675</w:t>
            </w:r>
          </w:p>
        </w:tc>
        <w:tc>
          <w:tcPr>
            <w:tcW w:w="729" w:type="pct"/>
            <w:gridSpan w:val="2"/>
            <w:vAlign w:val="center"/>
          </w:tcPr>
          <w:p w14:paraId="4C95788C">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2389BBB0">
            <w:pPr>
              <w:pStyle w:val="101"/>
              <w:jc w:val="center"/>
              <w:rPr>
                <w:rFonts w:hint="eastAsia" w:eastAsia="宋体"/>
                <w:color w:val="auto"/>
              </w:rPr>
            </w:pPr>
            <w:r>
              <w:rPr>
                <w:rFonts w:hint="eastAsia" w:eastAsia="宋体"/>
                <w:color w:val="auto"/>
                <w:lang w:val="en-US" w:eastAsia="zh-CN"/>
              </w:rPr>
              <w:t>600</w:t>
            </w:r>
          </w:p>
        </w:tc>
      </w:tr>
      <w:tr w14:paraId="1FF849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E9A5723">
            <w:pPr>
              <w:pStyle w:val="101"/>
              <w:jc w:val="center"/>
              <w:rPr>
                <w:color w:val="auto"/>
              </w:rPr>
            </w:pPr>
          </w:p>
        </w:tc>
        <w:tc>
          <w:tcPr>
            <w:tcW w:w="390" w:type="pct"/>
            <w:vAlign w:val="center"/>
          </w:tcPr>
          <w:p w14:paraId="6DA1F5C3">
            <w:pPr>
              <w:pStyle w:val="101"/>
              <w:jc w:val="center"/>
              <w:rPr>
                <w:rFonts w:hint="eastAsia" w:eastAsia="宋体"/>
                <w:color w:val="auto"/>
              </w:rPr>
            </w:pPr>
            <w:r>
              <w:rPr>
                <w:rFonts w:hint="eastAsia" w:eastAsia="宋体"/>
                <w:color w:val="auto"/>
                <w:lang w:val="en-US" w:eastAsia="zh-CN"/>
              </w:rPr>
              <w:t>91</w:t>
            </w:r>
          </w:p>
        </w:tc>
        <w:tc>
          <w:tcPr>
            <w:tcW w:w="1713" w:type="pct"/>
            <w:vAlign w:val="center"/>
          </w:tcPr>
          <w:p w14:paraId="7871C56B">
            <w:pPr>
              <w:pStyle w:val="101"/>
              <w:jc w:val="center"/>
              <w:rPr>
                <w:rFonts w:hint="eastAsia" w:eastAsia="宋体"/>
                <w:color w:val="auto"/>
              </w:rPr>
            </w:pPr>
            <w:r>
              <w:rPr>
                <w:rFonts w:hint="eastAsia" w:eastAsia="宋体"/>
                <w:color w:val="auto"/>
                <w:lang w:val="en-US" w:eastAsia="zh-CN"/>
              </w:rPr>
              <w:t>住房保障办证大厅</w:t>
            </w:r>
          </w:p>
        </w:tc>
        <w:tc>
          <w:tcPr>
            <w:tcW w:w="1115" w:type="dxa"/>
            <w:gridSpan w:val="2"/>
            <w:vAlign w:val="bottom"/>
          </w:tcPr>
          <w:p w14:paraId="12B43EC3">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4996A3FD">
            <w:pPr>
              <w:pStyle w:val="101"/>
              <w:jc w:val="center"/>
              <w:rPr>
                <w:rFonts w:hint="eastAsia" w:eastAsia="宋体"/>
                <w:color w:val="auto"/>
              </w:rPr>
            </w:pPr>
            <w:r>
              <w:rPr>
                <w:rFonts w:hint="eastAsia" w:eastAsia="宋体"/>
                <w:color w:val="auto"/>
                <w:lang w:val="en-US" w:eastAsia="zh-CN"/>
              </w:rPr>
              <w:t>2680</w:t>
            </w:r>
          </w:p>
        </w:tc>
        <w:tc>
          <w:tcPr>
            <w:tcW w:w="729" w:type="pct"/>
            <w:gridSpan w:val="2"/>
            <w:vAlign w:val="center"/>
          </w:tcPr>
          <w:p w14:paraId="2301C9AC">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6F51D098">
            <w:pPr>
              <w:pStyle w:val="101"/>
              <w:jc w:val="center"/>
              <w:rPr>
                <w:rFonts w:hint="eastAsia" w:eastAsia="宋体"/>
                <w:color w:val="auto"/>
              </w:rPr>
            </w:pPr>
            <w:r>
              <w:rPr>
                <w:rFonts w:hint="eastAsia" w:eastAsia="宋体"/>
                <w:color w:val="auto"/>
                <w:lang w:val="en-US" w:eastAsia="zh-CN"/>
              </w:rPr>
              <w:t>70</w:t>
            </w:r>
          </w:p>
        </w:tc>
      </w:tr>
      <w:tr w14:paraId="3325086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371878B">
            <w:pPr>
              <w:pStyle w:val="101"/>
              <w:jc w:val="center"/>
              <w:rPr>
                <w:color w:val="auto"/>
              </w:rPr>
            </w:pPr>
          </w:p>
        </w:tc>
        <w:tc>
          <w:tcPr>
            <w:tcW w:w="390" w:type="pct"/>
            <w:vAlign w:val="center"/>
          </w:tcPr>
          <w:p w14:paraId="236745D9">
            <w:pPr>
              <w:pStyle w:val="101"/>
              <w:jc w:val="center"/>
              <w:rPr>
                <w:rFonts w:hint="eastAsia" w:eastAsia="宋体"/>
                <w:color w:val="auto"/>
              </w:rPr>
            </w:pPr>
            <w:r>
              <w:rPr>
                <w:rFonts w:hint="eastAsia" w:eastAsia="宋体"/>
                <w:color w:val="auto"/>
                <w:lang w:val="en-US" w:eastAsia="zh-CN"/>
              </w:rPr>
              <w:t>92</w:t>
            </w:r>
          </w:p>
        </w:tc>
        <w:tc>
          <w:tcPr>
            <w:tcW w:w="1713" w:type="pct"/>
            <w:vAlign w:val="center"/>
          </w:tcPr>
          <w:p w14:paraId="7A54BDDA">
            <w:pPr>
              <w:pStyle w:val="101"/>
              <w:jc w:val="center"/>
              <w:rPr>
                <w:rFonts w:hint="eastAsia" w:eastAsia="宋体"/>
                <w:color w:val="auto"/>
              </w:rPr>
            </w:pPr>
            <w:r>
              <w:rPr>
                <w:rFonts w:hint="eastAsia" w:eastAsia="宋体"/>
                <w:color w:val="auto"/>
                <w:lang w:val="en-US" w:eastAsia="zh-CN"/>
              </w:rPr>
              <w:t>鹤岗明仁眼科医院</w:t>
            </w:r>
          </w:p>
        </w:tc>
        <w:tc>
          <w:tcPr>
            <w:tcW w:w="1115" w:type="dxa"/>
            <w:gridSpan w:val="2"/>
            <w:vAlign w:val="bottom"/>
          </w:tcPr>
          <w:p w14:paraId="5BC76B00">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1BEF70C6">
            <w:pPr>
              <w:pStyle w:val="101"/>
              <w:jc w:val="center"/>
              <w:rPr>
                <w:rFonts w:hint="eastAsia" w:eastAsia="宋体"/>
                <w:color w:val="auto"/>
              </w:rPr>
            </w:pPr>
            <w:r>
              <w:rPr>
                <w:rFonts w:hint="eastAsia" w:eastAsia="宋体"/>
                <w:color w:val="auto"/>
                <w:lang w:val="en-US" w:eastAsia="zh-CN"/>
              </w:rPr>
              <w:t>2700</w:t>
            </w:r>
          </w:p>
        </w:tc>
        <w:tc>
          <w:tcPr>
            <w:tcW w:w="729" w:type="pct"/>
            <w:gridSpan w:val="2"/>
            <w:vAlign w:val="center"/>
          </w:tcPr>
          <w:p w14:paraId="517C2A2A">
            <w:pPr>
              <w:pStyle w:val="101"/>
              <w:jc w:val="center"/>
              <w:rPr>
                <w:rFonts w:hint="eastAsia" w:eastAsia="宋体"/>
                <w:color w:val="auto"/>
              </w:rPr>
            </w:pPr>
            <w:r>
              <w:rPr>
                <w:rFonts w:hint="eastAsia" w:eastAsia="宋体"/>
                <w:color w:val="auto"/>
                <w:lang w:val="en-US" w:eastAsia="zh-CN"/>
              </w:rPr>
              <w:t>医院</w:t>
            </w:r>
          </w:p>
        </w:tc>
        <w:tc>
          <w:tcPr>
            <w:tcW w:w="591" w:type="pct"/>
            <w:vAlign w:val="center"/>
          </w:tcPr>
          <w:p w14:paraId="1D9EFDB0">
            <w:pPr>
              <w:pStyle w:val="101"/>
              <w:jc w:val="center"/>
              <w:rPr>
                <w:rFonts w:hint="eastAsia" w:eastAsia="宋体"/>
                <w:color w:val="auto"/>
              </w:rPr>
            </w:pPr>
            <w:r>
              <w:rPr>
                <w:rFonts w:hint="eastAsia" w:eastAsia="宋体"/>
                <w:color w:val="auto"/>
                <w:lang w:val="en-US" w:eastAsia="zh-CN"/>
              </w:rPr>
              <w:t>100</w:t>
            </w:r>
          </w:p>
        </w:tc>
      </w:tr>
      <w:tr w14:paraId="7CEA7C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32F51FF">
            <w:pPr>
              <w:pStyle w:val="101"/>
              <w:jc w:val="center"/>
              <w:rPr>
                <w:color w:val="auto"/>
              </w:rPr>
            </w:pPr>
          </w:p>
        </w:tc>
        <w:tc>
          <w:tcPr>
            <w:tcW w:w="390" w:type="pct"/>
            <w:vAlign w:val="center"/>
          </w:tcPr>
          <w:p w14:paraId="4F8B7A23">
            <w:pPr>
              <w:pStyle w:val="101"/>
              <w:jc w:val="center"/>
              <w:rPr>
                <w:rFonts w:hint="eastAsia" w:eastAsia="宋体"/>
                <w:color w:val="auto"/>
              </w:rPr>
            </w:pPr>
            <w:r>
              <w:rPr>
                <w:rFonts w:hint="eastAsia" w:eastAsia="宋体"/>
                <w:color w:val="auto"/>
                <w:lang w:val="en-US" w:eastAsia="zh-CN"/>
              </w:rPr>
              <w:t>93</w:t>
            </w:r>
          </w:p>
        </w:tc>
        <w:tc>
          <w:tcPr>
            <w:tcW w:w="1713" w:type="pct"/>
            <w:vAlign w:val="center"/>
          </w:tcPr>
          <w:p w14:paraId="4EF3AE64">
            <w:pPr>
              <w:pStyle w:val="101"/>
              <w:jc w:val="center"/>
              <w:rPr>
                <w:rFonts w:hint="eastAsia" w:eastAsia="宋体"/>
                <w:color w:val="auto"/>
              </w:rPr>
            </w:pPr>
            <w:r>
              <w:rPr>
                <w:rFonts w:hint="eastAsia" w:eastAsia="宋体"/>
                <w:color w:val="auto"/>
                <w:lang w:val="en-US" w:eastAsia="zh-CN"/>
              </w:rPr>
              <w:t>鹤岗市育民小学</w:t>
            </w:r>
          </w:p>
        </w:tc>
        <w:tc>
          <w:tcPr>
            <w:tcW w:w="1115" w:type="dxa"/>
            <w:gridSpan w:val="2"/>
            <w:vAlign w:val="bottom"/>
          </w:tcPr>
          <w:p w14:paraId="23264C63">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2BF2F724">
            <w:pPr>
              <w:pStyle w:val="101"/>
              <w:jc w:val="center"/>
              <w:rPr>
                <w:rFonts w:hint="eastAsia" w:eastAsia="宋体"/>
                <w:color w:val="auto"/>
              </w:rPr>
            </w:pPr>
            <w:r>
              <w:rPr>
                <w:rFonts w:hint="eastAsia" w:eastAsia="宋体"/>
                <w:color w:val="auto"/>
                <w:lang w:val="en-US" w:eastAsia="zh-CN"/>
              </w:rPr>
              <w:t>2740</w:t>
            </w:r>
          </w:p>
        </w:tc>
        <w:tc>
          <w:tcPr>
            <w:tcW w:w="729" w:type="pct"/>
            <w:gridSpan w:val="2"/>
            <w:vAlign w:val="center"/>
          </w:tcPr>
          <w:p w14:paraId="059ED07E">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7ECC7842">
            <w:pPr>
              <w:pStyle w:val="101"/>
              <w:jc w:val="center"/>
              <w:rPr>
                <w:rFonts w:hint="eastAsia" w:eastAsia="宋体"/>
                <w:color w:val="auto"/>
              </w:rPr>
            </w:pPr>
            <w:r>
              <w:rPr>
                <w:rFonts w:hint="eastAsia" w:eastAsia="宋体"/>
                <w:color w:val="auto"/>
                <w:lang w:val="en-US" w:eastAsia="zh-CN"/>
              </w:rPr>
              <w:t>200</w:t>
            </w:r>
          </w:p>
        </w:tc>
      </w:tr>
      <w:tr w14:paraId="118E91B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61945E9">
            <w:pPr>
              <w:pStyle w:val="101"/>
              <w:jc w:val="center"/>
              <w:rPr>
                <w:color w:val="auto"/>
              </w:rPr>
            </w:pPr>
          </w:p>
        </w:tc>
        <w:tc>
          <w:tcPr>
            <w:tcW w:w="390" w:type="pct"/>
            <w:vAlign w:val="center"/>
          </w:tcPr>
          <w:p w14:paraId="3CFC7140">
            <w:pPr>
              <w:pStyle w:val="101"/>
              <w:jc w:val="center"/>
              <w:rPr>
                <w:rFonts w:hint="eastAsia" w:eastAsia="宋体"/>
                <w:color w:val="auto"/>
              </w:rPr>
            </w:pPr>
            <w:r>
              <w:rPr>
                <w:rFonts w:hint="eastAsia" w:eastAsia="宋体"/>
                <w:color w:val="auto"/>
                <w:lang w:val="en-US" w:eastAsia="zh-CN"/>
              </w:rPr>
              <w:t>94</w:t>
            </w:r>
          </w:p>
        </w:tc>
        <w:tc>
          <w:tcPr>
            <w:tcW w:w="1713" w:type="pct"/>
            <w:vAlign w:val="center"/>
          </w:tcPr>
          <w:p w14:paraId="03EE7FE6">
            <w:pPr>
              <w:pStyle w:val="101"/>
              <w:jc w:val="center"/>
              <w:rPr>
                <w:rFonts w:hint="eastAsia" w:eastAsia="宋体"/>
                <w:color w:val="auto"/>
              </w:rPr>
            </w:pPr>
            <w:r>
              <w:rPr>
                <w:rFonts w:hint="eastAsia" w:eastAsia="宋体"/>
                <w:color w:val="auto"/>
                <w:lang w:val="en-US" w:eastAsia="zh-CN"/>
              </w:rPr>
              <w:t>鹤岗市煤炭生产安全管理局</w:t>
            </w:r>
          </w:p>
        </w:tc>
        <w:tc>
          <w:tcPr>
            <w:tcW w:w="1115" w:type="dxa"/>
            <w:gridSpan w:val="2"/>
            <w:vAlign w:val="bottom"/>
          </w:tcPr>
          <w:p w14:paraId="171990DC">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669F18A">
            <w:pPr>
              <w:pStyle w:val="101"/>
              <w:jc w:val="center"/>
              <w:rPr>
                <w:rFonts w:hint="eastAsia" w:eastAsia="宋体"/>
                <w:color w:val="auto"/>
              </w:rPr>
            </w:pPr>
            <w:r>
              <w:rPr>
                <w:rFonts w:hint="eastAsia" w:eastAsia="宋体"/>
                <w:color w:val="auto"/>
                <w:lang w:val="en-US" w:eastAsia="zh-CN"/>
              </w:rPr>
              <w:t>2775</w:t>
            </w:r>
          </w:p>
        </w:tc>
        <w:tc>
          <w:tcPr>
            <w:tcW w:w="729" w:type="pct"/>
            <w:gridSpan w:val="2"/>
            <w:vAlign w:val="center"/>
          </w:tcPr>
          <w:p w14:paraId="548A8604">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EF63499">
            <w:pPr>
              <w:pStyle w:val="101"/>
              <w:jc w:val="center"/>
              <w:rPr>
                <w:rFonts w:hint="eastAsia" w:eastAsia="宋体"/>
                <w:color w:val="auto"/>
              </w:rPr>
            </w:pPr>
            <w:r>
              <w:rPr>
                <w:rFonts w:hint="eastAsia" w:eastAsia="宋体"/>
                <w:color w:val="auto"/>
                <w:lang w:val="en-US" w:eastAsia="zh-CN"/>
              </w:rPr>
              <w:t>80</w:t>
            </w:r>
          </w:p>
        </w:tc>
      </w:tr>
      <w:tr w14:paraId="1797362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AE99C49">
            <w:pPr>
              <w:pStyle w:val="101"/>
              <w:jc w:val="center"/>
              <w:rPr>
                <w:color w:val="auto"/>
              </w:rPr>
            </w:pPr>
          </w:p>
        </w:tc>
        <w:tc>
          <w:tcPr>
            <w:tcW w:w="390" w:type="pct"/>
            <w:vAlign w:val="center"/>
          </w:tcPr>
          <w:p w14:paraId="3F2C4C7C">
            <w:pPr>
              <w:pStyle w:val="101"/>
              <w:jc w:val="center"/>
              <w:rPr>
                <w:rFonts w:hint="eastAsia" w:eastAsia="宋体"/>
                <w:color w:val="auto"/>
              </w:rPr>
            </w:pPr>
            <w:r>
              <w:rPr>
                <w:rFonts w:hint="eastAsia" w:eastAsia="宋体"/>
                <w:color w:val="auto"/>
                <w:lang w:val="en-US" w:eastAsia="zh-CN"/>
              </w:rPr>
              <w:t>95</w:t>
            </w:r>
          </w:p>
        </w:tc>
        <w:tc>
          <w:tcPr>
            <w:tcW w:w="1713" w:type="pct"/>
            <w:vAlign w:val="center"/>
          </w:tcPr>
          <w:p w14:paraId="1D099CAB">
            <w:pPr>
              <w:pStyle w:val="101"/>
              <w:jc w:val="center"/>
              <w:rPr>
                <w:rFonts w:hint="eastAsia" w:eastAsia="宋体"/>
                <w:color w:val="auto"/>
              </w:rPr>
            </w:pPr>
            <w:r>
              <w:rPr>
                <w:rFonts w:hint="eastAsia" w:eastAsia="宋体"/>
                <w:color w:val="auto"/>
                <w:lang w:val="en-US" w:eastAsia="zh-CN"/>
              </w:rPr>
              <w:t>国家税务总局鹤岗市工农区税务局</w:t>
            </w:r>
          </w:p>
        </w:tc>
        <w:tc>
          <w:tcPr>
            <w:tcW w:w="1115" w:type="dxa"/>
            <w:gridSpan w:val="2"/>
            <w:vAlign w:val="bottom"/>
          </w:tcPr>
          <w:p w14:paraId="2014A9C3">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F6E8D47">
            <w:pPr>
              <w:pStyle w:val="101"/>
              <w:jc w:val="center"/>
              <w:rPr>
                <w:rFonts w:hint="eastAsia" w:eastAsia="宋体"/>
                <w:color w:val="auto"/>
              </w:rPr>
            </w:pPr>
            <w:r>
              <w:rPr>
                <w:rFonts w:hint="eastAsia" w:eastAsia="宋体"/>
                <w:color w:val="auto"/>
                <w:lang w:val="en-US" w:eastAsia="zh-CN"/>
              </w:rPr>
              <w:t>2815</w:t>
            </w:r>
          </w:p>
        </w:tc>
        <w:tc>
          <w:tcPr>
            <w:tcW w:w="729" w:type="pct"/>
            <w:gridSpan w:val="2"/>
            <w:vAlign w:val="center"/>
          </w:tcPr>
          <w:p w14:paraId="385694F0">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7A1FF5A">
            <w:pPr>
              <w:pStyle w:val="101"/>
              <w:jc w:val="center"/>
              <w:rPr>
                <w:rFonts w:hint="eastAsia" w:eastAsia="宋体"/>
                <w:color w:val="auto"/>
              </w:rPr>
            </w:pPr>
            <w:r>
              <w:rPr>
                <w:rFonts w:hint="eastAsia" w:eastAsia="宋体"/>
                <w:color w:val="auto"/>
                <w:lang w:val="en-US" w:eastAsia="zh-CN"/>
              </w:rPr>
              <w:t>70</w:t>
            </w:r>
          </w:p>
        </w:tc>
      </w:tr>
      <w:tr w14:paraId="72240D2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AD2A191">
            <w:pPr>
              <w:pStyle w:val="101"/>
              <w:jc w:val="center"/>
              <w:rPr>
                <w:color w:val="auto"/>
              </w:rPr>
            </w:pPr>
          </w:p>
        </w:tc>
        <w:tc>
          <w:tcPr>
            <w:tcW w:w="390" w:type="pct"/>
            <w:vAlign w:val="center"/>
          </w:tcPr>
          <w:p w14:paraId="32D7D69A">
            <w:pPr>
              <w:pStyle w:val="101"/>
              <w:jc w:val="center"/>
              <w:rPr>
                <w:rFonts w:hint="eastAsia" w:eastAsia="宋体"/>
                <w:color w:val="auto"/>
              </w:rPr>
            </w:pPr>
            <w:r>
              <w:rPr>
                <w:rFonts w:hint="eastAsia" w:eastAsia="宋体"/>
                <w:color w:val="auto"/>
                <w:lang w:val="en-US" w:eastAsia="zh-CN"/>
              </w:rPr>
              <w:t>96</w:t>
            </w:r>
          </w:p>
        </w:tc>
        <w:tc>
          <w:tcPr>
            <w:tcW w:w="1713" w:type="pct"/>
            <w:vAlign w:val="center"/>
          </w:tcPr>
          <w:p w14:paraId="1C0EF83B">
            <w:pPr>
              <w:pStyle w:val="101"/>
              <w:jc w:val="center"/>
              <w:rPr>
                <w:rFonts w:hint="eastAsia" w:eastAsia="宋体"/>
                <w:color w:val="auto"/>
              </w:rPr>
            </w:pPr>
            <w:r>
              <w:rPr>
                <w:rFonts w:hint="eastAsia" w:eastAsia="宋体"/>
                <w:color w:val="auto"/>
                <w:lang w:val="en-US" w:eastAsia="zh-CN"/>
              </w:rPr>
              <w:t>鹤岗市第二十四中学</w:t>
            </w:r>
          </w:p>
        </w:tc>
        <w:tc>
          <w:tcPr>
            <w:tcW w:w="1115" w:type="dxa"/>
            <w:gridSpan w:val="2"/>
            <w:vAlign w:val="bottom"/>
          </w:tcPr>
          <w:p w14:paraId="42F5265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7CF89F60">
            <w:pPr>
              <w:pStyle w:val="101"/>
              <w:jc w:val="center"/>
              <w:rPr>
                <w:rFonts w:hint="eastAsia" w:eastAsia="宋体"/>
                <w:color w:val="auto"/>
              </w:rPr>
            </w:pPr>
            <w:r>
              <w:rPr>
                <w:rFonts w:hint="eastAsia" w:eastAsia="宋体"/>
                <w:color w:val="auto"/>
                <w:lang w:val="en-US" w:eastAsia="zh-CN"/>
              </w:rPr>
              <w:t>2920</w:t>
            </w:r>
          </w:p>
        </w:tc>
        <w:tc>
          <w:tcPr>
            <w:tcW w:w="729" w:type="pct"/>
            <w:gridSpan w:val="2"/>
            <w:vAlign w:val="center"/>
          </w:tcPr>
          <w:p w14:paraId="5B9C3D92">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2E0F24D6">
            <w:pPr>
              <w:pStyle w:val="101"/>
              <w:jc w:val="center"/>
              <w:rPr>
                <w:rFonts w:hint="eastAsia" w:eastAsia="宋体"/>
                <w:color w:val="auto"/>
              </w:rPr>
            </w:pPr>
            <w:r>
              <w:rPr>
                <w:rFonts w:hint="eastAsia" w:eastAsia="宋体"/>
                <w:color w:val="auto"/>
                <w:lang w:val="en-US" w:eastAsia="zh-CN"/>
              </w:rPr>
              <w:t>600</w:t>
            </w:r>
          </w:p>
        </w:tc>
      </w:tr>
      <w:tr w14:paraId="2370EF4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8797FD4">
            <w:pPr>
              <w:pStyle w:val="101"/>
              <w:jc w:val="center"/>
              <w:rPr>
                <w:color w:val="auto"/>
              </w:rPr>
            </w:pPr>
          </w:p>
        </w:tc>
        <w:tc>
          <w:tcPr>
            <w:tcW w:w="390" w:type="pct"/>
            <w:vAlign w:val="center"/>
          </w:tcPr>
          <w:p w14:paraId="513F0649">
            <w:pPr>
              <w:pStyle w:val="101"/>
              <w:jc w:val="center"/>
              <w:rPr>
                <w:rFonts w:hint="eastAsia" w:eastAsia="宋体"/>
                <w:color w:val="auto"/>
              </w:rPr>
            </w:pPr>
            <w:r>
              <w:rPr>
                <w:rFonts w:hint="eastAsia" w:eastAsia="宋体"/>
                <w:color w:val="auto"/>
                <w:lang w:val="en-US" w:eastAsia="zh-CN"/>
              </w:rPr>
              <w:t>97</w:t>
            </w:r>
          </w:p>
        </w:tc>
        <w:tc>
          <w:tcPr>
            <w:tcW w:w="1713" w:type="pct"/>
            <w:vAlign w:val="center"/>
          </w:tcPr>
          <w:p w14:paraId="5FEBC590">
            <w:pPr>
              <w:pStyle w:val="101"/>
              <w:jc w:val="center"/>
              <w:rPr>
                <w:rFonts w:hint="eastAsia" w:eastAsia="宋体"/>
                <w:color w:val="auto"/>
              </w:rPr>
            </w:pPr>
            <w:r>
              <w:rPr>
                <w:rFonts w:hint="eastAsia" w:eastAsia="宋体"/>
                <w:color w:val="auto"/>
                <w:lang w:val="en-US" w:eastAsia="zh-CN"/>
              </w:rPr>
              <w:t>鹤岗市新南小学</w:t>
            </w:r>
          </w:p>
        </w:tc>
        <w:tc>
          <w:tcPr>
            <w:tcW w:w="1115" w:type="dxa"/>
            <w:gridSpan w:val="2"/>
            <w:vAlign w:val="bottom"/>
          </w:tcPr>
          <w:p w14:paraId="0DBF7CAC">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48FD227E">
            <w:pPr>
              <w:pStyle w:val="101"/>
              <w:jc w:val="center"/>
              <w:rPr>
                <w:rFonts w:hint="eastAsia" w:eastAsia="宋体"/>
                <w:color w:val="auto"/>
              </w:rPr>
            </w:pPr>
            <w:r>
              <w:rPr>
                <w:rFonts w:hint="eastAsia" w:eastAsia="宋体"/>
                <w:color w:val="auto"/>
                <w:lang w:val="en-US" w:eastAsia="zh-CN"/>
              </w:rPr>
              <w:t>2950</w:t>
            </w:r>
          </w:p>
        </w:tc>
        <w:tc>
          <w:tcPr>
            <w:tcW w:w="729" w:type="pct"/>
            <w:gridSpan w:val="2"/>
            <w:vAlign w:val="center"/>
          </w:tcPr>
          <w:p w14:paraId="2EDDACF8">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7BCEAC81">
            <w:pPr>
              <w:pStyle w:val="101"/>
              <w:jc w:val="center"/>
              <w:rPr>
                <w:rFonts w:hint="eastAsia" w:eastAsia="宋体"/>
                <w:color w:val="auto"/>
              </w:rPr>
            </w:pPr>
            <w:r>
              <w:rPr>
                <w:rFonts w:hint="eastAsia" w:eastAsia="宋体"/>
                <w:color w:val="auto"/>
                <w:lang w:val="en-US" w:eastAsia="zh-CN"/>
              </w:rPr>
              <w:t>200</w:t>
            </w:r>
          </w:p>
        </w:tc>
      </w:tr>
      <w:tr w14:paraId="1F863C7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AD6E75B">
            <w:pPr>
              <w:pStyle w:val="101"/>
              <w:jc w:val="center"/>
              <w:rPr>
                <w:color w:val="auto"/>
              </w:rPr>
            </w:pPr>
          </w:p>
        </w:tc>
        <w:tc>
          <w:tcPr>
            <w:tcW w:w="390" w:type="pct"/>
            <w:vAlign w:val="center"/>
          </w:tcPr>
          <w:p w14:paraId="61F58AF7">
            <w:pPr>
              <w:pStyle w:val="101"/>
              <w:jc w:val="center"/>
              <w:rPr>
                <w:rFonts w:hint="eastAsia" w:eastAsia="宋体"/>
                <w:color w:val="auto"/>
              </w:rPr>
            </w:pPr>
            <w:r>
              <w:rPr>
                <w:rFonts w:hint="eastAsia" w:eastAsia="宋体"/>
                <w:color w:val="auto"/>
                <w:lang w:val="en-US" w:eastAsia="zh-CN"/>
              </w:rPr>
              <w:t>98</w:t>
            </w:r>
          </w:p>
        </w:tc>
        <w:tc>
          <w:tcPr>
            <w:tcW w:w="1713" w:type="pct"/>
            <w:vAlign w:val="center"/>
          </w:tcPr>
          <w:p w14:paraId="7EEB8DEA">
            <w:pPr>
              <w:pStyle w:val="101"/>
              <w:jc w:val="center"/>
              <w:rPr>
                <w:rFonts w:hint="eastAsia" w:eastAsia="宋体"/>
                <w:color w:val="auto"/>
              </w:rPr>
            </w:pPr>
            <w:r>
              <w:rPr>
                <w:rFonts w:hint="eastAsia" w:eastAsia="宋体"/>
                <w:color w:val="auto"/>
                <w:lang w:val="en-US" w:eastAsia="zh-CN"/>
              </w:rPr>
              <w:t>中国盐政</w:t>
            </w:r>
          </w:p>
        </w:tc>
        <w:tc>
          <w:tcPr>
            <w:tcW w:w="1115" w:type="dxa"/>
            <w:gridSpan w:val="2"/>
            <w:vAlign w:val="bottom"/>
          </w:tcPr>
          <w:p w14:paraId="48074134">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CCB38AA">
            <w:pPr>
              <w:pStyle w:val="101"/>
              <w:jc w:val="center"/>
              <w:rPr>
                <w:rFonts w:hint="eastAsia" w:eastAsia="宋体"/>
                <w:color w:val="auto"/>
              </w:rPr>
            </w:pPr>
            <w:r>
              <w:rPr>
                <w:rFonts w:hint="eastAsia" w:eastAsia="宋体"/>
                <w:color w:val="auto"/>
                <w:lang w:val="en-US" w:eastAsia="zh-CN"/>
              </w:rPr>
              <w:t>2985</w:t>
            </w:r>
          </w:p>
        </w:tc>
        <w:tc>
          <w:tcPr>
            <w:tcW w:w="729" w:type="pct"/>
            <w:gridSpan w:val="2"/>
            <w:vAlign w:val="center"/>
          </w:tcPr>
          <w:p w14:paraId="2F731AB3">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7E466661">
            <w:pPr>
              <w:pStyle w:val="101"/>
              <w:jc w:val="center"/>
              <w:rPr>
                <w:rFonts w:hint="eastAsia" w:eastAsia="宋体"/>
                <w:color w:val="auto"/>
              </w:rPr>
            </w:pPr>
            <w:r>
              <w:rPr>
                <w:rFonts w:hint="eastAsia" w:eastAsia="宋体"/>
                <w:color w:val="auto"/>
                <w:lang w:val="en-US" w:eastAsia="zh-CN"/>
              </w:rPr>
              <w:t>60</w:t>
            </w:r>
          </w:p>
        </w:tc>
      </w:tr>
      <w:tr w14:paraId="5EB1E53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371BE7B">
            <w:pPr>
              <w:pStyle w:val="101"/>
              <w:jc w:val="center"/>
              <w:rPr>
                <w:color w:val="auto"/>
              </w:rPr>
            </w:pPr>
          </w:p>
        </w:tc>
        <w:tc>
          <w:tcPr>
            <w:tcW w:w="390" w:type="pct"/>
            <w:vAlign w:val="center"/>
          </w:tcPr>
          <w:p w14:paraId="7E3BA213">
            <w:pPr>
              <w:pStyle w:val="101"/>
              <w:jc w:val="center"/>
              <w:rPr>
                <w:rFonts w:hint="eastAsia" w:eastAsia="宋体"/>
                <w:color w:val="auto"/>
              </w:rPr>
            </w:pPr>
            <w:r>
              <w:rPr>
                <w:rFonts w:hint="eastAsia" w:eastAsia="宋体"/>
                <w:color w:val="auto"/>
                <w:lang w:val="en-US" w:eastAsia="zh-CN"/>
              </w:rPr>
              <w:t>99</w:t>
            </w:r>
          </w:p>
        </w:tc>
        <w:tc>
          <w:tcPr>
            <w:tcW w:w="1713" w:type="pct"/>
            <w:vAlign w:val="center"/>
          </w:tcPr>
          <w:p w14:paraId="3142F928">
            <w:pPr>
              <w:pStyle w:val="101"/>
              <w:jc w:val="center"/>
              <w:rPr>
                <w:rFonts w:hint="eastAsia" w:eastAsia="宋体"/>
                <w:color w:val="auto"/>
              </w:rPr>
            </w:pPr>
            <w:r>
              <w:rPr>
                <w:rFonts w:hint="eastAsia" w:eastAsia="宋体"/>
                <w:color w:val="auto"/>
                <w:lang w:val="en-US" w:eastAsia="zh-CN"/>
              </w:rPr>
              <w:t>鹤岗市人民医院</w:t>
            </w:r>
          </w:p>
        </w:tc>
        <w:tc>
          <w:tcPr>
            <w:tcW w:w="1115" w:type="dxa"/>
            <w:gridSpan w:val="2"/>
            <w:vAlign w:val="bottom"/>
          </w:tcPr>
          <w:p w14:paraId="0DFC32C4">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A1F74E3">
            <w:pPr>
              <w:pStyle w:val="101"/>
              <w:jc w:val="center"/>
              <w:rPr>
                <w:rFonts w:hint="eastAsia" w:eastAsia="宋体"/>
                <w:color w:val="auto"/>
              </w:rPr>
            </w:pPr>
            <w:r>
              <w:rPr>
                <w:rFonts w:hint="eastAsia" w:eastAsia="宋体"/>
                <w:color w:val="auto"/>
                <w:lang w:val="en-US" w:eastAsia="zh-CN"/>
              </w:rPr>
              <w:t>2985</w:t>
            </w:r>
          </w:p>
        </w:tc>
        <w:tc>
          <w:tcPr>
            <w:tcW w:w="729" w:type="pct"/>
            <w:gridSpan w:val="2"/>
            <w:vAlign w:val="center"/>
          </w:tcPr>
          <w:p w14:paraId="20F7CDB0">
            <w:pPr>
              <w:pStyle w:val="101"/>
              <w:jc w:val="center"/>
              <w:rPr>
                <w:rFonts w:hint="eastAsia" w:eastAsia="宋体"/>
                <w:color w:val="auto"/>
              </w:rPr>
            </w:pPr>
            <w:r>
              <w:rPr>
                <w:rFonts w:hint="eastAsia" w:eastAsia="宋体"/>
                <w:color w:val="auto"/>
                <w:lang w:val="en-US" w:eastAsia="zh-CN"/>
              </w:rPr>
              <w:t>医院</w:t>
            </w:r>
          </w:p>
        </w:tc>
        <w:tc>
          <w:tcPr>
            <w:tcW w:w="591" w:type="pct"/>
            <w:vAlign w:val="center"/>
          </w:tcPr>
          <w:p w14:paraId="664D24A7">
            <w:pPr>
              <w:pStyle w:val="101"/>
              <w:jc w:val="center"/>
              <w:rPr>
                <w:rFonts w:hint="eastAsia" w:eastAsia="宋体"/>
                <w:color w:val="auto"/>
              </w:rPr>
            </w:pPr>
            <w:r>
              <w:rPr>
                <w:rFonts w:hint="eastAsia" w:eastAsia="宋体"/>
                <w:color w:val="auto"/>
                <w:lang w:val="en-US" w:eastAsia="zh-CN"/>
              </w:rPr>
              <w:t>150</w:t>
            </w:r>
          </w:p>
        </w:tc>
      </w:tr>
      <w:tr w14:paraId="6E89F6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F29CB5D">
            <w:pPr>
              <w:pStyle w:val="101"/>
              <w:jc w:val="center"/>
              <w:rPr>
                <w:color w:val="auto"/>
              </w:rPr>
            </w:pPr>
          </w:p>
        </w:tc>
        <w:tc>
          <w:tcPr>
            <w:tcW w:w="390" w:type="pct"/>
            <w:vAlign w:val="center"/>
          </w:tcPr>
          <w:p w14:paraId="7407F0B1">
            <w:pPr>
              <w:pStyle w:val="101"/>
              <w:jc w:val="center"/>
              <w:rPr>
                <w:rFonts w:hint="eastAsia" w:eastAsia="宋体"/>
                <w:color w:val="auto"/>
              </w:rPr>
            </w:pPr>
            <w:r>
              <w:rPr>
                <w:rFonts w:hint="eastAsia" w:eastAsia="宋体"/>
                <w:color w:val="auto"/>
                <w:lang w:val="en-US" w:eastAsia="zh-CN"/>
              </w:rPr>
              <w:t>100</w:t>
            </w:r>
          </w:p>
        </w:tc>
        <w:tc>
          <w:tcPr>
            <w:tcW w:w="1713" w:type="pct"/>
            <w:vAlign w:val="center"/>
          </w:tcPr>
          <w:p w14:paraId="11B9EA8F">
            <w:pPr>
              <w:pStyle w:val="101"/>
              <w:jc w:val="center"/>
              <w:rPr>
                <w:rFonts w:hint="eastAsia" w:eastAsia="宋体"/>
                <w:color w:val="auto"/>
              </w:rPr>
            </w:pPr>
            <w:r>
              <w:rPr>
                <w:rFonts w:hint="eastAsia" w:eastAsia="宋体"/>
                <w:color w:val="auto"/>
                <w:lang w:val="en-US" w:eastAsia="zh-CN"/>
              </w:rPr>
              <w:t>鹤岗市盐务管理局</w:t>
            </w:r>
          </w:p>
        </w:tc>
        <w:tc>
          <w:tcPr>
            <w:tcW w:w="1115" w:type="dxa"/>
            <w:gridSpan w:val="2"/>
            <w:vAlign w:val="bottom"/>
          </w:tcPr>
          <w:p w14:paraId="09924EBF">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E5CBE41">
            <w:pPr>
              <w:pStyle w:val="101"/>
              <w:jc w:val="center"/>
              <w:rPr>
                <w:rFonts w:hint="eastAsia" w:eastAsia="宋体"/>
                <w:color w:val="auto"/>
              </w:rPr>
            </w:pPr>
            <w:r>
              <w:rPr>
                <w:rFonts w:hint="eastAsia" w:eastAsia="宋体"/>
                <w:color w:val="auto"/>
                <w:lang w:val="en-US" w:eastAsia="zh-CN"/>
              </w:rPr>
              <w:t>3010</w:t>
            </w:r>
          </w:p>
        </w:tc>
        <w:tc>
          <w:tcPr>
            <w:tcW w:w="729" w:type="pct"/>
            <w:gridSpan w:val="2"/>
            <w:vAlign w:val="center"/>
          </w:tcPr>
          <w:p w14:paraId="261AE180">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65DA62CB">
            <w:pPr>
              <w:pStyle w:val="101"/>
              <w:jc w:val="center"/>
              <w:rPr>
                <w:rFonts w:hint="eastAsia" w:eastAsia="宋体"/>
                <w:color w:val="auto"/>
              </w:rPr>
            </w:pPr>
            <w:r>
              <w:rPr>
                <w:rFonts w:hint="eastAsia" w:eastAsia="宋体"/>
                <w:color w:val="auto"/>
                <w:lang w:val="en-US" w:eastAsia="zh-CN"/>
              </w:rPr>
              <w:t>80</w:t>
            </w:r>
          </w:p>
        </w:tc>
      </w:tr>
      <w:tr w14:paraId="0C7ACE0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FE9DB9F">
            <w:pPr>
              <w:pStyle w:val="101"/>
              <w:jc w:val="center"/>
              <w:rPr>
                <w:color w:val="auto"/>
              </w:rPr>
            </w:pPr>
          </w:p>
        </w:tc>
        <w:tc>
          <w:tcPr>
            <w:tcW w:w="390" w:type="pct"/>
            <w:vAlign w:val="center"/>
          </w:tcPr>
          <w:p w14:paraId="5BCE3103">
            <w:pPr>
              <w:pStyle w:val="101"/>
              <w:jc w:val="center"/>
              <w:rPr>
                <w:rFonts w:hint="eastAsia" w:eastAsia="宋体"/>
                <w:color w:val="auto"/>
              </w:rPr>
            </w:pPr>
            <w:r>
              <w:rPr>
                <w:rFonts w:hint="eastAsia" w:eastAsia="宋体"/>
                <w:color w:val="auto"/>
                <w:lang w:val="en-US" w:eastAsia="zh-CN"/>
              </w:rPr>
              <w:t>101</w:t>
            </w:r>
          </w:p>
        </w:tc>
        <w:tc>
          <w:tcPr>
            <w:tcW w:w="1713" w:type="pct"/>
            <w:vAlign w:val="center"/>
          </w:tcPr>
          <w:p w14:paraId="39E96241">
            <w:pPr>
              <w:pStyle w:val="101"/>
              <w:jc w:val="center"/>
              <w:rPr>
                <w:rFonts w:hint="eastAsia" w:eastAsia="宋体"/>
                <w:color w:val="auto"/>
              </w:rPr>
            </w:pPr>
            <w:r>
              <w:rPr>
                <w:rFonts w:hint="eastAsia" w:eastAsia="宋体"/>
                <w:color w:val="auto"/>
                <w:lang w:val="en-US" w:eastAsia="zh-CN"/>
              </w:rPr>
              <w:t>鹤岗市妇女儿童医院</w:t>
            </w:r>
          </w:p>
        </w:tc>
        <w:tc>
          <w:tcPr>
            <w:tcW w:w="1115" w:type="dxa"/>
            <w:gridSpan w:val="2"/>
            <w:vAlign w:val="bottom"/>
          </w:tcPr>
          <w:p w14:paraId="4CCE0577">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9C2E8C2">
            <w:pPr>
              <w:pStyle w:val="101"/>
              <w:jc w:val="center"/>
              <w:rPr>
                <w:rFonts w:hint="eastAsia" w:eastAsia="宋体"/>
                <w:color w:val="auto"/>
              </w:rPr>
            </w:pPr>
            <w:r>
              <w:rPr>
                <w:rFonts w:hint="eastAsia" w:eastAsia="宋体"/>
                <w:color w:val="auto"/>
                <w:lang w:val="en-US" w:eastAsia="zh-CN"/>
              </w:rPr>
              <w:t>3050</w:t>
            </w:r>
          </w:p>
        </w:tc>
        <w:tc>
          <w:tcPr>
            <w:tcW w:w="729" w:type="pct"/>
            <w:gridSpan w:val="2"/>
            <w:vAlign w:val="center"/>
          </w:tcPr>
          <w:p w14:paraId="04DB7FFB">
            <w:pPr>
              <w:pStyle w:val="101"/>
              <w:jc w:val="center"/>
              <w:rPr>
                <w:rFonts w:hint="eastAsia" w:eastAsia="宋体"/>
                <w:color w:val="auto"/>
              </w:rPr>
            </w:pPr>
            <w:r>
              <w:rPr>
                <w:rFonts w:hint="eastAsia" w:eastAsia="宋体"/>
                <w:color w:val="auto"/>
                <w:lang w:val="en-US" w:eastAsia="zh-CN"/>
              </w:rPr>
              <w:t>医院</w:t>
            </w:r>
          </w:p>
        </w:tc>
        <w:tc>
          <w:tcPr>
            <w:tcW w:w="591" w:type="pct"/>
            <w:vAlign w:val="center"/>
          </w:tcPr>
          <w:p w14:paraId="54BFDA43">
            <w:pPr>
              <w:pStyle w:val="101"/>
              <w:jc w:val="center"/>
              <w:rPr>
                <w:rFonts w:hint="eastAsia" w:eastAsia="宋体"/>
                <w:color w:val="auto"/>
              </w:rPr>
            </w:pPr>
            <w:r>
              <w:rPr>
                <w:rFonts w:hint="eastAsia" w:eastAsia="宋体"/>
                <w:color w:val="auto"/>
                <w:lang w:val="en-US" w:eastAsia="zh-CN"/>
              </w:rPr>
              <w:t>120</w:t>
            </w:r>
          </w:p>
        </w:tc>
      </w:tr>
      <w:tr w14:paraId="5E5B2D0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60433AC">
            <w:pPr>
              <w:pStyle w:val="101"/>
              <w:jc w:val="center"/>
              <w:rPr>
                <w:color w:val="auto"/>
              </w:rPr>
            </w:pPr>
          </w:p>
        </w:tc>
        <w:tc>
          <w:tcPr>
            <w:tcW w:w="390" w:type="pct"/>
            <w:vAlign w:val="center"/>
          </w:tcPr>
          <w:p w14:paraId="2BEF2C00">
            <w:pPr>
              <w:pStyle w:val="101"/>
              <w:jc w:val="center"/>
              <w:rPr>
                <w:rFonts w:hint="eastAsia" w:eastAsia="宋体"/>
                <w:color w:val="auto"/>
              </w:rPr>
            </w:pPr>
            <w:r>
              <w:rPr>
                <w:rFonts w:hint="eastAsia" w:eastAsia="宋体"/>
                <w:color w:val="auto"/>
                <w:lang w:val="en-US" w:eastAsia="zh-CN"/>
              </w:rPr>
              <w:t>102</w:t>
            </w:r>
          </w:p>
        </w:tc>
        <w:tc>
          <w:tcPr>
            <w:tcW w:w="1713" w:type="pct"/>
            <w:vAlign w:val="center"/>
          </w:tcPr>
          <w:p w14:paraId="395A3736">
            <w:pPr>
              <w:pStyle w:val="101"/>
              <w:jc w:val="center"/>
              <w:rPr>
                <w:rFonts w:hint="eastAsia" w:eastAsia="宋体"/>
                <w:color w:val="auto"/>
              </w:rPr>
            </w:pPr>
            <w:r>
              <w:rPr>
                <w:rFonts w:hint="eastAsia" w:eastAsia="宋体"/>
                <w:color w:val="auto"/>
                <w:lang w:val="en-US" w:eastAsia="zh-CN"/>
              </w:rPr>
              <w:t>鹤岗市第二中学</w:t>
            </w:r>
          </w:p>
        </w:tc>
        <w:tc>
          <w:tcPr>
            <w:tcW w:w="1115" w:type="dxa"/>
            <w:gridSpan w:val="2"/>
            <w:vAlign w:val="bottom"/>
          </w:tcPr>
          <w:p w14:paraId="4E864D17">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1C3E3838">
            <w:pPr>
              <w:pStyle w:val="101"/>
              <w:jc w:val="center"/>
              <w:rPr>
                <w:rFonts w:hint="eastAsia" w:eastAsia="宋体"/>
                <w:color w:val="auto"/>
              </w:rPr>
            </w:pPr>
            <w:r>
              <w:rPr>
                <w:rFonts w:hint="eastAsia" w:eastAsia="宋体"/>
                <w:color w:val="auto"/>
                <w:lang w:val="en-US" w:eastAsia="zh-CN"/>
              </w:rPr>
              <w:t>3140</w:t>
            </w:r>
          </w:p>
        </w:tc>
        <w:tc>
          <w:tcPr>
            <w:tcW w:w="729" w:type="pct"/>
            <w:gridSpan w:val="2"/>
            <w:vAlign w:val="center"/>
          </w:tcPr>
          <w:p w14:paraId="4C5922CF">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5BF5C173">
            <w:pPr>
              <w:pStyle w:val="101"/>
              <w:jc w:val="center"/>
              <w:rPr>
                <w:rFonts w:hint="eastAsia" w:eastAsia="宋体"/>
                <w:color w:val="auto"/>
              </w:rPr>
            </w:pPr>
            <w:r>
              <w:rPr>
                <w:rFonts w:hint="eastAsia" w:eastAsia="宋体"/>
                <w:color w:val="auto"/>
                <w:lang w:val="en-US" w:eastAsia="zh-CN"/>
              </w:rPr>
              <w:t>500</w:t>
            </w:r>
          </w:p>
        </w:tc>
      </w:tr>
      <w:tr w14:paraId="6CE474B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DA3E680">
            <w:pPr>
              <w:pStyle w:val="101"/>
              <w:jc w:val="center"/>
              <w:rPr>
                <w:color w:val="auto"/>
              </w:rPr>
            </w:pPr>
          </w:p>
        </w:tc>
        <w:tc>
          <w:tcPr>
            <w:tcW w:w="390" w:type="pct"/>
            <w:vAlign w:val="center"/>
          </w:tcPr>
          <w:p w14:paraId="464DA28A">
            <w:pPr>
              <w:pStyle w:val="101"/>
              <w:jc w:val="center"/>
              <w:rPr>
                <w:rFonts w:hint="eastAsia" w:eastAsia="宋体"/>
                <w:color w:val="auto"/>
              </w:rPr>
            </w:pPr>
            <w:r>
              <w:rPr>
                <w:rFonts w:hint="eastAsia" w:eastAsia="宋体"/>
                <w:color w:val="auto"/>
                <w:lang w:val="en-US" w:eastAsia="zh-CN"/>
              </w:rPr>
              <w:t>103</w:t>
            </w:r>
          </w:p>
        </w:tc>
        <w:tc>
          <w:tcPr>
            <w:tcW w:w="1713" w:type="pct"/>
            <w:vAlign w:val="center"/>
          </w:tcPr>
          <w:p w14:paraId="50AD3A34">
            <w:pPr>
              <w:pStyle w:val="101"/>
              <w:jc w:val="center"/>
              <w:rPr>
                <w:rFonts w:hint="eastAsia" w:eastAsia="宋体"/>
                <w:color w:val="auto"/>
              </w:rPr>
            </w:pPr>
            <w:r>
              <w:rPr>
                <w:rFonts w:hint="eastAsia" w:eastAsia="宋体"/>
                <w:color w:val="auto"/>
                <w:lang w:val="en-US" w:eastAsia="zh-CN"/>
              </w:rPr>
              <w:t>欣虹小学</w:t>
            </w:r>
          </w:p>
        </w:tc>
        <w:tc>
          <w:tcPr>
            <w:tcW w:w="1115" w:type="dxa"/>
            <w:gridSpan w:val="2"/>
            <w:vAlign w:val="bottom"/>
          </w:tcPr>
          <w:p w14:paraId="201E973B">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F2BA111">
            <w:pPr>
              <w:pStyle w:val="101"/>
              <w:jc w:val="center"/>
              <w:rPr>
                <w:rFonts w:hint="eastAsia" w:eastAsia="宋体"/>
                <w:color w:val="auto"/>
              </w:rPr>
            </w:pPr>
            <w:r>
              <w:rPr>
                <w:rFonts w:hint="eastAsia" w:eastAsia="宋体"/>
                <w:color w:val="auto"/>
                <w:lang w:val="en-US" w:eastAsia="zh-CN"/>
              </w:rPr>
              <w:t>3190</w:t>
            </w:r>
          </w:p>
        </w:tc>
        <w:tc>
          <w:tcPr>
            <w:tcW w:w="729" w:type="pct"/>
            <w:gridSpan w:val="2"/>
            <w:vAlign w:val="center"/>
          </w:tcPr>
          <w:p w14:paraId="23328FCF">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5A521154">
            <w:pPr>
              <w:pStyle w:val="101"/>
              <w:jc w:val="center"/>
              <w:rPr>
                <w:rFonts w:hint="eastAsia" w:eastAsia="宋体"/>
                <w:color w:val="auto"/>
              </w:rPr>
            </w:pPr>
            <w:r>
              <w:rPr>
                <w:rFonts w:hint="eastAsia" w:eastAsia="宋体"/>
                <w:color w:val="auto"/>
                <w:lang w:val="en-US" w:eastAsia="zh-CN"/>
              </w:rPr>
              <w:t>200</w:t>
            </w:r>
          </w:p>
        </w:tc>
      </w:tr>
      <w:tr w14:paraId="16B2A3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DA9D6BF">
            <w:pPr>
              <w:pStyle w:val="101"/>
              <w:jc w:val="center"/>
              <w:rPr>
                <w:color w:val="auto"/>
              </w:rPr>
            </w:pPr>
          </w:p>
        </w:tc>
        <w:tc>
          <w:tcPr>
            <w:tcW w:w="390" w:type="pct"/>
            <w:vAlign w:val="center"/>
          </w:tcPr>
          <w:p w14:paraId="641F2E21">
            <w:pPr>
              <w:pStyle w:val="101"/>
              <w:jc w:val="center"/>
              <w:rPr>
                <w:rFonts w:hint="eastAsia" w:eastAsia="宋体"/>
                <w:color w:val="auto"/>
              </w:rPr>
            </w:pPr>
            <w:r>
              <w:rPr>
                <w:rFonts w:hint="eastAsia" w:eastAsia="宋体"/>
                <w:color w:val="auto"/>
                <w:lang w:val="en-US" w:eastAsia="zh-CN"/>
              </w:rPr>
              <w:t>104</w:t>
            </w:r>
          </w:p>
        </w:tc>
        <w:tc>
          <w:tcPr>
            <w:tcW w:w="1713" w:type="pct"/>
            <w:vAlign w:val="center"/>
          </w:tcPr>
          <w:p w14:paraId="04957DAE">
            <w:pPr>
              <w:pStyle w:val="101"/>
              <w:jc w:val="center"/>
              <w:rPr>
                <w:rFonts w:hint="eastAsia" w:eastAsia="宋体"/>
                <w:color w:val="auto"/>
              </w:rPr>
            </w:pPr>
            <w:r>
              <w:rPr>
                <w:rFonts w:hint="eastAsia" w:eastAsia="宋体"/>
                <w:color w:val="auto"/>
                <w:lang w:val="en-US" w:eastAsia="zh-CN"/>
              </w:rPr>
              <w:t>振兴治安派出所</w:t>
            </w:r>
          </w:p>
        </w:tc>
        <w:tc>
          <w:tcPr>
            <w:tcW w:w="1115" w:type="dxa"/>
            <w:gridSpan w:val="2"/>
            <w:vAlign w:val="bottom"/>
          </w:tcPr>
          <w:p w14:paraId="1BEAB053">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东北</w:t>
            </w:r>
          </w:p>
        </w:tc>
        <w:tc>
          <w:tcPr>
            <w:tcW w:w="592" w:type="pct"/>
            <w:vAlign w:val="center"/>
          </w:tcPr>
          <w:p w14:paraId="4D19CA76">
            <w:pPr>
              <w:pStyle w:val="101"/>
              <w:jc w:val="center"/>
              <w:rPr>
                <w:rFonts w:hint="eastAsia" w:eastAsia="宋体"/>
                <w:color w:val="auto"/>
              </w:rPr>
            </w:pPr>
            <w:r>
              <w:rPr>
                <w:rFonts w:hint="eastAsia" w:eastAsia="宋体"/>
                <w:color w:val="auto"/>
                <w:lang w:val="en-US" w:eastAsia="zh-CN"/>
              </w:rPr>
              <w:t>3220</w:t>
            </w:r>
          </w:p>
        </w:tc>
        <w:tc>
          <w:tcPr>
            <w:tcW w:w="729" w:type="pct"/>
            <w:gridSpan w:val="2"/>
            <w:vAlign w:val="center"/>
          </w:tcPr>
          <w:p w14:paraId="432FE25E">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62F14DF">
            <w:pPr>
              <w:pStyle w:val="101"/>
              <w:jc w:val="center"/>
              <w:rPr>
                <w:rFonts w:hint="eastAsia" w:eastAsia="宋体"/>
                <w:color w:val="auto"/>
              </w:rPr>
            </w:pPr>
            <w:r>
              <w:rPr>
                <w:rFonts w:hint="eastAsia" w:eastAsia="宋体"/>
                <w:color w:val="auto"/>
                <w:lang w:val="en-US" w:eastAsia="zh-CN"/>
              </w:rPr>
              <w:t>20</w:t>
            </w:r>
          </w:p>
        </w:tc>
      </w:tr>
      <w:tr w14:paraId="71E67E1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83F485F">
            <w:pPr>
              <w:pStyle w:val="101"/>
              <w:jc w:val="center"/>
              <w:rPr>
                <w:color w:val="auto"/>
              </w:rPr>
            </w:pPr>
          </w:p>
        </w:tc>
        <w:tc>
          <w:tcPr>
            <w:tcW w:w="390" w:type="pct"/>
            <w:vAlign w:val="center"/>
          </w:tcPr>
          <w:p w14:paraId="712DF812">
            <w:pPr>
              <w:pStyle w:val="101"/>
              <w:jc w:val="center"/>
              <w:rPr>
                <w:rFonts w:hint="eastAsia" w:eastAsia="宋体"/>
                <w:color w:val="auto"/>
              </w:rPr>
            </w:pPr>
            <w:r>
              <w:rPr>
                <w:rFonts w:hint="eastAsia" w:eastAsia="宋体"/>
                <w:color w:val="auto"/>
                <w:lang w:val="en-US" w:eastAsia="zh-CN"/>
              </w:rPr>
              <w:t>105</w:t>
            </w:r>
          </w:p>
        </w:tc>
        <w:tc>
          <w:tcPr>
            <w:tcW w:w="1713" w:type="pct"/>
            <w:vAlign w:val="center"/>
          </w:tcPr>
          <w:p w14:paraId="1FA55EF9">
            <w:pPr>
              <w:pStyle w:val="101"/>
              <w:jc w:val="center"/>
              <w:rPr>
                <w:rFonts w:hint="eastAsia" w:eastAsia="宋体"/>
                <w:color w:val="auto"/>
              </w:rPr>
            </w:pPr>
            <w:r>
              <w:rPr>
                <w:rFonts w:hint="eastAsia" w:eastAsia="宋体"/>
                <w:color w:val="auto"/>
                <w:lang w:val="en-US" w:eastAsia="zh-CN"/>
              </w:rPr>
              <w:t>解放路派出所</w:t>
            </w:r>
          </w:p>
        </w:tc>
        <w:tc>
          <w:tcPr>
            <w:tcW w:w="1115" w:type="dxa"/>
            <w:gridSpan w:val="2"/>
            <w:vAlign w:val="bottom"/>
          </w:tcPr>
          <w:p w14:paraId="64236EA9">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2FD0E62B">
            <w:pPr>
              <w:pStyle w:val="101"/>
              <w:jc w:val="center"/>
              <w:rPr>
                <w:rFonts w:hint="eastAsia" w:eastAsia="宋体"/>
                <w:color w:val="auto"/>
              </w:rPr>
            </w:pPr>
            <w:r>
              <w:rPr>
                <w:rFonts w:hint="eastAsia" w:eastAsia="宋体"/>
                <w:color w:val="auto"/>
                <w:lang w:val="en-US" w:eastAsia="zh-CN"/>
              </w:rPr>
              <w:t>3275</w:t>
            </w:r>
          </w:p>
        </w:tc>
        <w:tc>
          <w:tcPr>
            <w:tcW w:w="729" w:type="pct"/>
            <w:gridSpan w:val="2"/>
            <w:vAlign w:val="center"/>
          </w:tcPr>
          <w:p w14:paraId="627C0371">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1913BF8">
            <w:pPr>
              <w:pStyle w:val="101"/>
              <w:jc w:val="center"/>
              <w:rPr>
                <w:rFonts w:hint="eastAsia" w:eastAsia="宋体"/>
                <w:color w:val="auto"/>
              </w:rPr>
            </w:pPr>
            <w:r>
              <w:rPr>
                <w:rFonts w:hint="eastAsia" w:eastAsia="宋体"/>
                <w:color w:val="auto"/>
                <w:lang w:val="en-US" w:eastAsia="zh-CN"/>
              </w:rPr>
              <w:t>20</w:t>
            </w:r>
          </w:p>
        </w:tc>
      </w:tr>
      <w:tr w14:paraId="047CCEA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46D3781">
            <w:pPr>
              <w:pStyle w:val="101"/>
              <w:jc w:val="center"/>
              <w:rPr>
                <w:color w:val="auto"/>
              </w:rPr>
            </w:pPr>
          </w:p>
        </w:tc>
        <w:tc>
          <w:tcPr>
            <w:tcW w:w="390" w:type="pct"/>
            <w:vAlign w:val="center"/>
          </w:tcPr>
          <w:p w14:paraId="173B0E73">
            <w:pPr>
              <w:pStyle w:val="101"/>
              <w:jc w:val="center"/>
              <w:rPr>
                <w:rFonts w:hint="eastAsia" w:eastAsia="宋体"/>
                <w:color w:val="auto"/>
              </w:rPr>
            </w:pPr>
            <w:r>
              <w:rPr>
                <w:rFonts w:hint="eastAsia" w:eastAsia="宋体"/>
                <w:color w:val="auto"/>
                <w:lang w:val="en-US" w:eastAsia="zh-CN"/>
              </w:rPr>
              <w:t>106</w:t>
            </w:r>
          </w:p>
        </w:tc>
        <w:tc>
          <w:tcPr>
            <w:tcW w:w="1713" w:type="pct"/>
            <w:vAlign w:val="center"/>
          </w:tcPr>
          <w:p w14:paraId="4A95D071">
            <w:pPr>
              <w:pStyle w:val="101"/>
              <w:jc w:val="center"/>
              <w:rPr>
                <w:rFonts w:hint="eastAsia" w:eastAsia="宋体"/>
                <w:color w:val="auto"/>
              </w:rPr>
            </w:pPr>
            <w:r>
              <w:rPr>
                <w:rFonts w:hint="eastAsia" w:eastAsia="宋体"/>
                <w:color w:val="auto"/>
                <w:lang w:val="en-US" w:eastAsia="zh-CN"/>
              </w:rPr>
              <w:t>鹤岗市东方红小学</w:t>
            </w:r>
          </w:p>
        </w:tc>
        <w:tc>
          <w:tcPr>
            <w:tcW w:w="1115" w:type="dxa"/>
            <w:gridSpan w:val="2"/>
            <w:vAlign w:val="bottom"/>
          </w:tcPr>
          <w:p w14:paraId="35B1F577">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4D245C8">
            <w:pPr>
              <w:pStyle w:val="101"/>
              <w:jc w:val="center"/>
              <w:rPr>
                <w:rFonts w:hint="eastAsia" w:eastAsia="宋体"/>
                <w:color w:val="auto"/>
              </w:rPr>
            </w:pPr>
            <w:r>
              <w:rPr>
                <w:rFonts w:hint="eastAsia" w:eastAsia="宋体"/>
                <w:color w:val="auto"/>
                <w:lang w:val="en-US" w:eastAsia="zh-CN"/>
              </w:rPr>
              <w:t>3300</w:t>
            </w:r>
          </w:p>
        </w:tc>
        <w:tc>
          <w:tcPr>
            <w:tcW w:w="729" w:type="pct"/>
            <w:gridSpan w:val="2"/>
            <w:vAlign w:val="center"/>
          </w:tcPr>
          <w:p w14:paraId="4B838E7D">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35A1F015">
            <w:pPr>
              <w:pStyle w:val="101"/>
              <w:jc w:val="center"/>
              <w:rPr>
                <w:rFonts w:hint="eastAsia" w:eastAsia="宋体"/>
                <w:color w:val="auto"/>
              </w:rPr>
            </w:pPr>
            <w:r>
              <w:rPr>
                <w:rFonts w:hint="eastAsia" w:eastAsia="宋体"/>
                <w:color w:val="auto"/>
                <w:lang w:val="en-US" w:eastAsia="zh-CN"/>
              </w:rPr>
              <w:t>180</w:t>
            </w:r>
          </w:p>
        </w:tc>
      </w:tr>
      <w:tr w14:paraId="4C3A52F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707B96A">
            <w:pPr>
              <w:pStyle w:val="101"/>
              <w:jc w:val="center"/>
              <w:rPr>
                <w:color w:val="auto"/>
              </w:rPr>
            </w:pPr>
          </w:p>
        </w:tc>
        <w:tc>
          <w:tcPr>
            <w:tcW w:w="390" w:type="pct"/>
            <w:vAlign w:val="center"/>
          </w:tcPr>
          <w:p w14:paraId="53DC013F">
            <w:pPr>
              <w:pStyle w:val="101"/>
              <w:jc w:val="center"/>
              <w:rPr>
                <w:rFonts w:hint="eastAsia" w:eastAsia="宋体"/>
                <w:color w:val="auto"/>
              </w:rPr>
            </w:pPr>
            <w:r>
              <w:rPr>
                <w:rFonts w:hint="eastAsia" w:eastAsia="宋体"/>
                <w:color w:val="auto"/>
                <w:lang w:val="en-US" w:eastAsia="zh-CN"/>
              </w:rPr>
              <w:t>107</w:t>
            </w:r>
          </w:p>
        </w:tc>
        <w:tc>
          <w:tcPr>
            <w:tcW w:w="1713" w:type="pct"/>
            <w:vAlign w:val="center"/>
          </w:tcPr>
          <w:p w14:paraId="6ADDF8E9">
            <w:pPr>
              <w:pStyle w:val="101"/>
              <w:jc w:val="center"/>
              <w:rPr>
                <w:rFonts w:hint="eastAsia" w:eastAsia="宋体"/>
                <w:color w:val="auto"/>
              </w:rPr>
            </w:pPr>
            <w:r>
              <w:rPr>
                <w:rFonts w:hint="eastAsia" w:eastAsia="宋体"/>
                <w:color w:val="auto"/>
                <w:lang w:val="en-US" w:eastAsia="zh-CN"/>
              </w:rPr>
              <w:t>鹤岗市财政局</w:t>
            </w:r>
          </w:p>
        </w:tc>
        <w:tc>
          <w:tcPr>
            <w:tcW w:w="1115" w:type="dxa"/>
            <w:gridSpan w:val="2"/>
            <w:vAlign w:val="bottom"/>
          </w:tcPr>
          <w:p w14:paraId="2D1E6416">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7405D410">
            <w:pPr>
              <w:pStyle w:val="101"/>
              <w:jc w:val="center"/>
              <w:rPr>
                <w:rFonts w:hint="eastAsia" w:eastAsia="宋体"/>
                <w:color w:val="auto"/>
              </w:rPr>
            </w:pPr>
            <w:r>
              <w:rPr>
                <w:rFonts w:hint="eastAsia" w:eastAsia="宋体"/>
                <w:color w:val="auto"/>
                <w:lang w:val="en-US" w:eastAsia="zh-CN"/>
              </w:rPr>
              <w:t>3375</w:t>
            </w:r>
          </w:p>
        </w:tc>
        <w:tc>
          <w:tcPr>
            <w:tcW w:w="729" w:type="pct"/>
            <w:gridSpan w:val="2"/>
            <w:vAlign w:val="center"/>
          </w:tcPr>
          <w:p w14:paraId="73561521">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F9D2294">
            <w:pPr>
              <w:pStyle w:val="101"/>
              <w:jc w:val="center"/>
              <w:rPr>
                <w:rFonts w:hint="eastAsia" w:eastAsia="宋体"/>
                <w:color w:val="auto"/>
              </w:rPr>
            </w:pPr>
            <w:r>
              <w:rPr>
                <w:rFonts w:hint="eastAsia" w:eastAsia="宋体"/>
                <w:color w:val="auto"/>
                <w:lang w:val="en-US" w:eastAsia="zh-CN"/>
              </w:rPr>
              <w:t>80</w:t>
            </w:r>
          </w:p>
        </w:tc>
      </w:tr>
      <w:tr w14:paraId="5C4301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5EEA8A0">
            <w:pPr>
              <w:pStyle w:val="101"/>
              <w:jc w:val="center"/>
              <w:rPr>
                <w:color w:val="auto"/>
              </w:rPr>
            </w:pPr>
          </w:p>
        </w:tc>
        <w:tc>
          <w:tcPr>
            <w:tcW w:w="390" w:type="pct"/>
            <w:vAlign w:val="center"/>
          </w:tcPr>
          <w:p w14:paraId="23882994">
            <w:pPr>
              <w:pStyle w:val="101"/>
              <w:jc w:val="center"/>
              <w:rPr>
                <w:rFonts w:hint="eastAsia" w:eastAsia="宋体"/>
                <w:color w:val="auto"/>
              </w:rPr>
            </w:pPr>
            <w:r>
              <w:rPr>
                <w:rFonts w:hint="eastAsia" w:eastAsia="宋体"/>
                <w:color w:val="auto"/>
                <w:lang w:val="en-US" w:eastAsia="zh-CN"/>
              </w:rPr>
              <w:t>108</w:t>
            </w:r>
          </w:p>
        </w:tc>
        <w:tc>
          <w:tcPr>
            <w:tcW w:w="1713" w:type="pct"/>
            <w:vAlign w:val="center"/>
          </w:tcPr>
          <w:p w14:paraId="64DF9A17">
            <w:pPr>
              <w:pStyle w:val="101"/>
              <w:jc w:val="center"/>
              <w:rPr>
                <w:rFonts w:hint="eastAsia" w:eastAsia="宋体"/>
                <w:color w:val="auto"/>
              </w:rPr>
            </w:pPr>
            <w:r>
              <w:rPr>
                <w:rFonts w:hint="eastAsia" w:eastAsia="宋体"/>
                <w:color w:val="auto"/>
                <w:lang w:val="en-US" w:eastAsia="zh-CN"/>
              </w:rPr>
              <w:t>鹤岗市工农区妇幼保健院</w:t>
            </w:r>
          </w:p>
        </w:tc>
        <w:tc>
          <w:tcPr>
            <w:tcW w:w="1115" w:type="dxa"/>
            <w:gridSpan w:val="2"/>
            <w:vAlign w:val="bottom"/>
          </w:tcPr>
          <w:p w14:paraId="07D70312">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17C09CBC">
            <w:pPr>
              <w:pStyle w:val="101"/>
              <w:jc w:val="center"/>
              <w:rPr>
                <w:rFonts w:hint="eastAsia" w:eastAsia="宋体"/>
                <w:color w:val="auto"/>
              </w:rPr>
            </w:pPr>
            <w:r>
              <w:rPr>
                <w:rFonts w:hint="eastAsia" w:eastAsia="宋体"/>
                <w:color w:val="auto"/>
                <w:lang w:val="en-US" w:eastAsia="zh-CN"/>
              </w:rPr>
              <w:t>3420</w:t>
            </w:r>
          </w:p>
        </w:tc>
        <w:tc>
          <w:tcPr>
            <w:tcW w:w="729" w:type="pct"/>
            <w:gridSpan w:val="2"/>
            <w:vAlign w:val="center"/>
          </w:tcPr>
          <w:p w14:paraId="53537063">
            <w:pPr>
              <w:pStyle w:val="101"/>
              <w:jc w:val="center"/>
              <w:rPr>
                <w:rFonts w:hint="eastAsia" w:eastAsia="宋体"/>
                <w:color w:val="auto"/>
              </w:rPr>
            </w:pPr>
            <w:r>
              <w:rPr>
                <w:rFonts w:hint="eastAsia" w:eastAsia="宋体"/>
                <w:color w:val="auto"/>
                <w:lang w:val="en-US" w:eastAsia="zh-CN"/>
              </w:rPr>
              <w:t>医院</w:t>
            </w:r>
          </w:p>
        </w:tc>
        <w:tc>
          <w:tcPr>
            <w:tcW w:w="591" w:type="pct"/>
            <w:vAlign w:val="center"/>
          </w:tcPr>
          <w:p w14:paraId="49E86499">
            <w:pPr>
              <w:pStyle w:val="101"/>
              <w:jc w:val="center"/>
              <w:rPr>
                <w:rFonts w:hint="eastAsia" w:eastAsia="宋体"/>
                <w:color w:val="auto"/>
              </w:rPr>
            </w:pPr>
            <w:r>
              <w:rPr>
                <w:rFonts w:hint="eastAsia" w:eastAsia="宋体"/>
                <w:color w:val="auto"/>
                <w:lang w:val="en-US" w:eastAsia="zh-CN"/>
              </w:rPr>
              <w:t>90</w:t>
            </w:r>
          </w:p>
        </w:tc>
      </w:tr>
      <w:tr w14:paraId="2287E6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3427B0E">
            <w:pPr>
              <w:pStyle w:val="101"/>
              <w:jc w:val="center"/>
              <w:rPr>
                <w:color w:val="auto"/>
              </w:rPr>
            </w:pPr>
          </w:p>
        </w:tc>
        <w:tc>
          <w:tcPr>
            <w:tcW w:w="390" w:type="pct"/>
            <w:vAlign w:val="center"/>
          </w:tcPr>
          <w:p w14:paraId="2DE81B5B">
            <w:pPr>
              <w:pStyle w:val="101"/>
              <w:jc w:val="center"/>
              <w:rPr>
                <w:rFonts w:hint="eastAsia" w:eastAsia="宋体"/>
                <w:color w:val="auto"/>
              </w:rPr>
            </w:pPr>
            <w:r>
              <w:rPr>
                <w:rFonts w:hint="eastAsia" w:eastAsia="宋体"/>
                <w:color w:val="auto"/>
                <w:lang w:val="en-US" w:eastAsia="zh-CN"/>
              </w:rPr>
              <w:t>109</w:t>
            </w:r>
          </w:p>
        </w:tc>
        <w:tc>
          <w:tcPr>
            <w:tcW w:w="1713" w:type="pct"/>
            <w:vAlign w:val="center"/>
          </w:tcPr>
          <w:p w14:paraId="432B248F">
            <w:pPr>
              <w:pStyle w:val="101"/>
              <w:jc w:val="center"/>
              <w:rPr>
                <w:rFonts w:hint="eastAsia" w:eastAsia="宋体"/>
                <w:color w:val="auto"/>
              </w:rPr>
            </w:pPr>
            <w:r>
              <w:rPr>
                <w:rFonts w:hint="eastAsia" w:eastAsia="宋体"/>
                <w:color w:val="auto"/>
                <w:lang w:val="en-US" w:eastAsia="zh-CN"/>
              </w:rPr>
              <w:t>蔬园乡派出所</w:t>
            </w:r>
          </w:p>
        </w:tc>
        <w:tc>
          <w:tcPr>
            <w:tcW w:w="1115" w:type="dxa"/>
            <w:gridSpan w:val="2"/>
            <w:vAlign w:val="bottom"/>
          </w:tcPr>
          <w:p w14:paraId="548E2F4B">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ACB3102">
            <w:pPr>
              <w:pStyle w:val="101"/>
              <w:jc w:val="center"/>
              <w:rPr>
                <w:rFonts w:hint="eastAsia" w:eastAsia="宋体"/>
                <w:color w:val="auto"/>
              </w:rPr>
            </w:pPr>
            <w:r>
              <w:rPr>
                <w:rFonts w:hint="eastAsia" w:eastAsia="宋体"/>
                <w:color w:val="auto"/>
                <w:lang w:val="en-US" w:eastAsia="zh-CN"/>
              </w:rPr>
              <w:t>3845</w:t>
            </w:r>
          </w:p>
        </w:tc>
        <w:tc>
          <w:tcPr>
            <w:tcW w:w="729" w:type="pct"/>
            <w:gridSpan w:val="2"/>
            <w:vAlign w:val="center"/>
          </w:tcPr>
          <w:p w14:paraId="70156BBB">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2D9ED11">
            <w:pPr>
              <w:pStyle w:val="101"/>
              <w:jc w:val="center"/>
              <w:rPr>
                <w:rFonts w:hint="eastAsia" w:eastAsia="宋体"/>
                <w:color w:val="auto"/>
              </w:rPr>
            </w:pPr>
            <w:r>
              <w:rPr>
                <w:rFonts w:hint="eastAsia" w:eastAsia="宋体"/>
                <w:color w:val="auto"/>
                <w:lang w:val="en-US" w:eastAsia="zh-CN"/>
              </w:rPr>
              <w:t>20</w:t>
            </w:r>
          </w:p>
        </w:tc>
      </w:tr>
      <w:tr w14:paraId="1EF4E8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DAE145D">
            <w:pPr>
              <w:pStyle w:val="101"/>
              <w:jc w:val="center"/>
              <w:rPr>
                <w:color w:val="auto"/>
              </w:rPr>
            </w:pPr>
          </w:p>
        </w:tc>
        <w:tc>
          <w:tcPr>
            <w:tcW w:w="390" w:type="pct"/>
            <w:vAlign w:val="center"/>
          </w:tcPr>
          <w:p w14:paraId="76CBF259">
            <w:pPr>
              <w:pStyle w:val="101"/>
              <w:jc w:val="center"/>
              <w:rPr>
                <w:rFonts w:hint="eastAsia" w:eastAsia="宋体"/>
                <w:color w:val="auto"/>
              </w:rPr>
            </w:pPr>
            <w:r>
              <w:rPr>
                <w:rFonts w:hint="eastAsia" w:eastAsia="宋体"/>
                <w:color w:val="auto"/>
                <w:lang w:val="en-US" w:eastAsia="zh-CN"/>
              </w:rPr>
              <w:t>110</w:t>
            </w:r>
          </w:p>
        </w:tc>
        <w:tc>
          <w:tcPr>
            <w:tcW w:w="1713" w:type="pct"/>
            <w:vAlign w:val="center"/>
          </w:tcPr>
          <w:p w14:paraId="1C7161A6">
            <w:pPr>
              <w:pStyle w:val="101"/>
              <w:jc w:val="center"/>
              <w:rPr>
                <w:rFonts w:hint="eastAsia" w:eastAsia="宋体"/>
                <w:color w:val="auto"/>
              </w:rPr>
            </w:pPr>
            <w:r>
              <w:rPr>
                <w:rFonts w:hint="eastAsia" w:eastAsia="宋体"/>
                <w:color w:val="auto"/>
                <w:lang w:val="en-US" w:eastAsia="zh-CN"/>
              </w:rPr>
              <w:t>鹤岗市公安局东山公安分局</w:t>
            </w:r>
          </w:p>
        </w:tc>
        <w:tc>
          <w:tcPr>
            <w:tcW w:w="1115" w:type="dxa"/>
            <w:gridSpan w:val="2"/>
            <w:vAlign w:val="bottom"/>
          </w:tcPr>
          <w:p w14:paraId="29FA2362">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1D193AAD">
            <w:pPr>
              <w:pStyle w:val="101"/>
              <w:jc w:val="center"/>
              <w:rPr>
                <w:rFonts w:hint="eastAsia" w:eastAsia="宋体"/>
                <w:color w:val="auto"/>
              </w:rPr>
            </w:pPr>
            <w:r>
              <w:rPr>
                <w:rFonts w:hint="eastAsia" w:eastAsia="宋体"/>
                <w:color w:val="auto"/>
                <w:lang w:val="en-US" w:eastAsia="zh-CN"/>
              </w:rPr>
              <w:t>4185</w:t>
            </w:r>
          </w:p>
        </w:tc>
        <w:tc>
          <w:tcPr>
            <w:tcW w:w="729" w:type="pct"/>
            <w:gridSpan w:val="2"/>
            <w:vAlign w:val="center"/>
          </w:tcPr>
          <w:p w14:paraId="432F7D8E">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12A58CF">
            <w:pPr>
              <w:pStyle w:val="101"/>
              <w:jc w:val="center"/>
              <w:rPr>
                <w:rFonts w:hint="eastAsia" w:eastAsia="宋体"/>
                <w:color w:val="auto"/>
              </w:rPr>
            </w:pPr>
            <w:r>
              <w:rPr>
                <w:rFonts w:hint="eastAsia" w:eastAsia="宋体"/>
                <w:color w:val="auto"/>
                <w:lang w:val="en-US" w:eastAsia="zh-CN"/>
              </w:rPr>
              <w:t>20</w:t>
            </w:r>
          </w:p>
        </w:tc>
      </w:tr>
      <w:tr w14:paraId="710858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9C4693C">
            <w:pPr>
              <w:pStyle w:val="101"/>
              <w:jc w:val="center"/>
              <w:rPr>
                <w:color w:val="auto"/>
              </w:rPr>
            </w:pPr>
          </w:p>
        </w:tc>
        <w:tc>
          <w:tcPr>
            <w:tcW w:w="390" w:type="pct"/>
            <w:vAlign w:val="center"/>
          </w:tcPr>
          <w:p w14:paraId="4BA0ABAD">
            <w:pPr>
              <w:pStyle w:val="101"/>
              <w:jc w:val="center"/>
              <w:rPr>
                <w:rFonts w:hint="eastAsia" w:eastAsia="宋体"/>
                <w:color w:val="auto"/>
              </w:rPr>
            </w:pPr>
            <w:r>
              <w:rPr>
                <w:rFonts w:hint="eastAsia" w:eastAsia="宋体"/>
                <w:color w:val="auto"/>
                <w:lang w:val="en-US" w:eastAsia="zh-CN"/>
              </w:rPr>
              <w:t>111</w:t>
            </w:r>
          </w:p>
        </w:tc>
        <w:tc>
          <w:tcPr>
            <w:tcW w:w="1713" w:type="pct"/>
            <w:vAlign w:val="center"/>
          </w:tcPr>
          <w:p w14:paraId="0F948A82">
            <w:pPr>
              <w:pStyle w:val="101"/>
              <w:jc w:val="center"/>
              <w:rPr>
                <w:rFonts w:hint="eastAsia" w:eastAsia="宋体"/>
                <w:color w:val="auto"/>
              </w:rPr>
            </w:pPr>
            <w:r>
              <w:rPr>
                <w:rFonts w:hint="eastAsia" w:eastAsia="宋体"/>
                <w:color w:val="auto"/>
                <w:lang w:val="en-US" w:eastAsia="zh-CN"/>
              </w:rPr>
              <w:t>鹤岗第七中学</w:t>
            </w:r>
          </w:p>
        </w:tc>
        <w:tc>
          <w:tcPr>
            <w:tcW w:w="1115" w:type="dxa"/>
            <w:gridSpan w:val="2"/>
            <w:vAlign w:val="bottom"/>
          </w:tcPr>
          <w:p w14:paraId="120FEDB4">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东北</w:t>
            </w:r>
          </w:p>
        </w:tc>
        <w:tc>
          <w:tcPr>
            <w:tcW w:w="592" w:type="pct"/>
            <w:vAlign w:val="center"/>
          </w:tcPr>
          <w:p w14:paraId="2C06C057">
            <w:pPr>
              <w:pStyle w:val="101"/>
              <w:jc w:val="center"/>
              <w:rPr>
                <w:rFonts w:hint="eastAsia" w:eastAsia="宋体"/>
                <w:color w:val="auto"/>
              </w:rPr>
            </w:pPr>
            <w:r>
              <w:rPr>
                <w:rFonts w:hint="eastAsia" w:eastAsia="宋体"/>
                <w:color w:val="auto"/>
                <w:lang w:val="en-US" w:eastAsia="zh-CN"/>
              </w:rPr>
              <w:t>4230</w:t>
            </w:r>
          </w:p>
        </w:tc>
        <w:tc>
          <w:tcPr>
            <w:tcW w:w="729" w:type="pct"/>
            <w:gridSpan w:val="2"/>
            <w:vAlign w:val="center"/>
          </w:tcPr>
          <w:p w14:paraId="4639F77D">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00C997E9">
            <w:pPr>
              <w:pStyle w:val="101"/>
              <w:jc w:val="center"/>
              <w:rPr>
                <w:rFonts w:hint="eastAsia" w:eastAsia="宋体"/>
                <w:color w:val="auto"/>
              </w:rPr>
            </w:pPr>
            <w:r>
              <w:rPr>
                <w:rFonts w:hint="eastAsia" w:eastAsia="宋体"/>
                <w:color w:val="auto"/>
                <w:lang w:val="en-US" w:eastAsia="zh-CN"/>
              </w:rPr>
              <w:t>500</w:t>
            </w:r>
          </w:p>
        </w:tc>
      </w:tr>
      <w:tr w14:paraId="070AFB4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0DBAB5A">
            <w:pPr>
              <w:pStyle w:val="101"/>
              <w:jc w:val="center"/>
              <w:rPr>
                <w:color w:val="auto"/>
              </w:rPr>
            </w:pPr>
          </w:p>
        </w:tc>
        <w:tc>
          <w:tcPr>
            <w:tcW w:w="390" w:type="pct"/>
            <w:vAlign w:val="center"/>
          </w:tcPr>
          <w:p w14:paraId="4941284D">
            <w:pPr>
              <w:pStyle w:val="101"/>
              <w:jc w:val="center"/>
              <w:rPr>
                <w:rFonts w:hint="eastAsia" w:eastAsia="宋体"/>
                <w:color w:val="auto"/>
              </w:rPr>
            </w:pPr>
            <w:r>
              <w:rPr>
                <w:rFonts w:hint="eastAsia" w:eastAsia="宋体"/>
                <w:color w:val="auto"/>
                <w:lang w:val="en-US" w:eastAsia="zh-CN"/>
              </w:rPr>
              <w:t>112</w:t>
            </w:r>
          </w:p>
        </w:tc>
        <w:tc>
          <w:tcPr>
            <w:tcW w:w="1713" w:type="pct"/>
            <w:vAlign w:val="center"/>
          </w:tcPr>
          <w:p w14:paraId="6A84585F">
            <w:pPr>
              <w:pStyle w:val="101"/>
              <w:jc w:val="center"/>
              <w:rPr>
                <w:rFonts w:hint="eastAsia" w:eastAsia="宋体"/>
                <w:color w:val="auto"/>
              </w:rPr>
            </w:pPr>
            <w:r>
              <w:rPr>
                <w:rFonts w:hint="eastAsia" w:eastAsia="宋体"/>
                <w:color w:val="auto"/>
                <w:lang w:val="en-US" w:eastAsia="zh-CN"/>
              </w:rPr>
              <w:t>永爱敬老院</w:t>
            </w:r>
          </w:p>
        </w:tc>
        <w:tc>
          <w:tcPr>
            <w:tcW w:w="1115" w:type="dxa"/>
            <w:gridSpan w:val="2"/>
            <w:vAlign w:val="bottom"/>
          </w:tcPr>
          <w:p w14:paraId="17D028C5">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东北</w:t>
            </w:r>
          </w:p>
        </w:tc>
        <w:tc>
          <w:tcPr>
            <w:tcW w:w="592" w:type="pct"/>
            <w:vAlign w:val="center"/>
          </w:tcPr>
          <w:p w14:paraId="41DB6512">
            <w:pPr>
              <w:pStyle w:val="101"/>
              <w:jc w:val="center"/>
              <w:rPr>
                <w:rFonts w:hint="eastAsia" w:eastAsia="宋体"/>
                <w:color w:val="auto"/>
              </w:rPr>
            </w:pPr>
            <w:r>
              <w:rPr>
                <w:rFonts w:hint="eastAsia" w:eastAsia="宋体"/>
                <w:color w:val="auto"/>
                <w:lang w:val="en-US" w:eastAsia="zh-CN"/>
              </w:rPr>
              <w:t>4245</w:t>
            </w:r>
          </w:p>
        </w:tc>
        <w:tc>
          <w:tcPr>
            <w:tcW w:w="729" w:type="pct"/>
            <w:gridSpan w:val="2"/>
            <w:vAlign w:val="center"/>
          </w:tcPr>
          <w:p w14:paraId="7158257D">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40E1343E">
            <w:pPr>
              <w:pStyle w:val="101"/>
              <w:jc w:val="center"/>
              <w:rPr>
                <w:rFonts w:hint="eastAsia" w:eastAsia="宋体"/>
                <w:color w:val="auto"/>
              </w:rPr>
            </w:pPr>
            <w:r>
              <w:rPr>
                <w:rFonts w:hint="eastAsia" w:eastAsia="宋体"/>
                <w:color w:val="auto"/>
                <w:lang w:val="en-US" w:eastAsia="zh-CN"/>
              </w:rPr>
              <w:t>120</w:t>
            </w:r>
          </w:p>
        </w:tc>
      </w:tr>
      <w:tr w14:paraId="6CDDB4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C41D961">
            <w:pPr>
              <w:pStyle w:val="101"/>
              <w:jc w:val="center"/>
              <w:rPr>
                <w:color w:val="auto"/>
              </w:rPr>
            </w:pPr>
          </w:p>
        </w:tc>
        <w:tc>
          <w:tcPr>
            <w:tcW w:w="390" w:type="pct"/>
            <w:vAlign w:val="center"/>
          </w:tcPr>
          <w:p w14:paraId="03B5613F">
            <w:pPr>
              <w:pStyle w:val="101"/>
              <w:jc w:val="center"/>
              <w:rPr>
                <w:rFonts w:hint="eastAsia" w:eastAsia="宋体"/>
                <w:color w:val="auto"/>
              </w:rPr>
            </w:pPr>
            <w:r>
              <w:rPr>
                <w:rFonts w:hint="eastAsia" w:eastAsia="宋体"/>
                <w:color w:val="auto"/>
                <w:lang w:val="en-US" w:eastAsia="zh-CN"/>
              </w:rPr>
              <w:t>113</w:t>
            </w:r>
          </w:p>
        </w:tc>
        <w:tc>
          <w:tcPr>
            <w:tcW w:w="1713" w:type="pct"/>
            <w:vAlign w:val="center"/>
          </w:tcPr>
          <w:p w14:paraId="0CF4F548">
            <w:pPr>
              <w:pStyle w:val="101"/>
              <w:jc w:val="center"/>
              <w:rPr>
                <w:rFonts w:hint="eastAsia" w:eastAsia="宋体"/>
                <w:color w:val="auto"/>
              </w:rPr>
            </w:pPr>
            <w:r>
              <w:rPr>
                <w:rFonts w:hint="eastAsia" w:eastAsia="宋体"/>
                <w:color w:val="auto"/>
                <w:lang w:val="en-US" w:eastAsia="zh-CN"/>
              </w:rPr>
              <w:t>新一派出所</w:t>
            </w:r>
          </w:p>
        </w:tc>
        <w:tc>
          <w:tcPr>
            <w:tcW w:w="1115" w:type="dxa"/>
            <w:gridSpan w:val="2"/>
            <w:vAlign w:val="bottom"/>
          </w:tcPr>
          <w:p w14:paraId="238E4120">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东北</w:t>
            </w:r>
          </w:p>
        </w:tc>
        <w:tc>
          <w:tcPr>
            <w:tcW w:w="592" w:type="pct"/>
            <w:vAlign w:val="center"/>
          </w:tcPr>
          <w:p w14:paraId="12F891B1">
            <w:pPr>
              <w:pStyle w:val="101"/>
              <w:jc w:val="center"/>
              <w:rPr>
                <w:rFonts w:hint="eastAsia" w:eastAsia="宋体"/>
                <w:color w:val="auto"/>
              </w:rPr>
            </w:pPr>
            <w:r>
              <w:rPr>
                <w:rFonts w:hint="eastAsia" w:eastAsia="宋体"/>
                <w:color w:val="auto"/>
                <w:lang w:val="en-US" w:eastAsia="zh-CN"/>
              </w:rPr>
              <w:t>4255</w:t>
            </w:r>
          </w:p>
        </w:tc>
        <w:tc>
          <w:tcPr>
            <w:tcW w:w="729" w:type="pct"/>
            <w:gridSpan w:val="2"/>
            <w:vAlign w:val="center"/>
          </w:tcPr>
          <w:p w14:paraId="19D6913C">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60170D4D">
            <w:pPr>
              <w:pStyle w:val="101"/>
              <w:jc w:val="center"/>
              <w:rPr>
                <w:rFonts w:hint="eastAsia" w:eastAsia="宋体"/>
                <w:color w:val="auto"/>
              </w:rPr>
            </w:pPr>
            <w:r>
              <w:rPr>
                <w:rFonts w:hint="eastAsia" w:eastAsia="宋体"/>
                <w:color w:val="auto"/>
                <w:lang w:val="en-US" w:eastAsia="zh-CN"/>
              </w:rPr>
              <w:t>20</w:t>
            </w:r>
          </w:p>
        </w:tc>
      </w:tr>
      <w:tr w14:paraId="0AA4232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E86EBED">
            <w:pPr>
              <w:pStyle w:val="101"/>
              <w:jc w:val="center"/>
              <w:rPr>
                <w:color w:val="auto"/>
              </w:rPr>
            </w:pPr>
          </w:p>
        </w:tc>
        <w:tc>
          <w:tcPr>
            <w:tcW w:w="390" w:type="pct"/>
            <w:vAlign w:val="center"/>
          </w:tcPr>
          <w:p w14:paraId="4C3E29F8">
            <w:pPr>
              <w:pStyle w:val="101"/>
              <w:jc w:val="center"/>
              <w:rPr>
                <w:rFonts w:hint="eastAsia" w:eastAsia="宋体"/>
                <w:color w:val="auto"/>
              </w:rPr>
            </w:pPr>
            <w:r>
              <w:rPr>
                <w:rFonts w:hint="eastAsia" w:eastAsia="宋体"/>
                <w:color w:val="auto"/>
                <w:lang w:val="en-US" w:eastAsia="zh-CN"/>
              </w:rPr>
              <w:t>114</w:t>
            </w:r>
          </w:p>
        </w:tc>
        <w:tc>
          <w:tcPr>
            <w:tcW w:w="1713" w:type="pct"/>
            <w:vAlign w:val="center"/>
          </w:tcPr>
          <w:p w14:paraId="73A7EC65">
            <w:pPr>
              <w:pStyle w:val="101"/>
              <w:jc w:val="center"/>
              <w:rPr>
                <w:rFonts w:hint="eastAsia" w:eastAsia="宋体"/>
                <w:color w:val="auto"/>
              </w:rPr>
            </w:pPr>
            <w:r>
              <w:rPr>
                <w:rFonts w:hint="eastAsia" w:eastAsia="宋体"/>
                <w:color w:val="auto"/>
                <w:lang w:val="en-US" w:eastAsia="zh-CN"/>
              </w:rPr>
              <w:t>东方红乡派出所</w:t>
            </w:r>
          </w:p>
        </w:tc>
        <w:tc>
          <w:tcPr>
            <w:tcW w:w="1115" w:type="dxa"/>
            <w:gridSpan w:val="2"/>
            <w:vAlign w:val="bottom"/>
          </w:tcPr>
          <w:p w14:paraId="6DCF2E2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东北</w:t>
            </w:r>
          </w:p>
        </w:tc>
        <w:tc>
          <w:tcPr>
            <w:tcW w:w="592" w:type="pct"/>
            <w:vAlign w:val="center"/>
          </w:tcPr>
          <w:p w14:paraId="5984D84F">
            <w:pPr>
              <w:pStyle w:val="101"/>
              <w:jc w:val="center"/>
              <w:rPr>
                <w:rFonts w:hint="eastAsia" w:eastAsia="宋体"/>
                <w:color w:val="auto"/>
              </w:rPr>
            </w:pPr>
            <w:r>
              <w:rPr>
                <w:rFonts w:hint="eastAsia" w:eastAsia="宋体"/>
                <w:color w:val="auto"/>
                <w:lang w:val="en-US" w:eastAsia="zh-CN"/>
              </w:rPr>
              <w:t>4265</w:t>
            </w:r>
          </w:p>
        </w:tc>
        <w:tc>
          <w:tcPr>
            <w:tcW w:w="729" w:type="pct"/>
            <w:gridSpan w:val="2"/>
            <w:vAlign w:val="center"/>
          </w:tcPr>
          <w:p w14:paraId="4DEC563D">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42D6D41">
            <w:pPr>
              <w:pStyle w:val="101"/>
              <w:jc w:val="center"/>
              <w:rPr>
                <w:rFonts w:hint="eastAsia" w:eastAsia="宋体"/>
                <w:color w:val="auto"/>
              </w:rPr>
            </w:pPr>
            <w:r>
              <w:rPr>
                <w:rFonts w:hint="eastAsia" w:eastAsia="宋体"/>
                <w:color w:val="auto"/>
                <w:lang w:val="en-US" w:eastAsia="zh-CN"/>
              </w:rPr>
              <w:t>20</w:t>
            </w:r>
          </w:p>
        </w:tc>
      </w:tr>
      <w:tr w14:paraId="5925E01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4726D18">
            <w:pPr>
              <w:pStyle w:val="101"/>
              <w:jc w:val="center"/>
              <w:rPr>
                <w:color w:val="auto"/>
              </w:rPr>
            </w:pPr>
          </w:p>
        </w:tc>
        <w:tc>
          <w:tcPr>
            <w:tcW w:w="390" w:type="pct"/>
            <w:vAlign w:val="center"/>
          </w:tcPr>
          <w:p w14:paraId="39F0E871">
            <w:pPr>
              <w:pStyle w:val="101"/>
              <w:jc w:val="center"/>
              <w:rPr>
                <w:rFonts w:hint="eastAsia" w:eastAsia="宋体"/>
                <w:color w:val="auto"/>
              </w:rPr>
            </w:pPr>
            <w:r>
              <w:rPr>
                <w:rFonts w:hint="eastAsia" w:eastAsia="宋体"/>
                <w:color w:val="auto"/>
                <w:lang w:val="en-US" w:eastAsia="zh-CN"/>
              </w:rPr>
              <w:t>115</w:t>
            </w:r>
          </w:p>
        </w:tc>
        <w:tc>
          <w:tcPr>
            <w:tcW w:w="1713" w:type="pct"/>
            <w:vAlign w:val="center"/>
          </w:tcPr>
          <w:p w14:paraId="2D023708">
            <w:pPr>
              <w:pStyle w:val="101"/>
              <w:jc w:val="center"/>
              <w:rPr>
                <w:rFonts w:hint="eastAsia" w:eastAsia="宋体"/>
                <w:color w:val="auto"/>
              </w:rPr>
            </w:pPr>
            <w:r>
              <w:rPr>
                <w:rFonts w:hint="eastAsia" w:eastAsia="宋体"/>
                <w:color w:val="auto"/>
                <w:lang w:val="en-US" w:eastAsia="zh-CN"/>
              </w:rPr>
              <w:t>鹤岗市东山区人民政府</w:t>
            </w:r>
          </w:p>
        </w:tc>
        <w:tc>
          <w:tcPr>
            <w:tcW w:w="1115" w:type="dxa"/>
            <w:gridSpan w:val="2"/>
            <w:vAlign w:val="bottom"/>
          </w:tcPr>
          <w:p w14:paraId="59DCD50D">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东北</w:t>
            </w:r>
          </w:p>
        </w:tc>
        <w:tc>
          <w:tcPr>
            <w:tcW w:w="592" w:type="pct"/>
            <w:vAlign w:val="center"/>
          </w:tcPr>
          <w:p w14:paraId="39DE6CA8">
            <w:pPr>
              <w:pStyle w:val="101"/>
              <w:jc w:val="center"/>
              <w:rPr>
                <w:rFonts w:hint="eastAsia" w:eastAsia="宋体"/>
                <w:color w:val="auto"/>
              </w:rPr>
            </w:pPr>
            <w:r>
              <w:rPr>
                <w:rFonts w:hint="eastAsia" w:eastAsia="宋体"/>
                <w:color w:val="auto"/>
                <w:lang w:val="en-US" w:eastAsia="zh-CN"/>
              </w:rPr>
              <w:t>4390</w:t>
            </w:r>
          </w:p>
        </w:tc>
        <w:tc>
          <w:tcPr>
            <w:tcW w:w="729" w:type="pct"/>
            <w:gridSpan w:val="2"/>
            <w:vAlign w:val="center"/>
          </w:tcPr>
          <w:p w14:paraId="55F2BF0D">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22B5FC3B">
            <w:pPr>
              <w:pStyle w:val="101"/>
              <w:jc w:val="center"/>
              <w:rPr>
                <w:rFonts w:hint="eastAsia" w:eastAsia="宋体"/>
                <w:color w:val="auto"/>
              </w:rPr>
            </w:pPr>
            <w:r>
              <w:rPr>
                <w:rFonts w:hint="eastAsia" w:eastAsia="宋体"/>
                <w:color w:val="auto"/>
                <w:lang w:val="en-US" w:eastAsia="zh-CN"/>
              </w:rPr>
              <w:t>100</w:t>
            </w:r>
          </w:p>
        </w:tc>
      </w:tr>
      <w:tr w14:paraId="6BAEAFF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8979A1F">
            <w:pPr>
              <w:pStyle w:val="101"/>
              <w:jc w:val="center"/>
              <w:rPr>
                <w:color w:val="auto"/>
              </w:rPr>
            </w:pPr>
          </w:p>
        </w:tc>
        <w:tc>
          <w:tcPr>
            <w:tcW w:w="390" w:type="pct"/>
            <w:vAlign w:val="center"/>
          </w:tcPr>
          <w:p w14:paraId="68EEA9DA">
            <w:pPr>
              <w:pStyle w:val="101"/>
              <w:jc w:val="center"/>
              <w:rPr>
                <w:rFonts w:hint="eastAsia" w:eastAsia="宋体"/>
                <w:color w:val="auto"/>
              </w:rPr>
            </w:pPr>
            <w:r>
              <w:rPr>
                <w:rFonts w:hint="eastAsia" w:eastAsia="宋体"/>
                <w:color w:val="auto"/>
                <w:lang w:val="en-US" w:eastAsia="zh-CN"/>
              </w:rPr>
              <w:t>116</w:t>
            </w:r>
          </w:p>
        </w:tc>
        <w:tc>
          <w:tcPr>
            <w:tcW w:w="1713" w:type="pct"/>
            <w:vAlign w:val="center"/>
          </w:tcPr>
          <w:p w14:paraId="56F3FF18">
            <w:pPr>
              <w:pStyle w:val="101"/>
              <w:jc w:val="center"/>
              <w:rPr>
                <w:rFonts w:hint="eastAsia" w:eastAsia="宋体"/>
                <w:color w:val="auto"/>
              </w:rPr>
            </w:pPr>
            <w:r>
              <w:rPr>
                <w:rFonts w:hint="eastAsia" w:eastAsia="宋体"/>
                <w:color w:val="auto"/>
                <w:lang w:val="en-US" w:eastAsia="zh-CN"/>
              </w:rPr>
              <w:t>鹤岗市公安局涉案物品管理中心</w:t>
            </w:r>
          </w:p>
        </w:tc>
        <w:tc>
          <w:tcPr>
            <w:tcW w:w="1115" w:type="dxa"/>
            <w:gridSpan w:val="2"/>
            <w:vAlign w:val="bottom"/>
          </w:tcPr>
          <w:p w14:paraId="18626B49">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5D74F3AE">
            <w:pPr>
              <w:pStyle w:val="101"/>
              <w:jc w:val="center"/>
              <w:rPr>
                <w:rFonts w:hint="eastAsia" w:eastAsia="宋体"/>
                <w:color w:val="auto"/>
              </w:rPr>
            </w:pPr>
            <w:r>
              <w:rPr>
                <w:rFonts w:hint="eastAsia" w:eastAsia="宋体"/>
                <w:color w:val="auto"/>
                <w:lang w:val="en-US" w:eastAsia="zh-CN"/>
              </w:rPr>
              <w:t>4560</w:t>
            </w:r>
          </w:p>
        </w:tc>
        <w:tc>
          <w:tcPr>
            <w:tcW w:w="729" w:type="pct"/>
            <w:gridSpan w:val="2"/>
            <w:vAlign w:val="center"/>
          </w:tcPr>
          <w:p w14:paraId="05442EAA">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40BF0358">
            <w:pPr>
              <w:pStyle w:val="101"/>
              <w:jc w:val="center"/>
              <w:rPr>
                <w:rFonts w:hint="eastAsia" w:eastAsia="宋体"/>
                <w:color w:val="auto"/>
              </w:rPr>
            </w:pPr>
            <w:r>
              <w:rPr>
                <w:rFonts w:hint="eastAsia" w:eastAsia="宋体"/>
                <w:color w:val="auto"/>
                <w:lang w:val="en-US" w:eastAsia="zh-CN"/>
              </w:rPr>
              <w:t>23</w:t>
            </w:r>
          </w:p>
        </w:tc>
      </w:tr>
      <w:tr w14:paraId="54C83C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6AD6FCF">
            <w:pPr>
              <w:pStyle w:val="101"/>
              <w:jc w:val="center"/>
              <w:rPr>
                <w:color w:val="auto"/>
              </w:rPr>
            </w:pPr>
          </w:p>
        </w:tc>
        <w:tc>
          <w:tcPr>
            <w:tcW w:w="390" w:type="pct"/>
            <w:vAlign w:val="center"/>
          </w:tcPr>
          <w:p w14:paraId="1CF5DE6B">
            <w:pPr>
              <w:pStyle w:val="101"/>
              <w:jc w:val="center"/>
              <w:rPr>
                <w:rFonts w:hint="eastAsia" w:eastAsia="宋体"/>
                <w:color w:val="auto"/>
              </w:rPr>
            </w:pPr>
            <w:r>
              <w:rPr>
                <w:rFonts w:hint="eastAsia" w:eastAsia="宋体"/>
                <w:color w:val="auto"/>
                <w:lang w:val="en-US" w:eastAsia="zh-CN"/>
              </w:rPr>
              <w:t>117</w:t>
            </w:r>
          </w:p>
        </w:tc>
        <w:tc>
          <w:tcPr>
            <w:tcW w:w="1713" w:type="pct"/>
            <w:vAlign w:val="center"/>
          </w:tcPr>
          <w:p w14:paraId="0A7F6DC0">
            <w:pPr>
              <w:pStyle w:val="101"/>
              <w:jc w:val="center"/>
              <w:rPr>
                <w:rFonts w:hint="eastAsia" w:eastAsia="宋体"/>
                <w:color w:val="auto"/>
              </w:rPr>
            </w:pPr>
            <w:r>
              <w:rPr>
                <w:rFonts w:hint="eastAsia" w:eastAsia="宋体"/>
                <w:color w:val="auto"/>
                <w:lang w:val="en-US" w:eastAsia="zh-CN"/>
              </w:rPr>
              <w:t>东方红乡人民政府</w:t>
            </w:r>
          </w:p>
        </w:tc>
        <w:tc>
          <w:tcPr>
            <w:tcW w:w="1115" w:type="dxa"/>
            <w:gridSpan w:val="2"/>
            <w:vAlign w:val="bottom"/>
          </w:tcPr>
          <w:p w14:paraId="1ADF687C">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东北</w:t>
            </w:r>
          </w:p>
        </w:tc>
        <w:tc>
          <w:tcPr>
            <w:tcW w:w="592" w:type="pct"/>
            <w:vAlign w:val="center"/>
          </w:tcPr>
          <w:p w14:paraId="3C7AB112">
            <w:pPr>
              <w:pStyle w:val="101"/>
              <w:jc w:val="center"/>
              <w:rPr>
                <w:rFonts w:hint="eastAsia" w:eastAsia="宋体"/>
                <w:color w:val="auto"/>
              </w:rPr>
            </w:pPr>
            <w:r>
              <w:rPr>
                <w:rFonts w:hint="eastAsia" w:eastAsia="宋体"/>
                <w:color w:val="auto"/>
                <w:lang w:val="en-US" w:eastAsia="zh-CN"/>
              </w:rPr>
              <w:t>4565</w:t>
            </w:r>
          </w:p>
        </w:tc>
        <w:tc>
          <w:tcPr>
            <w:tcW w:w="729" w:type="pct"/>
            <w:gridSpan w:val="2"/>
            <w:vAlign w:val="center"/>
          </w:tcPr>
          <w:p w14:paraId="10AEB13B">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0D8B6E7">
            <w:pPr>
              <w:pStyle w:val="101"/>
              <w:jc w:val="center"/>
              <w:rPr>
                <w:rFonts w:hint="eastAsia" w:eastAsia="宋体"/>
                <w:color w:val="auto"/>
              </w:rPr>
            </w:pPr>
            <w:r>
              <w:rPr>
                <w:rFonts w:hint="eastAsia" w:eastAsia="宋体"/>
                <w:color w:val="auto"/>
                <w:lang w:val="en-US" w:eastAsia="zh-CN"/>
              </w:rPr>
              <w:t>35</w:t>
            </w:r>
          </w:p>
        </w:tc>
      </w:tr>
      <w:tr w14:paraId="6B49DE9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4D6B16C">
            <w:pPr>
              <w:pStyle w:val="101"/>
              <w:jc w:val="center"/>
              <w:rPr>
                <w:color w:val="auto"/>
              </w:rPr>
            </w:pPr>
          </w:p>
        </w:tc>
        <w:tc>
          <w:tcPr>
            <w:tcW w:w="390" w:type="pct"/>
            <w:vAlign w:val="center"/>
          </w:tcPr>
          <w:p w14:paraId="429BF35F">
            <w:pPr>
              <w:pStyle w:val="101"/>
              <w:jc w:val="center"/>
              <w:rPr>
                <w:rFonts w:hint="eastAsia" w:eastAsia="宋体"/>
                <w:color w:val="auto"/>
              </w:rPr>
            </w:pPr>
            <w:r>
              <w:rPr>
                <w:rFonts w:hint="eastAsia" w:eastAsia="宋体"/>
                <w:color w:val="auto"/>
                <w:lang w:val="en-US" w:eastAsia="zh-CN"/>
              </w:rPr>
              <w:t>118</w:t>
            </w:r>
          </w:p>
        </w:tc>
        <w:tc>
          <w:tcPr>
            <w:tcW w:w="1713" w:type="pct"/>
            <w:vAlign w:val="center"/>
          </w:tcPr>
          <w:p w14:paraId="3EFB2C56">
            <w:pPr>
              <w:pStyle w:val="101"/>
              <w:jc w:val="center"/>
              <w:rPr>
                <w:rFonts w:hint="eastAsia" w:eastAsia="宋体"/>
                <w:color w:val="auto"/>
              </w:rPr>
            </w:pPr>
            <w:r>
              <w:rPr>
                <w:rFonts w:hint="eastAsia" w:eastAsia="宋体"/>
                <w:color w:val="auto"/>
                <w:lang w:val="en-US" w:eastAsia="zh-CN"/>
              </w:rPr>
              <w:t>鹤岗市蔬园小学</w:t>
            </w:r>
          </w:p>
        </w:tc>
        <w:tc>
          <w:tcPr>
            <w:tcW w:w="1115" w:type="dxa"/>
            <w:gridSpan w:val="2"/>
            <w:vAlign w:val="bottom"/>
          </w:tcPr>
          <w:p w14:paraId="4124948E">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594A527">
            <w:pPr>
              <w:pStyle w:val="101"/>
              <w:jc w:val="center"/>
              <w:rPr>
                <w:rFonts w:hint="eastAsia" w:eastAsia="宋体"/>
                <w:color w:val="auto"/>
              </w:rPr>
            </w:pPr>
            <w:r>
              <w:rPr>
                <w:rFonts w:hint="eastAsia" w:eastAsia="宋体"/>
                <w:color w:val="auto"/>
                <w:lang w:val="en-US" w:eastAsia="zh-CN"/>
              </w:rPr>
              <w:t>4685</w:t>
            </w:r>
          </w:p>
        </w:tc>
        <w:tc>
          <w:tcPr>
            <w:tcW w:w="729" w:type="pct"/>
            <w:gridSpan w:val="2"/>
            <w:vAlign w:val="center"/>
          </w:tcPr>
          <w:p w14:paraId="0637DB38">
            <w:pPr>
              <w:pStyle w:val="101"/>
              <w:jc w:val="center"/>
              <w:rPr>
                <w:rFonts w:hint="eastAsia" w:eastAsia="宋体"/>
                <w:color w:val="auto"/>
              </w:rPr>
            </w:pPr>
            <w:r>
              <w:rPr>
                <w:rFonts w:hint="eastAsia" w:eastAsia="宋体"/>
                <w:color w:val="auto"/>
                <w:lang w:val="en-US" w:eastAsia="zh-CN"/>
              </w:rPr>
              <w:t>学校</w:t>
            </w:r>
          </w:p>
        </w:tc>
        <w:tc>
          <w:tcPr>
            <w:tcW w:w="591" w:type="pct"/>
            <w:vAlign w:val="center"/>
          </w:tcPr>
          <w:p w14:paraId="6956D135">
            <w:pPr>
              <w:pStyle w:val="101"/>
              <w:jc w:val="center"/>
              <w:rPr>
                <w:rFonts w:hint="eastAsia" w:eastAsia="宋体"/>
                <w:color w:val="auto"/>
              </w:rPr>
            </w:pPr>
            <w:r>
              <w:rPr>
                <w:rFonts w:hint="eastAsia" w:eastAsia="宋体"/>
                <w:color w:val="auto"/>
                <w:lang w:val="en-US" w:eastAsia="zh-CN"/>
              </w:rPr>
              <w:t>100</w:t>
            </w:r>
          </w:p>
        </w:tc>
      </w:tr>
      <w:tr w14:paraId="3B3BB33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AF15CBD">
            <w:pPr>
              <w:pStyle w:val="101"/>
              <w:jc w:val="center"/>
              <w:rPr>
                <w:color w:val="auto"/>
              </w:rPr>
            </w:pPr>
          </w:p>
        </w:tc>
        <w:tc>
          <w:tcPr>
            <w:tcW w:w="390" w:type="pct"/>
            <w:vAlign w:val="center"/>
          </w:tcPr>
          <w:p w14:paraId="340ED623">
            <w:pPr>
              <w:pStyle w:val="101"/>
              <w:jc w:val="center"/>
              <w:rPr>
                <w:rFonts w:hint="eastAsia" w:eastAsia="宋体"/>
                <w:color w:val="auto"/>
              </w:rPr>
            </w:pPr>
            <w:r>
              <w:rPr>
                <w:rFonts w:hint="eastAsia" w:eastAsia="宋体"/>
                <w:color w:val="auto"/>
                <w:lang w:val="en-US" w:eastAsia="zh-CN"/>
              </w:rPr>
              <w:t>119</w:t>
            </w:r>
          </w:p>
        </w:tc>
        <w:tc>
          <w:tcPr>
            <w:tcW w:w="1713" w:type="pct"/>
            <w:vAlign w:val="center"/>
          </w:tcPr>
          <w:p w14:paraId="3470FA17">
            <w:pPr>
              <w:pStyle w:val="101"/>
              <w:jc w:val="center"/>
              <w:rPr>
                <w:rFonts w:hint="eastAsia" w:eastAsia="宋体"/>
                <w:color w:val="auto"/>
              </w:rPr>
            </w:pPr>
            <w:r>
              <w:rPr>
                <w:rFonts w:hint="eastAsia" w:eastAsia="宋体"/>
                <w:color w:val="auto"/>
                <w:lang w:val="en-US" w:eastAsia="zh-CN"/>
              </w:rPr>
              <w:t>鹤岗市测绘管理处</w:t>
            </w:r>
          </w:p>
        </w:tc>
        <w:tc>
          <w:tcPr>
            <w:tcW w:w="1115" w:type="dxa"/>
            <w:gridSpan w:val="2"/>
            <w:vAlign w:val="bottom"/>
          </w:tcPr>
          <w:p w14:paraId="2842C2DF">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12476A2C">
            <w:pPr>
              <w:pStyle w:val="101"/>
              <w:jc w:val="center"/>
              <w:rPr>
                <w:rFonts w:hint="eastAsia" w:eastAsia="宋体"/>
                <w:color w:val="auto"/>
              </w:rPr>
            </w:pPr>
            <w:r>
              <w:rPr>
                <w:rFonts w:hint="eastAsia" w:eastAsia="宋体"/>
                <w:color w:val="auto"/>
                <w:lang w:val="en-US" w:eastAsia="zh-CN"/>
              </w:rPr>
              <w:t>1290</w:t>
            </w:r>
          </w:p>
        </w:tc>
        <w:tc>
          <w:tcPr>
            <w:tcW w:w="729" w:type="pct"/>
            <w:gridSpan w:val="2"/>
            <w:vAlign w:val="center"/>
          </w:tcPr>
          <w:p w14:paraId="173D11D2">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F461DA6">
            <w:pPr>
              <w:pStyle w:val="101"/>
              <w:jc w:val="center"/>
              <w:rPr>
                <w:rFonts w:hint="eastAsia" w:eastAsia="宋体"/>
                <w:color w:val="auto"/>
              </w:rPr>
            </w:pPr>
            <w:r>
              <w:rPr>
                <w:rFonts w:hint="eastAsia" w:eastAsia="宋体"/>
                <w:color w:val="auto"/>
                <w:lang w:val="en-US" w:eastAsia="zh-CN"/>
              </w:rPr>
              <w:t>70</w:t>
            </w:r>
          </w:p>
        </w:tc>
      </w:tr>
      <w:tr w14:paraId="60487C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F200669">
            <w:pPr>
              <w:pStyle w:val="101"/>
              <w:jc w:val="center"/>
              <w:rPr>
                <w:color w:val="auto"/>
              </w:rPr>
            </w:pPr>
          </w:p>
        </w:tc>
        <w:tc>
          <w:tcPr>
            <w:tcW w:w="390" w:type="pct"/>
            <w:vAlign w:val="center"/>
          </w:tcPr>
          <w:p w14:paraId="37638BC5">
            <w:pPr>
              <w:pStyle w:val="101"/>
              <w:jc w:val="center"/>
              <w:rPr>
                <w:rFonts w:hint="eastAsia" w:eastAsia="宋体"/>
                <w:color w:val="auto"/>
              </w:rPr>
            </w:pPr>
            <w:r>
              <w:rPr>
                <w:rFonts w:hint="eastAsia" w:eastAsia="宋体"/>
                <w:color w:val="auto"/>
                <w:lang w:val="en-US" w:eastAsia="zh-CN"/>
              </w:rPr>
              <w:t>120</w:t>
            </w:r>
          </w:p>
        </w:tc>
        <w:tc>
          <w:tcPr>
            <w:tcW w:w="1713" w:type="pct"/>
            <w:vAlign w:val="center"/>
          </w:tcPr>
          <w:p w14:paraId="40BE9D4A">
            <w:pPr>
              <w:pStyle w:val="101"/>
              <w:jc w:val="center"/>
              <w:rPr>
                <w:rFonts w:hint="eastAsia" w:eastAsia="宋体"/>
                <w:color w:val="auto"/>
              </w:rPr>
            </w:pPr>
            <w:r>
              <w:rPr>
                <w:rFonts w:hint="eastAsia" w:eastAsia="宋体"/>
                <w:color w:val="auto"/>
                <w:lang w:val="en-US" w:eastAsia="zh-CN"/>
              </w:rPr>
              <w:t>中共鹤岗市南山区委员会</w:t>
            </w:r>
          </w:p>
        </w:tc>
        <w:tc>
          <w:tcPr>
            <w:tcW w:w="1115" w:type="dxa"/>
            <w:gridSpan w:val="2"/>
            <w:vAlign w:val="bottom"/>
          </w:tcPr>
          <w:p w14:paraId="364413B6">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F0638CE">
            <w:pPr>
              <w:pStyle w:val="101"/>
              <w:jc w:val="center"/>
              <w:rPr>
                <w:rFonts w:hint="eastAsia" w:eastAsia="宋体"/>
                <w:color w:val="auto"/>
              </w:rPr>
            </w:pPr>
            <w:r>
              <w:rPr>
                <w:rFonts w:hint="eastAsia" w:eastAsia="宋体"/>
                <w:color w:val="auto"/>
                <w:lang w:val="en-US" w:eastAsia="zh-CN"/>
              </w:rPr>
              <w:t>1375</w:t>
            </w:r>
          </w:p>
        </w:tc>
        <w:tc>
          <w:tcPr>
            <w:tcW w:w="729" w:type="pct"/>
            <w:gridSpan w:val="2"/>
            <w:vAlign w:val="center"/>
          </w:tcPr>
          <w:p w14:paraId="453000DE">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23AAFD03">
            <w:pPr>
              <w:pStyle w:val="101"/>
              <w:jc w:val="center"/>
              <w:rPr>
                <w:rFonts w:hint="eastAsia" w:eastAsia="宋体"/>
                <w:color w:val="auto"/>
              </w:rPr>
            </w:pPr>
            <w:r>
              <w:rPr>
                <w:rFonts w:hint="eastAsia" w:eastAsia="宋体"/>
                <w:color w:val="auto"/>
                <w:lang w:val="en-US" w:eastAsia="zh-CN"/>
              </w:rPr>
              <w:t>40</w:t>
            </w:r>
          </w:p>
        </w:tc>
      </w:tr>
      <w:tr w14:paraId="16C9F32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6C27D63">
            <w:pPr>
              <w:pStyle w:val="101"/>
              <w:jc w:val="center"/>
              <w:rPr>
                <w:color w:val="auto"/>
              </w:rPr>
            </w:pPr>
          </w:p>
        </w:tc>
        <w:tc>
          <w:tcPr>
            <w:tcW w:w="390" w:type="pct"/>
            <w:vAlign w:val="center"/>
          </w:tcPr>
          <w:p w14:paraId="4449F2D8">
            <w:pPr>
              <w:pStyle w:val="101"/>
              <w:jc w:val="center"/>
              <w:rPr>
                <w:rFonts w:hint="eastAsia" w:eastAsia="宋体"/>
                <w:color w:val="auto"/>
              </w:rPr>
            </w:pPr>
            <w:r>
              <w:rPr>
                <w:rFonts w:hint="eastAsia" w:eastAsia="宋体"/>
                <w:color w:val="auto"/>
                <w:lang w:val="en-US" w:eastAsia="zh-CN"/>
              </w:rPr>
              <w:t>121</w:t>
            </w:r>
          </w:p>
        </w:tc>
        <w:tc>
          <w:tcPr>
            <w:tcW w:w="1713" w:type="pct"/>
            <w:vAlign w:val="center"/>
          </w:tcPr>
          <w:p w14:paraId="5AA48B7B">
            <w:pPr>
              <w:pStyle w:val="101"/>
              <w:jc w:val="center"/>
              <w:rPr>
                <w:rFonts w:hint="eastAsia" w:eastAsia="宋体"/>
                <w:color w:val="auto"/>
              </w:rPr>
            </w:pPr>
            <w:r>
              <w:rPr>
                <w:rFonts w:hint="eastAsia" w:eastAsia="宋体"/>
                <w:color w:val="auto"/>
                <w:lang w:val="en-US" w:eastAsia="zh-CN"/>
              </w:rPr>
              <w:t>中共鹤岗市委党校成人继续教育招生办</w:t>
            </w:r>
          </w:p>
        </w:tc>
        <w:tc>
          <w:tcPr>
            <w:tcW w:w="1115" w:type="dxa"/>
            <w:gridSpan w:val="2"/>
            <w:vAlign w:val="bottom"/>
          </w:tcPr>
          <w:p w14:paraId="326B7FBB">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C3C020B">
            <w:pPr>
              <w:pStyle w:val="101"/>
              <w:jc w:val="center"/>
              <w:rPr>
                <w:rFonts w:hint="eastAsia" w:eastAsia="宋体"/>
                <w:color w:val="auto"/>
              </w:rPr>
            </w:pPr>
            <w:r>
              <w:rPr>
                <w:rFonts w:hint="eastAsia" w:eastAsia="宋体"/>
                <w:color w:val="auto"/>
                <w:lang w:val="en-US" w:eastAsia="zh-CN"/>
              </w:rPr>
              <w:t>1430</w:t>
            </w:r>
          </w:p>
        </w:tc>
        <w:tc>
          <w:tcPr>
            <w:tcW w:w="729" w:type="pct"/>
            <w:gridSpan w:val="2"/>
            <w:vAlign w:val="center"/>
          </w:tcPr>
          <w:p w14:paraId="1A009695">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5B6E19B">
            <w:pPr>
              <w:pStyle w:val="101"/>
              <w:jc w:val="center"/>
              <w:rPr>
                <w:rFonts w:hint="eastAsia" w:eastAsia="宋体"/>
                <w:color w:val="auto"/>
              </w:rPr>
            </w:pPr>
            <w:r>
              <w:rPr>
                <w:rFonts w:hint="eastAsia" w:eastAsia="宋体"/>
                <w:color w:val="auto"/>
                <w:lang w:val="en-US" w:eastAsia="zh-CN"/>
              </w:rPr>
              <w:t>30</w:t>
            </w:r>
          </w:p>
        </w:tc>
      </w:tr>
      <w:tr w14:paraId="154318C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AB9F63B">
            <w:pPr>
              <w:pStyle w:val="101"/>
              <w:jc w:val="center"/>
              <w:rPr>
                <w:color w:val="auto"/>
              </w:rPr>
            </w:pPr>
          </w:p>
        </w:tc>
        <w:tc>
          <w:tcPr>
            <w:tcW w:w="390" w:type="pct"/>
            <w:vAlign w:val="center"/>
          </w:tcPr>
          <w:p w14:paraId="22033659">
            <w:pPr>
              <w:pStyle w:val="101"/>
              <w:jc w:val="center"/>
              <w:rPr>
                <w:rFonts w:hint="eastAsia" w:eastAsia="宋体"/>
                <w:color w:val="auto"/>
              </w:rPr>
            </w:pPr>
            <w:r>
              <w:rPr>
                <w:rFonts w:hint="eastAsia" w:eastAsia="宋体"/>
                <w:color w:val="auto"/>
                <w:lang w:val="en-US" w:eastAsia="zh-CN"/>
              </w:rPr>
              <w:t>122</w:t>
            </w:r>
          </w:p>
        </w:tc>
        <w:tc>
          <w:tcPr>
            <w:tcW w:w="1713" w:type="pct"/>
            <w:vAlign w:val="center"/>
          </w:tcPr>
          <w:p w14:paraId="233593E8">
            <w:pPr>
              <w:pStyle w:val="101"/>
              <w:jc w:val="center"/>
              <w:rPr>
                <w:rFonts w:hint="eastAsia" w:eastAsia="宋体"/>
                <w:color w:val="auto"/>
              </w:rPr>
            </w:pPr>
            <w:r>
              <w:rPr>
                <w:rFonts w:hint="eastAsia" w:eastAsia="宋体"/>
                <w:color w:val="auto"/>
                <w:lang w:val="en-US" w:eastAsia="zh-CN"/>
              </w:rPr>
              <w:t>鹤岗市创业指导中心</w:t>
            </w:r>
          </w:p>
        </w:tc>
        <w:tc>
          <w:tcPr>
            <w:tcW w:w="1115" w:type="dxa"/>
            <w:gridSpan w:val="2"/>
            <w:vAlign w:val="bottom"/>
          </w:tcPr>
          <w:p w14:paraId="7D9C22B7">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w:t>
            </w:r>
          </w:p>
        </w:tc>
        <w:tc>
          <w:tcPr>
            <w:tcW w:w="592" w:type="pct"/>
            <w:vAlign w:val="center"/>
          </w:tcPr>
          <w:p w14:paraId="15E7260A">
            <w:pPr>
              <w:pStyle w:val="101"/>
              <w:jc w:val="center"/>
              <w:rPr>
                <w:rFonts w:hint="eastAsia" w:eastAsia="宋体"/>
                <w:color w:val="auto"/>
              </w:rPr>
            </w:pPr>
            <w:r>
              <w:rPr>
                <w:rFonts w:hint="eastAsia" w:eastAsia="宋体"/>
                <w:color w:val="auto"/>
                <w:lang w:val="en-US" w:eastAsia="zh-CN"/>
              </w:rPr>
              <w:t>1445</w:t>
            </w:r>
          </w:p>
        </w:tc>
        <w:tc>
          <w:tcPr>
            <w:tcW w:w="729" w:type="pct"/>
            <w:gridSpan w:val="2"/>
            <w:vAlign w:val="center"/>
          </w:tcPr>
          <w:p w14:paraId="63C93107">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6FFA5035">
            <w:pPr>
              <w:pStyle w:val="101"/>
              <w:jc w:val="center"/>
              <w:rPr>
                <w:rFonts w:hint="eastAsia" w:eastAsia="宋体"/>
                <w:color w:val="auto"/>
              </w:rPr>
            </w:pPr>
            <w:r>
              <w:rPr>
                <w:rFonts w:hint="eastAsia" w:eastAsia="宋体"/>
                <w:color w:val="auto"/>
                <w:lang w:val="en-US" w:eastAsia="zh-CN"/>
              </w:rPr>
              <w:t>40</w:t>
            </w:r>
          </w:p>
        </w:tc>
      </w:tr>
      <w:tr w14:paraId="64A4DCD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14C9D29">
            <w:pPr>
              <w:pStyle w:val="101"/>
              <w:jc w:val="center"/>
              <w:rPr>
                <w:color w:val="auto"/>
              </w:rPr>
            </w:pPr>
          </w:p>
        </w:tc>
        <w:tc>
          <w:tcPr>
            <w:tcW w:w="390" w:type="pct"/>
            <w:vAlign w:val="center"/>
          </w:tcPr>
          <w:p w14:paraId="414658B2">
            <w:pPr>
              <w:pStyle w:val="101"/>
              <w:jc w:val="center"/>
              <w:rPr>
                <w:rFonts w:hint="eastAsia" w:eastAsia="宋体"/>
                <w:color w:val="auto"/>
              </w:rPr>
            </w:pPr>
            <w:r>
              <w:rPr>
                <w:rFonts w:hint="eastAsia" w:eastAsia="宋体"/>
                <w:color w:val="auto"/>
                <w:lang w:val="en-US" w:eastAsia="zh-CN"/>
              </w:rPr>
              <w:t>123</w:t>
            </w:r>
          </w:p>
        </w:tc>
        <w:tc>
          <w:tcPr>
            <w:tcW w:w="1713" w:type="pct"/>
            <w:vAlign w:val="center"/>
          </w:tcPr>
          <w:p w14:paraId="4724B981">
            <w:pPr>
              <w:pStyle w:val="101"/>
              <w:jc w:val="center"/>
              <w:rPr>
                <w:rFonts w:hint="eastAsia" w:eastAsia="宋体"/>
                <w:color w:val="auto"/>
              </w:rPr>
            </w:pPr>
            <w:r>
              <w:rPr>
                <w:rFonts w:hint="eastAsia" w:eastAsia="宋体"/>
                <w:color w:val="auto"/>
                <w:lang w:val="en-US" w:eastAsia="zh-CN"/>
              </w:rPr>
              <w:t>鹤岗市度量衡检定所</w:t>
            </w:r>
          </w:p>
        </w:tc>
        <w:tc>
          <w:tcPr>
            <w:tcW w:w="1115" w:type="dxa"/>
            <w:gridSpan w:val="2"/>
            <w:vAlign w:val="bottom"/>
          </w:tcPr>
          <w:p w14:paraId="4E045686">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95DC4F6">
            <w:pPr>
              <w:pStyle w:val="101"/>
              <w:jc w:val="center"/>
              <w:rPr>
                <w:rFonts w:hint="eastAsia" w:eastAsia="宋体"/>
                <w:color w:val="auto"/>
              </w:rPr>
            </w:pPr>
            <w:r>
              <w:rPr>
                <w:rFonts w:hint="eastAsia" w:eastAsia="宋体"/>
                <w:color w:val="auto"/>
                <w:lang w:val="en-US" w:eastAsia="zh-CN"/>
              </w:rPr>
              <w:t>1650</w:t>
            </w:r>
          </w:p>
        </w:tc>
        <w:tc>
          <w:tcPr>
            <w:tcW w:w="729" w:type="pct"/>
            <w:gridSpan w:val="2"/>
            <w:vAlign w:val="center"/>
          </w:tcPr>
          <w:p w14:paraId="53113F17">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366245EA">
            <w:pPr>
              <w:pStyle w:val="101"/>
              <w:jc w:val="center"/>
              <w:rPr>
                <w:rFonts w:hint="eastAsia" w:eastAsia="宋体"/>
                <w:color w:val="auto"/>
              </w:rPr>
            </w:pPr>
            <w:r>
              <w:rPr>
                <w:rFonts w:hint="eastAsia" w:eastAsia="宋体"/>
                <w:color w:val="auto"/>
                <w:lang w:val="en-US" w:eastAsia="zh-CN"/>
              </w:rPr>
              <w:t>80</w:t>
            </w:r>
          </w:p>
        </w:tc>
      </w:tr>
      <w:tr w14:paraId="7B0A2FB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334A610">
            <w:pPr>
              <w:pStyle w:val="101"/>
              <w:jc w:val="center"/>
              <w:rPr>
                <w:color w:val="auto"/>
              </w:rPr>
            </w:pPr>
          </w:p>
        </w:tc>
        <w:tc>
          <w:tcPr>
            <w:tcW w:w="390" w:type="pct"/>
            <w:vAlign w:val="center"/>
          </w:tcPr>
          <w:p w14:paraId="7AAEDDE0">
            <w:pPr>
              <w:pStyle w:val="101"/>
              <w:jc w:val="center"/>
              <w:rPr>
                <w:rFonts w:hint="eastAsia" w:eastAsia="宋体"/>
                <w:color w:val="auto"/>
              </w:rPr>
            </w:pPr>
            <w:r>
              <w:rPr>
                <w:rFonts w:hint="eastAsia" w:eastAsia="宋体"/>
                <w:color w:val="auto"/>
                <w:lang w:val="en-US" w:eastAsia="zh-CN"/>
              </w:rPr>
              <w:t>124</w:t>
            </w:r>
          </w:p>
        </w:tc>
        <w:tc>
          <w:tcPr>
            <w:tcW w:w="1713" w:type="pct"/>
            <w:vAlign w:val="center"/>
          </w:tcPr>
          <w:p w14:paraId="0E085CFB">
            <w:pPr>
              <w:pStyle w:val="101"/>
              <w:jc w:val="center"/>
              <w:rPr>
                <w:rFonts w:hint="eastAsia" w:eastAsia="宋体"/>
                <w:color w:val="auto"/>
              </w:rPr>
            </w:pPr>
            <w:r>
              <w:rPr>
                <w:rFonts w:hint="eastAsia" w:eastAsia="宋体"/>
                <w:color w:val="auto"/>
                <w:lang w:val="en-US" w:eastAsia="zh-CN"/>
              </w:rPr>
              <w:t>鹤岗市企业投诉中心</w:t>
            </w:r>
          </w:p>
        </w:tc>
        <w:tc>
          <w:tcPr>
            <w:tcW w:w="1115" w:type="dxa"/>
            <w:gridSpan w:val="2"/>
            <w:vAlign w:val="bottom"/>
          </w:tcPr>
          <w:p w14:paraId="01F10A09">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451AAF9B">
            <w:pPr>
              <w:pStyle w:val="101"/>
              <w:jc w:val="center"/>
              <w:rPr>
                <w:rFonts w:hint="eastAsia" w:eastAsia="宋体"/>
                <w:color w:val="auto"/>
              </w:rPr>
            </w:pPr>
            <w:r>
              <w:rPr>
                <w:rFonts w:hint="eastAsia" w:eastAsia="宋体"/>
                <w:color w:val="auto"/>
                <w:lang w:val="en-US" w:eastAsia="zh-CN"/>
              </w:rPr>
              <w:t>1670</w:t>
            </w:r>
          </w:p>
        </w:tc>
        <w:tc>
          <w:tcPr>
            <w:tcW w:w="729" w:type="pct"/>
            <w:gridSpan w:val="2"/>
            <w:vAlign w:val="center"/>
          </w:tcPr>
          <w:p w14:paraId="1CC7D571">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44B9560D">
            <w:pPr>
              <w:pStyle w:val="101"/>
              <w:jc w:val="center"/>
              <w:rPr>
                <w:rFonts w:hint="eastAsia" w:eastAsia="宋体"/>
                <w:color w:val="auto"/>
              </w:rPr>
            </w:pPr>
            <w:r>
              <w:rPr>
                <w:rFonts w:hint="eastAsia" w:eastAsia="宋体"/>
                <w:color w:val="auto"/>
                <w:lang w:val="en-US" w:eastAsia="zh-CN"/>
              </w:rPr>
              <w:t>60</w:t>
            </w:r>
          </w:p>
        </w:tc>
      </w:tr>
      <w:tr w14:paraId="08F94D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1BD37AE">
            <w:pPr>
              <w:pStyle w:val="101"/>
              <w:jc w:val="center"/>
              <w:rPr>
                <w:color w:val="auto"/>
              </w:rPr>
            </w:pPr>
          </w:p>
        </w:tc>
        <w:tc>
          <w:tcPr>
            <w:tcW w:w="390" w:type="pct"/>
            <w:vAlign w:val="center"/>
          </w:tcPr>
          <w:p w14:paraId="5EE04617">
            <w:pPr>
              <w:pStyle w:val="101"/>
              <w:jc w:val="center"/>
              <w:rPr>
                <w:rFonts w:hint="eastAsia" w:eastAsia="宋体"/>
                <w:color w:val="auto"/>
              </w:rPr>
            </w:pPr>
            <w:r>
              <w:rPr>
                <w:rFonts w:hint="eastAsia" w:eastAsia="宋体"/>
                <w:color w:val="auto"/>
                <w:lang w:val="en-US" w:eastAsia="zh-CN"/>
              </w:rPr>
              <w:t>125</w:t>
            </w:r>
          </w:p>
        </w:tc>
        <w:tc>
          <w:tcPr>
            <w:tcW w:w="1713" w:type="pct"/>
            <w:vAlign w:val="center"/>
          </w:tcPr>
          <w:p w14:paraId="14BB67D4">
            <w:pPr>
              <w:pStyle w:val="101"/>
              <w:jc w:val="center"/>
              <w:rPr>
                <w:rFonts w:hint="eastAsia" w:eastAsia="宋体"/>
                <w:color w:val="auto"/>
              </w:rPr>
            </w:pPr>
            <w:r>
              <w:rPr>
                <w:rFonts w:hint="eastAsia" w:eastAsia="宋体"/>
                <w:color w:val="auto"/>
                <w:lang w:val="en-US" w:eastAsia="zh-CN"/>
              </w:rPr>
              <w:t>鹤岗市中小企业服务中心</w:t>
            </w:r>
          </w:p>
        </w:tc>
        <w:tc>
          <w:tcPr>
            <w:tcW w:w="1115" w:type="dxa"/>
            <w:gridSpan w:val="2"/>
            <w:vAlign w:val="bottom"/>
          </w:tcPr>
          <w:p w14:paraId="6D6D3A2B">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279AB0A2">
            <w:pPr>
              <w:pStyle w:val="101"/>
              <w:jc w:val="center"/>
              <w:rPr>
                <w:rFonts w:hint="eastAsia" w:eastAsia="宋体"/>
                <w:color w:val="auto"/>
              </w:rPr>
            </w:pPr>
            <w:r>
              <w:rPr>
                <w:rFonts w:hint="eastAsia" w:eastAsia="宋体"/>
                <w:color w:val="auto"/>
                <w:lang w:val="en-US" w:eastAsia="zh-CN"/>
              </w:rPr>
              <w:t>1675</w:t>
            </w:r>
          </w:p>
        </w:tc>
        <w:tc>
          <w:tcPr>
            <w:tcW w:w="729" w:type="pct"/>
            <w:gridSpan w:val="2"/>
            <w:vAlign w:val="center"/>
          </w:tcPr>
          <w:p w14:paraId="6579BBB1">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357EF76">
            <w:pPr>
              <w:pStyle w:val="101"/>
              <w:jc w:val="center"/>
              <w:rPr>
                <w:rFonts w:hint="eastAsia" w:eastAsia="宋体"/>
                <w:color w:val="auto"/>
              </w:rPr>
            </w:pPr>
            <w:r>
              <w:rPr>
                <w:rFonts w:hint="eastAsia" w:eastAsia="宋体"/>
                <w:color w:val="auto"/>
                <w:lang w:val="en-US" w:eastAsia="zh-CN"/>
              </w:rPr>
              <w:t>70</w:t>
            </w:r>
          </w:p>
        </w:tc>
      </w:tr>
      <w:tr w14:paraId="5DA62F8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2FA7AE7">
            <w:pPr>
              <w:pStyle w:val="101"/>
              <w:jc w:val="center"/>
              <w:rPr>
                <w:color w:val="auto"/>
              </w:rPr>
            </w:pPr>
          </w:p>
        </w:tc>
        <w:tc>
          <w:tcPr>
            <w:tcW w:w="390" w:type="pct"/>
            <w:vAlign w:val="center"/>
          </w:tcPr>
          <w:p w14:paraId="5D64A1EB">
            <w:pPr>
              <w:pStyle w:val="101"/>
              <w:jc w:val="center"/>
              <w:rPr>
                <w:rFonts w:hint="eastAsia" w:eastAsia="宋体"/>
                <w:color w:val="auto"/>
              </w:rPr>
            </w:pPr>
            <w:r>
              <w:rPr>
                <w:rFonts w:hint="eastAsia" w:eastAsia="宋体"/>
                <w:color w:val="auto"/>
                <w:lang w:val="en-US" w:eastAsia="zh-CN"/>
              </w:rPr>
              <w:t>126</w:t>
            </w:r>
          </w:p>
        </w:tc>
        <w:tc>
          <w:tcPr>
            <w:tcW w:w="1713" w:type="pct"/>
            <w:vAlign w:val="center"/>
          </w:tcPr>
          <w:p w14:paraId="095CA015">
            <w:pPr>
              <w:pStyle w:val="101"/>
              <w:jc w:val="center"/>
              <w:rPr>
                <w:rFonts w:hint="eastAsia" w:eastAsia="宋体"/>
                <w:color w:val="auto"/>
              </w:rPr>
            </w:pPr>
            <w:r>
              <w:rPr>
                <w:rFonts w:hint="eastAsia" w:eastAsia="宋体"/>
                <w:color w:val="auto"/>
                <w:lang w:val="en-US" w:eastAsia="zh-CN"/>
              </w:rPr>
              <w:t>鹤岗市口岸汽车运输办公室</w:t>
            </w:r>
          </w:p>
        </w:tc>
        <w:tc>
          <w:tcPr>
            <w:tcW w:w="1115" w:type="dxa"/>
            <w:gridSpan w:val="2"/>
            <w:vAlign w:val="bottom"/>
          </w:tcPr>
          <w:p w14:paraId="612DD5AB">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4E3875D6">
            <w:pPr>
              <w:pStyle w:val="101"/>
              <w:jc w:val="center"/>
              <w:rPr>
                <w:rFonts w:hint="eastAsia" w:eastAsia="宋体"/>
                <w:color w:val="auto"/>
              </w:rPr>
            </w:pPr>
            <w:r>
              <w:rPr>
                <w:rFonts w:hint="eastAsia" w:eastAsia="宋体"/>
                <w:color w:val="auto"/>
                <w:lang w:val="en-US" w:eastAsia="zh-CN"/>
              </w:rPr>
              <w:t>1740</w:t>
            </w:r>
          </w:p>
        </w:tc>
        <w:tc>
          <w:tcPr>
            <w:tcW w:w="729" w:type="pct"/>
            <w:gridSpan w:val="2"/>
            <w:vAlign w:val="center"/>
          </w:tcPr>
          <w:p w14:paraId="2F026223">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69CE628A">
            <w:pPr>
              <w:pStyle w:val="101"/>
              <w:jc w:val="center"/>
              <w:rPr>
                <w:rFonts w:hint="eastAsia" w:eastAsia="宋体"/>
                <w:color w:val="auto"/>
              </w:rPr>
            </w:pPr>
            <w:r>
              <w:rPr>
                <w:rFonts w:hint="eastAsia" w:eastAsia="宋体"/>
                <w:color w:val="auto"/>
                <w:lang w:val="en-US" w:eastAsia="zh-CN"/>
              </w:rPr>
              <w:t>50</w:t>
            </w:r>
          </w:p>
        </w:tc>
      </w:tr>
      <w:tr w14:paraId="75A11F5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F59D3DD">
            <w:pPr>
              <w:pStyle w:val="101"/>
              <w:jc w:val="center"/>
              <w:rPr>
                <w:color w:val="auto"/>
              </w:rPr>
            </w:pPr>
          </w:p>
        </w:tc>
        <w:tc>
          <w:tcPr>
            <w:tcW w:w="390" w:type="pct"/>
            <w:vAlign w:val="center"/>
          </w:tcPr>
          <w:p w14:paraId="4F64200B">
            <w:pPr>
              <w:pStyle w:val="101"/>
              <w:jc w:val="center"/>
              <w:rPr>
                <w:rFonts w:hint="eastAsia" w:eastAsia="宋体"/>
                <w:color w:val="auto"/>
              </w:rPr>
            </w:pPr>
            <w:r>
              <w:rPr>
                <w:rFonts w:hint="eastAsia" w:eastAsia="宋体"/>
                <w:color w:val="auto"/>
                <w:lang w:val="en-US" w:eastAsia="zh-CN"/>
              </w:rPr>
              <w:t>127</w:t>
            </w:r>
          </w:p>
        </w:tc>
        <w:tc>
          <w:tcPr>
            <w:tcW w:w="1713" w:type="pct"/>
            <w:vAlign w:val="center"/>
          </w:tcPr>
          <w:p w14:paraId="7AF13332">
            <w:pPr>
              <w:pStyle w:val="101"/>
              <w:jc w:val="center"/>
              <w:rPr>
                <w:rFonts w:hint="eastAsia" w:eastAsia="宋体"/>
                <w:color w:val="auto"/>
              </w:rPr>
            </w:pPr>
            <w:r>
              <w:rPr>
                <w:rFonts w:hint="eastAsia" w:eastAsia="宋体"/>
                <w:color w:val="auto"/>
                <w:lang w:val="en-US" w:eastAsia="zh-CN"/>
              </w:rPr>
              <w:t>鹤岗市道路运输管理处</w:t>
            </w:r>
          </w:p>
        </w:tc>
        <w:tc>
          <w:tcPr>
            <w:tcW w:w="1115" w:type="dxa"/>
            <w:gridSpan w:val="2"/>
            <w:vAlign w:val="bottom"/>
          </w:tcPr>
          <w:p w14:paraId="71714F6C">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西南</w:t>
            </w:r>
          </w:p>
        </w:tc>
        <w:tc>
          <w:tcPr>
            <w:tcW w:w="592" w:type="pct"/>
            <w:vAlign w:val="center"/>
          </w:tcPr>
          <w:p w14:paraId="56BCCE9E">
            <w:pPr>
              <w:pStyle w:val="101"/>
              <w:jc w:val="center"/>
              <w:rPr>
                <w:rFonts w:hint="eastAsia" w:eastAsia="宋体"/>
                <w:color w:val="auto"/>
              </w:rPr>
            </w:pPr>
            <w:r>
              <w:rPr>
                <w:rFonts w:hint="eastAsia" w:eastAsia="宋体"/>
                <w:color w:val="auto"/>
                <w:lang w:val="en-US" w:eastAsia="zh-CN"/>
              </w:rPr>
              <w:t>1745</w:t>
            </w:r>
          </w:p>
        </w:tc>
        <w:tc>
          <w:tcPr>
            <w:tcW w:w="729" w:type="pct"/>
            <w:gridSpan w:val="2"/>
            <w:vAlign w:val="center"/>
          </w:tcPr>
          <w:p w14:paraId="55B78362">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D54FCEC">
            <w:pPr>
              <w:pStyle w:val="101"/>
              <w:jc w:val="center"/>
              <w:rPr>
                <w:rFonts w:hint="eastAsia" w:eastAsia="宋体"/>
                <w:color w:val="auto"/>
              </w:rPr>
            </w:pPr>
            <w:r>
              <w:rPr>
                <w:rFonts w:hint="eastAsia" w:eastAsia="宋体"/>
                <w:color w:val="auto"/>
                <w:lang w:val="en-US" w:eastAsia="zh-CN"/>
              </w:rPr>
              <w:t>60</w:t>
            </w:r>
          </w:p>
        </w:tc>
      </w:tr>
      <w:tr w14:paraId="23DBB382">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61429EC">
            <w:pPr>
              <w:pStyle w:val="101"/>
              <w:jc w:val="center"/>
              <w:rPr>
                <w:color w:val="auto"/>
              </w:rPr>
            </w:pPr>
          </w:p>
        </w:tc>
        <w:tc>
          <w:tcPr>
            <w:tcW w:w="390" w:type="pct"/>
            <w:vAlign w:val="center"/>
          </w:tcPr>
          <w:p w14:paraId="2425D9E8">
            <w:pPr>
              <w:pStyle w:val="101"/>
              <w:jc w:val="center"/>
              <w:rPr>
                <w:rFonts w:hint="eastAsia" w:eastAsia="宋体"/>
                <w:color w:val="auto"/>
              </w:rPr>
            </w:pPr>
            <w:r>
              <w:rPr>
                <w:rFonts w:hint="eastAsia" w:eastAsia="宋体"/>
                <w:color w:val="auto"/>
                <w:lang w:val="en-US" w:eastAsia="zh-CN"/>
              </w:rPr>
              <w:t>128</w:t>
            </w:r>
          </w:p>
        </w:tc>
        <w:tc>
          <w:tcPr>
            <w:tcW w:w="1713" w:type="pct"/>
            <w:vAlign w:val="center"/>
          </w:tcPr>
          <w:p w14:paraId="18FA04E0">
            <w:pPr>
              <w:pStyle w:val="101"/>
              <w:jc w:val="center"/>
              <w:rPr>
                <w:rFonts w:hint="eastAsia" w:eastAsia="宋体"/>
                <w:color w:val="auto"/>
              </w:rPr>
            </w:pPr>
            <w:r>
              <w:rPr>
                <w:rFonts w:hint="eastAsia" w:eastAsia="宋体"/>
                <w:color w:val="auto"/>
                <w:lang w:val="en-US" w:eastAsia="zh-CN"/>
              </w:rPr>
              <w:t>鹤岗市地方志办公室</w:t>
            </w:r>
          </w:p>
        </w:tc>
        <w:tc>
          <w:tcPr>
            <w:tcW w:w="1115" w:type="dxa"/>
            <w:gridSpan w:val="2"/>
            <w:vAlign w:val="bottom"/>
          </w:tcPr>
          <w:p w14:paraId="2AADBD8C">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4A84839">
            <w:pPr>
              <w:pStyle w:val="101"/>
              <w:jc w:val="center"/>
              <w:rPr>
                <w:rFonts w:hint="eastAsia" w:eastAsia="宋体"/>
                <w:color w:val="auto"/>
              </w:rPr>
            </w:pPr>
            <w:r>
              <w:rPr>
                <w:rFonts w:hint="eastAsia" w:eastAsia="宋体"/>
                <w:color w:val="auto"/>
                <w:lang w:val="en-US" w:eastAsia="zh-CN"/>
              </w:rPr>
              <w:t>1865</w:t>
            </w:r>
          </w:p>
        </w:tc>
        <w:tc>
          <w:tcPr>
            <w:tcW w:w="729" w:type="pct"/>
            <w:gridSpan w:val="2"/>
            <w:vAlign w:val="center"/>
          </w:tcPr>
          <w:p w14:paraId="552EFAD9">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2F5F593C">
            <w:pPr>
              <w:pStyle w:val="101"/>
              <w:jc w:val="center"/>
              <w:rPr>
                <w:rFonts w:hint="eastAsia" w:eastAsia="宋体"/>
                <w:color w:val="auto"/>
              </w:rPr>
            </w:pPr>
            <w:r>
              <w:rPr>
                <w:rFonts w:hint="eastAsia" w:eastAsia="宋体"/>
                <w:color w:val="auto"/>
                <w:lang w:val="en-US" w:eastAsia="zh-CN"/>
              </w:rPr>
              <w:t>50</w:t>
            </w:r>
          </w:p>
        </w:tc>
      </w:tr>
      <w:tr w14:paraId="151E7C0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93E1E90">
            <w:pPr>
              <w:pStyle w:val="101"/>
              <w:jc w:val="center"/>
              <w:rPr>
                <w:color w:val="auto"/>
              </w:rPr>
            </w:pPr>
          </w:p>
        </w:tc>
        <w:tc>
          <w:tcPr>
            <w:tcW w:w="390" w:type="pct"/>
            <w:vAlign w:val="center"/>
          </w:tcPr>
          <w:p w14:paraId="00D9190A">
            <w:pPr>
              <w:pStyle w:val="101"/>
              <w:jc w:val="center"/>
              <w:rPr>
                <w:rFonts w:hint="eastAsia" w:eastAsia="宋体"/>
                <w:color w:val="auto"/>
              </w:rPr>
            </w:pPr>
            <w:r>
              <w:rPr>
                <w:rFonts w:hint="eastAsia" w:eastAsia="宋体"/>
                <w:color w:val="auto"/>
                <w:lang w:val="en-US" w:eastAsia="zh-CN"/>
              </w:rPr>
              <w:t>129</w:t>
            </w:r>
          </w:p>
        </w:tc>
        <w:tc>
          <w:tcPr>
            <w:tcW w:w="1713" w:type="pct"/>
            <w:vAlign w:val="center"/>
          </w:tcPr>
          <w:p w14:paraId="3B60FA2F">
            <w:pPr>
              <w:pStyle w:val="101"/>
              <w:jc w:val="center"/>
              <w:rPr>
                <w:rFonts w:hint="eastAsia" w:eastAsia="宋体"/>
                <w:color w:val="auto"/>
              </w:rPr>
            </w:pPr>
            <w:r>
              <w:rPr>
                <w:rFonts w:hint="eastAsia" w:eastAsia="宋体"/>
                <w:color w:val="auto"/>
                <w:lang w:val="en-US" w:eastAsia="zh-CN"/>
              </w:rPr>
              <w:t>鹤岗市残疾人联合会</w:t>
            </w:r>
          </w:p>
        </w:tc>
        <w:tc>
          <w:tcPr>
            <w:tcW w:w="1115" w:type="dxa"/>
            <w:gridSpan w:val="2"/>
            <w:vAlign w:val="bottom"/>
          </w:tcPr>
          <w:p w14:paraId="3A14B752">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2CB1E223">
            <w:pPr>
              <w:pStyle w:val="101"/>
              <w:jc w:val="center"/>
              <w:rPr>
                <w:rFonts w:hint="eastAsia" w:eastAsia="宋体"/>
                <w:color w:val="auto"/>
              </w:rPr>
            </w:pPr>
            <w:r>
              <w:rPr>
                <w:rFonts w:hint="eastAsia" w:eastAsia="宋体"/>
                <w:color w:val="auto"/>
                <w:lang w:val="en-US" w:eastAsia="zh-CN"/>
              </w:rPr>
              <w:t>1960</w:t>
            </w:r>
          </w:p>
        </w:tc>
        <w:tc>
          <w:tcPr>
            <w:tcW w:w="729" w:type="pct"/>
            <w:gridSpan w:val="2"/>
            <w:vAlign w:val="center"/>
          </w:tcPr>
          <w:p w14:paraId="67B5F528">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6E05B2F7">
            <w:pPr>
              <w:pStyle w:val="101"/>
              <w:jc w:val="center"/>
              <w:rPr>
                <w:rFonts w:hint="eastAsia" w:eastAsia="宋体"/>
                <w:color w:val="auto"/>
              </w:rPr>
            </w:pPr>
            <w:r>
              <w:rPr>
                <w:rFonts w:hint="eastAsia" w:eastAsia="宋体"/>
                <w:color w:val="auto"/>
                <w:lang w:val="en-US" w:eastAsia="zh-CN"/>
              </w:rPr>
              <w:t>120</w:t>
            </w:r>
          </w:p>
        </w:tc>
      </w:tr>
      <w:tr w14:paraId="72C8523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623BC9B">
            <w:pPr>
              <w:pStyle w:val="101"/>
              <w:jc w:val="center"/>
              <w:rPr>
                <w:color w:val="auto"/>
              </w:rPr>
            </w:pPr>
          </w:p>
        </w:tc>
        <w:tc>
          <w:tcPr>
            <w:tcW w:w="390" w:type="pct"/>
            <w:vAlign w:val="center"/>
          </w:tcPr>
          <w:p w14:paraId="51979F94">
            <w:pPr>
              <w:pStyle w:val="101"/>
              <w:jc w:val="center"/>
              <w:rPr>
                <w:rFonts w:hint="eastAsia" w:eastAsia="宋体"/>
                <w:color w:val="auto"/>
              </w:rPr>
            </w:pPr>
            <w:r>
              <w:rPr>
                <w:rFonts w:hint="eastAsia" w:eastAsia="宋体"/>
                <w:color w:val="auto"/>
                <w:lang w:val="en-US" w:eastAsia="zh-CN"/>
              </w:rPr>
              <w:t>130</w:t>
            </w:r>
          </w:p>
        </w:tc>
        <w:tc>
          <w:tcPr>
            <w:tcW w:w="1713" w:type="pct"/>
            <w:vAlign w:val="center"/>
          </w:tcPr>
          <w:p w14:paraId="4192F833">
            <w:pPr>
              <w:pStyle w:val="101"/>
              <w:jc w:val="center"/>
              <w:rPr>
                <w:rFonts w:hint="eastAsia" w:eastAsia="宋体"/>
                <w:color w:val="auto"/>
              </w:rPr>
            </w:pPr>
            <w:r>
              <w:rPr>
                <w:rFonts w:hint="eastAsia" w:eastAsia="宋体"/>
                <w:color w:val="auto"/>
                <w:lang w:val="en-US" w:eastAsia="zh-CN"/>
              </w:rPr>
              <w:t>鹤岗市人民政府安全生产委员会办公室</w:t>
            </w:r>
          </w:p>
        </w:tc>
        <w:tc>
          <w:tcPr>
            <w:tcW w:w="1115" w:type="dxa"/>
            <w:gridSpan w:val="2"/>
            <w:vAlign w:val="bottom"/>
          </w:tcPr>
          <w:p w14:paraId="114BFB77">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7F135C23">
            <w:pPr>
              <w:pStyle w:val="101"/>
              <w:jc w:val="center"/>
              <w:rPr>
                <w:rFonts w:hint="eastAsia" w:eastAsia="宋体"/>
                <w:color w:val="auto"/>
              </w:rPr>
            </w:pPr>
            <w:r>
              <w:rPr>
                <w:rFonts w:hint="eastAsia" w:eastAsia="宋体"/>
                <w:color w:val="auto"/>
                <w:lang w:val="en-US" w:eastAsia="zh-CN"/>
              </w:rPr>
              <w:t>1960</w:t>
            </w:r>
          </w:p>
        </w:tc>
        <w:tc>
          <w:tcPr>
            <w:tcW w:w="729" w:type="pct"/>
            <w:gridSpan w:val="2"/>
            <w:vAlign w:val="center"/>
          </w:tcPr>
          <w:p w14:paraId="59C7F8FA">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5F81033">
            <w:pPr>
              <w:pStyle w:val="101"/>
              <w:jc w:val="center"/>
              <w:rPr>
                <w:rFonts w:hint="eastAsia" w:eastAsia="宋体"/>
                <w:color w:val="auto"/>
              </w:rPr>
            </w:pPr>
            <w:r>
              <w:rPr>
                <w:rFonts w:hint="eastAsia" w:eastAsia="宋体"/>
                <w:color w:val="auto"/>
                <w:lang w:val="en-US" w:eastAsia="zh-CN"/>
              </w:rPr>
              <w:t>70</w:t>
            </w:r>
          </w:p>
        </w:tc>
      </w:tr>
      <w:tr w14:paraId="1B98483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21B801B">
            <w:pPr>
              <w:pStyle w:val="101"/>
              <w:jc w:val="center"/>
              <w:rPr>
                <w:color w:val="auto"/>
              </w:rPr>
            </w:pPr>
          </w:p>
        </w:tc>
        <w:tc>
          <w:tcPr>
            <w:tcW w:w="390" w:type="pct"/>
            <w:vAlign w:val="center"/>
          </w:tcPr>
          <w:p w14:paraId="6DB8BBDD">
            <w:pPr>
              <w:pStyle w:val="101"/>
              <w:jc w:val="center"/>
              <w:rPr>
                <w:rFonts w:hint="eastAsia" w:eastAsia="宋体"/>
                <w:color w:val="auto"/>
              </w:rPr>
            </w:pPr>
            <w:r>
              <w:rPr>
                <w:rFonts w:hint="eastAsia" w:eastAsia="宋体"/>
                <w:color w:val="auto"/>
                <w:lang w:val="en-US" w:eastAsia="zh-CN"/>
              </w:rPr>
              <w:t>131</w:t>
            </w:r>
          </w:p>
        </w:tc>
        <w:tc>
          <w:tcPr>
            <w:tcW w:w="1713" w:type="pct"/>
            <w:vAlign w:val="center"/>
          </w:tcPr>
          <w:p w14:paraId="6C9814E4">
            <w:pPr>
              <w:pStyle w:val="101"/>
              <w:jc w:val="center"/>
              <w:rPr>
                <w:rFonts w:hint="eastAsia" w:eastAsia="宋体"/>
                <w:color w:val="auto"/>
              </w:rPr>
            </w:pPr>
            <w:r>
              <w:rPr>
                <w:rFonts w:hint="eastAsia" w:eastAsia="宋体"/>
                <w:color w:val="auto"/>
                <w:lang w:val="en-US" w:eastAsia="zh-CN"/>
              </w:rPr>
              <w:t>小鹤立河水库扩建工程建设管理局</w:t>
            </w:r>
          </w:p>
        </w:tc>
        <w:tc>
          <w:tcPr>
            <w:tcW w:w="1115" w:type="dxa"/>
            <w:gridSpan w:val="2"/>
            <w:vAlign w:val="bottom"/>
          </w:tcPr>
          <w:p w14:paraId="25E6C527">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4630DF7F">
            <w:pPr>
              <w:pStyle w:val="101"/>
              <w:jc w:val="center"/>
              <w:rPr>
                <w:rFonts w:hint="eastAsia" w:eastAsia="宋体"/>
                <w:color w:val="auto"/>
              </w:rPr>
            </w:pPr>
            <w:r>
              <w:rPr>
                <w:rFonts w:hint="eastAsia" w:eastAsia="宋体"/>
                <w:color w:val="auto"/>
                <w:lang w:val="en-US" w:eastAsia="zh-CN"/>
              </w:rPr>
              <w:t>1990</w:t>
            </w:r>
          </w:p>
        </w:tc>
        <w:tc>
          <w:tcPr>
            <w:tcW w:w="729" w:type="pct"/>
            <w:gridSpan w:val="2"/>
            <w:vAlign w:val="center"/>
          </w:tcPr>
          <w:p w14:paraId="5F8D6AF4">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480D9EA">
            <w:pPr>
              <w:pStyle w:val="101"/>
              <w:jc w:val="center"/>
              <w:rPr>
                <w:rFonts w:hint="eastAsia" w:eastAsia="宋体"/>
                <w:color w:val="auto"/>
              </w:rPr>
            </w:pPr>
            <w:r>
              <w:rPr>
                <w:rFonts w:hint="eastAsia" w:eastAsia="宋体"/>
                <w:color w:val="auto"/>
                <w:lang w:val="en-US" w:eastAsia="zh-CN"/>
              </w:rPr>
              <w:t>40</w:t>
            </w:r>
          </w:p>
        </w:tc>
      </w:tr>
      <w:tr w14:paraId="2DD879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4AC8426">
            <w:pPr>
              <w:pStyle w:val="101"/>
              <w:jc w:val="center"/>
              <w:rPr>
                <w:color w:val="auto"/>
              </w:rPr>
            </w:pPr>
          </w:p>
        </w:tc>
        <w:tc>
          <w:tcPr>
            <w:tcW w:w="390" w:type="pct"/>
            <w:vAlign w:val="center"/>
          </w:tcPr>
          <w:p w14:paraId="2EDA2503">
            <w:pPr>
              <w:pStyle w:val="101"/>
              <w:jc w:val="center"/>
              <w:rPr>
                <w:rFonts w:hint="eastAsia" w:eastAsia="宋体"/>
                <w:color w:val="auto"/>
              </w:rPr>
            </w:pPr>
            <w:r>
              <w:rPr>
                <w:rFonts w:hint="eastAsia" w:eastAsia="宋体"/>
                <w:color w:val="auto"/>
                <w:lang w:val="en-US" w:eastAsia="zh-CN"/>
              </w:rPr>
              <w:t>132</w:t>
            </w:r>
          </w:p>
        </w:tc>
        <w:tc>
          <w:tcPr>
            <w:tcW w:w="1713" w:type="pct"/>
            <w:vAlign w:val="center"/>
          </w:tcPr>
          <w:p w14:paraId="01C895BD">
            <w:pPr>
              <w:pStyle w:val="101"/>
              <w:jc w:val="center"/>
              <w:rPr>
                <w:rFonts w:hint="eastAsia" w:eastAsia="宋体"/>
                <w:color w:val="auto"/>
              </w:rPr>
            </w:pPr>
            <w:r>
              <w:rPr>
                <w:rFonts w:hint="eastAsia" w:eastAsia="宋体"/>
                <w:color w:val="auto"/>
                <w:lang w:val="en-US" w:eastAsia="zh-CN"/>
              </w:rPr>
              <w:t>鹤岗市群楼地段旧城区改造建设指挥部</w:t>
            </w:r>
          </w:p>
        </w:tc>
        <w:tc>
          <w:tcPr>
            <w:tcW w:w="1115" w:type="dxa"/>
            <w:gridSpan w:val="2"/>
            <w:vAlign w:val="bottom"/>
          </w:tcPr>
          <w:p w14:paraId="69EFD421">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7BD34B3">
            <w:pPr>
              <w:pStyle w:val="101"/>
              <w:jc w:val="center"/>
              <w:rPr>
                <w:rFonts w:hint="eastAsia" w:eastAsia="宋体"/>
                <w:color w:val="auto"/>
              </w:rPr>
            </w:pPr>
            <w:r>
              <w:rPr>
                <w:rFonts w:hint="eastAsia" w:eastAsia="宋体"/>
                <w:color w:val="auto"/>
                <w:lang w:val="en-US" w:eastAsia="zh-CN"/>
              </w:rPr>
              <w:t>2065</w:t>
            </w:r>
          </w:p>
        </w:tc>
        <w:tc>
          <w:tcPr>
            <w:tcW w:w="729" w:type="pct"/>
            <w:gridSpan w:val="2"/>
            <w:vAlign w:val="center"/>
          </w:tcPr>
          <w:p w14:paraId="1B891F45">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0062D5B">
            <w:pPr>
              <w:pStyle w:val="101"/>
              <w:jc w:val="center"/>
              <w:rPr>
                <w:rFonts w:hint="eastAsia" w:eastAsia="宋体"/>
                <w:color w:val="auto"/>
              </w:rPr>
            </w:pPr>
            <w:r>
              <w:rPr>
                <w:rFonts w:hint="eastAsia" w:eastAsia="宋体"/>
                <w:color w:val="auto"/>
                <w:lang w:val="en-US" w:eastAsia="zh-CN"/>
              </w:rPr>
              <w:t>50</w:t>
            </w:r>
          </w:p>
        </w:tc>
      </w:tr>
      <w:tr w14:paraId="010019B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8C4D7B9">
            <w:pPr>
              <w:pStyle w:val="101"/>
              <w:jc w:val="center"/>
              <w:rPr>
                <w:color w:val="auto"/>
              </w:rPr>
            </w:pPr>
          </w:p>
        </w:tc>
        <w:tc>
          <w:tcPr>
            <w:tcW w:w="390" w:type="pct"/>
            <w:vAlign w:val="center"/>
          </w:tcPr>
          <w:p w14:paraId="6BFC31D4">
            <w:pPr>
              <w:pStyle w:val="101"/>
              <w:jc w:val="center"/>
              <w:rPr>
                <w:rFonts w:hint="eastAsia" w:eastAsia="宋体"/>
                <w:color w:val="auto"/>
              </w:rPr>
            </w:pPr>
            <w:r>
              <w:rPr>
                <w:rFonts w:hint="eastAsia" w:eastAsia="宋体"/>
                <w:color w:val="auto"/>
                <w:lang w:val="en-US" w:eastAsia="zh-CN"/>
              </w:rPr>
              <w:t>133</w:t>
            </w:r>
          </w:p>
        </w:tc>
        <w:tc>
          <w:tcPr>
            <w:tcW w:w="1713" w:type="pct"/>
            <w:vAlign w:val="center"/>
          </w:tcPr>
          <w:p w14:paraId="21ED3500">
            <w:pPr>
              <w:pStyle w:val="101"/>
              <w:jc w:val="center"/>
              <w:rPr>
                <w:rFonts w:hint="eastAsia" w:eastAsia="宋体"/>
                <w:color w:val="auto"/>
              </w:rPr>
            </w:pPr>
            <w:r>
              <w:rPr>
                <w:rFonts w:hint="eastAsia" w:eastAsia="宋体"/>
                <w:color w:val="auto"/>
                <w:lang w:val="en-US" w:eastAsia="zh-CN"/>
              </w:rPr>
              <w:t>鹤岗市公路处</w:t>
            </w:r>
          </w:p>
        </w:tc>
        <w:tc>
          <w:tcPr>
            <w:tcW w:w="1115" w:type="dxa"/>
            <w:gridSpan w:val="2"/>
            <w:vAlign w:val="bottom"/>
          </w:tcPr>
          <w:p w14:paraId="580870F2">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77341541">
            <w:pPr>
              <w:pStyle w:val="101"/>
              <w:jc w:val="center"/>
              <w:rPr>
                <w:rFonts w:hint="eastAsia" w:eastAsia="宋体"/>
                <w:color w:val="auto"/>
              </w:rPr>
            </w:pPr>
            <w:r>
              <w:rPr>
                <w:rFonts w:hint="eastAsia" w:eastAsia="宋体"/>
                <w:color w:val="auto"/>
                <w:lang w:val="en-US" w:eastAsia="zh-CN"/>
              </w:rPr>
              <w:t>2110</w:t>
            </w:r>
          </w:p>
        </w:tc>
        <w:tc>
          <w:tcPr>
            <w:tcW w:w="729" w:type="pct"/>
            <w:gridSpan w:val="2"/>
            <w:vAlign w:val="center"/>
          </w:tcPr>
          <w:p w14:paraId="7F5CDDEC">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00C88137">
            <w:pPr>
              <w:pStyle w:val="101"/>
              <w:jc w:val="center"/>
              <w:rPr>
                <w:rFonts w:hint="eastAsia" w:eastAsia="宋体"/>
                <w:color w:val="auto"/>
              </w:rPr>
            </w:pPr>
            <w:r>
              <w:rPr>
                <w:rFonts w:hint="eastAsia" w:eastAsia="宋体"/>
                <w:color w:val="auto"/>
                <w:lang w:val="en-US" w:eastAsia="zh-CN"/>
              </w:rPr>
              <w:t>60</w:t>
            </w:r>
          </w:p>
        </w:tc>
      </w:tr>
      <w:tr w14:paraId="60F8485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4D8AD035">
            <w:pPr>
              <w:pStyle w:val="101"/>
              <w:jc w:val="center"/>
              <w:rPr>
                <w:color w:val="auto"/>
              </w:rPr>
            </w:pPr>
          </w:p>
        </w:tc>
        <w:tc>
          <w:tcPr>
            <w:tcW w:w="390" w:type="pct"/>
            <w:vAlign w:val="center"/>
          </w:tcPr>
          <w:p w14:paraId="0E710A2C">
            <w:pPr>
              <w:pStyle w:val="101"/>
              <w:jc w:val="center"/>
              <w:rPr>
                <w:rFonts w:hint="eastAsia" w:eastAsia="宋体"/>
                <w:color w:val="auto"/>
              </w:rPr>
            </w:pPr>
            <w:r>
              <w:rPr>
                <w:rFonts w:hint="eastAsia" w:eastAsia="宋体"/>
                <w:color w:val="auto"/>
                <w:lang w:val="en-US" w:eastAsia="zh-CN"/>
              </w:rPr>
              <w:t>134</w:t>
            </w:r>
          </w:p>
        </w:tc>
        <w:tc>
          <w:tcPr>
            <w:tcW w:w="1713" w:type="pct"/>
            <w:vAlign w:val="center"/>
          </w:tcPr>
          <w:p w14:paraId="2710DA6B">
            <w:pPr>
              <w:pStyle w:val="101"/>
              <w:jc w:val="center"/>
              <w:rPr>
                <w:rFonts w:hint="eastAsia" w:eastAsia="宋体"/>
                <w:color w:val="auto"/>
              </w:rPr>
            </w:pPr>
            <w:r>
              <w:rPr>
                <w:rFonts w:hint="eastAsia" w:eastAsia="宋体"/>
                <w:color w:val="auto"/>
                <w:lang w:val="en-US" w:eastAsia="zh-CN"/>
              </w:rPr>
              <w:t>鹤岗市工农区行政服务中心公共服务大厅</w:t>
            </w:r>
          </w:p>
        </w:tc>
        <w:tc>
          <w:tcPr>
            <w:tcW w:w="1115" w:type="dxa"/>
            <w:gridSpan w:val="2"/>
            <w:vAlign w:val="bottom"/>
          </w:tcPr>
          <w:p w14:paraId="0C6B0F5F">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75B4C58">
            <w:pPr>
              <w:pStyle w:val="101"/>
              <w:jc w:val="center"/>
              <w:rPr>
                <w:rFonts w:hint="eastAsia" w:eastAsia="宋体"/>
                <w:color w:val="auto"/>
              </w:rPr>
            </w:pPr>
            <w:r>
              <w:rPr>
                <w:rFonts w:hint="eastAsia" w:eastAsia="宋体"/>
                <w:color w:val="auto"/>
                <w:lang w:val="en-US" w:eastAsia="zh-CN"/>
              </w:rPr>
              <w:t>2155</w:t>
            </w:r>
          </w:p>
        </w:tc>
        <w:tc>
          <w:tcPr>
            <w:tcW w:w="729" w:type="pct"/>
            <w:gridSpan w:val="2"/>
            <w:vAlign w:val="center"/>
          </w:tcPr>
          <w:p w14:paraId="7BD29724">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0CC7013C">
            <w:pPr>
              <w:pStyle w:val="101"/>
              <w:jc w:val="center"/>
              <w:rPr>
                <w:rFonts w:hint="eastAsia" w:eastAsia="宋体"/>
                <w:color w:val="auto"/>
              </w:rPr>
            </w:pPr>
            <w:r>
              <w:rPr>
                <w:rFonts w:hint="eastAsia" w:eastAsia="宋体"/>
                <w:color w:val="auto"/>
                <w:lang w:val="en-US" w:eastAsia="zh-CN"/>
              </w:rPr>
              <w:t>70</w:t>
            </w:r>
          </w:p>
        </w:tc>
      </w:tr>
      <w:tr w14:paraId="24F20D2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F740D49">
            <w:pPr>
              <w:pStyle w:val="101"/>
              <w:jc w:val="center"/>
              <w:rPr>
                <w:color w:val="auto"/>
              </w:rPr>
            </w:pPr>
          </w:p>
        </w:tc>
        <w:tc>
          <w:tcPr>
            <w:tcW w:w="390" w:type="pct"/>
            <w:vAlign w:val="center"/>
          </w:tcPr>
          <w:p w14:paraId="39D5BDB9">
            <w:pPr>
              <w:pStyle w:val="101"/>
              <w:jc w:val="center"/>
              <w:rPr>
                <w:rFonts w:hint="eastAsia" w:eastAsia="宋体"/>
                <w:color w:val="auto"/>
              </w:rPr>
            </w:pPr>
            <w:r>
              <w:rPr>
                <w:rFonts w:hint="eastAsia" w:eastAsia="宋体"/>
                <w:color w:val="auto"/>
                <w:lang w:val="en-US" w:eastAsia="zh-CN"/>
              </w:rPr>
              <w:t>135</w:t>
            </w:r>
          </w:p>
        </w:tc>
        <w:tc>
          <w:tcPr>
            <w:tcW w:w="1713" w:type="pct"/>
            <w:vAlign w:val="center"/>
          </w:tcPr>
          <w:p w14:paraId="2FE9B133">
            <w:pPr>
              <w:pStyle w:val="101"/>
              <w:jc w:val="center"/>
              <w:rPr>
                <w:rFonts w:hint="eastAsia" w:eastAsia="宋体"/>
                <w:color w:val="auto"/>
              </w:rPr>
            </w:pPr>
            <w:r>
              <w:rPr>
                <w:rFonts w:hint="eastAsia" w:eastAsia="宋体"/>
                <w:color w:val="auto"/>
                <w:lang w:val="en-US" w:eastAsia="zh-CN"/>
              </w:rPr>
              <w:t>中国共产党鹤岗市文化广电新闻出版局委员会</w:t>
            </w:r>
          </w:p>
        </w:tc>
        <w:tc>
          <w:tcPr>
            <w:tcW w:w="1115" w:type="dxa"/>
            <w:gridSpan w:val="2"/>
            <w:vAlign w:val="bottom"/>
          </w:tcPr>
          <w:p w14:paraId="597E98FB">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29C3CFA7">
            <w:pPr>
              <w:pStyle w:val="101"/>
              <w:jc w:val="center"/>
              <w:rPr>
                <w:rFonts w:hint="eastAsia" w:eastAsia="宋体"/>
                <w:color w:val="auto"/>
              </w:rPr>
            </w:pPr>
            <w:r>
              <w:rPr>
                <w:rFonts w:hint="eastAsia" w:eastAsia="宋体"/>
                <w:color w:val="auto"/>
                <w:lang w:val="en-US" w:eastAsia="zh-CN"/>
              </w:rPr>
              <w:t>2465</w:t>
            </w:r>
          </w:p>
        </w:tc>
        <w:tc>
          <w:tcPr>
            <w:tcW w:w="729" w:type="pct"/>
            <w:gridSpan w:val="2"/>
            <w:vAlign w:val="center"/>
          </w:tcPr>
          <w:p w14:paraId="0447AA44">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2D3CAE8">
            <w:pPr>
              <w:pStyle w:val="101"/>
              <w:jc w:val="center"/>
              <w:rPr>
                <w:rFonts w:hint="eastAsia" w:eastAsia="宋体"/>
                <w:color w:val="auto"/>
              </w:rPr>
            </w:pPr>
            <w:r>
              <w:rPr>
                <w:rFonts w:hint="eastAsia" w:eastAsia="宋体"/>
                <w:color w:val="auto"/>
                <w:lang w:val="en-US" w:eastAsia="zh-CN"/>
              </w:rPr>
              <w:t>80</w:t>
            </w:r>
          </w:p>
        </w:tc>
      </w:tr>
      <w:tr w14:paraId="034C49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0468B70">
            <w:pPr>
              <w:pStyle w:val="101"/>
              <w:jc w:val="center"/>
              <w:rPr>
                <w:color w:val="auto"/>
              </w:rPr>
            </w:pPr>
          </w:p>
        </w:tc>
        <w:tc>
          <w:tcPr>
            <w:tcW w:w="390" w:type="pct"/>
            <w:vAlign w:val="center"/>
          </w:tcPr>
          <w:p w14:paraId="6EBA5968">
            <w:pPr>
              <w:pStyle w:val="101"/>
              <w:jc w:val="center"/>
              <w:rPr>
                <w:rFonts w:hint="eastAsia" w:eastAsia="宋体"/>
                <w:color w:val="auto"/>
              </w:rPr>
            </w:pPr>
            <w:r>
              <w:rPr>
                <w:rFonts w:hint="eastAsia" w:eastAsia="宋体"/>
                <w:color w:val="auto"/>
                <w:lang w:val="en-US" w:eastAsia="zh-CN"/>
              </w:rPr>
              <w:t>136</w:t>
            </w:r>
          </w:p>
        </w:tc>
        <w:tc>
          <w:tcPr>
            <w:tcW w:w="1713" w:type="pct"/>
            <w:vAlign w:val="center"/>
          </w:tcPr>
          <w:p w14:paraId="16AD926F">
            <w:pPr>
              <w:pStyle w:val="101"/>
              <w:jc w:val="center"/>
              <w:rPr>
                <w:rFonts w:hint="eastAsia" w:eastAsia="宋体"/>
                <w:color w:val="auto"/>
              </w:rPr>
            </w:pPr>
            <w:r>
              <w:rPr>
                <w:rFonts w:hint="eastAsia" w:eastAsia="宋体"/>
                <w:color w:val="auto"/>
                <w:lang w:val="en-US" w:eastAsia="zh-CN"/>
              </w:rPr>
              <w:t>鹤岗市文化广电新闻出版局</w:t>
            </w:r>
          </w:p>
        </w:tc>
        <w:tc>
          <w:tcPr>
            <w:tcW w:w="1115" w:type="dxa"/>
            <w:gridSpan w:val="2"/>
            <w:vAlign w:val="bottom"/>
          </w:tcPr>
          <w:p w14:paraId="7A348BE2">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01153BF6">
            <w:pPr>
              <w:pStyle w:val="101"/>
              <w:jc w:val="center"/>
              <w:rPr>
                <w:rFonts w:hint="eastAsia" w:eastAsia="宋体"/>
                <w:color w:val="auto"/>
              </w:rPr>
            </w:pPr>
            <w:r>
              <w:rPr>
                <w:rFonts w:hint="eastAsia" w:eastAsia="宋体"/>
                <w:color w:val="auto"/>
                <w:lang w:val="en-US" w:eastAsia="zh-CN"/>
              </w:rPr>
              <w:t>2465</w:t>
            </w:r>
          </w:p>
        </w:tc>
        <w:tc>
          <w:tcPr>
            <w:tcW w:w="729" w:type="pct"/>
            <w:gridSpan w:val="2"/>
            <w:vAlign w:val="center"/>
          </w:tcPr>
          <w:p w14:paraId="4AB379AF">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35C0AF87">
            <w:pPr>
              <w:pStyle w:val="101"/>
              <w:jc w:val="center"/>
              <w:rPr>
                <w:rFonts w:hint="eastAsia" w:eastAsia="宋体"/>
                <w:color w:val="auto"/>
              </w:rPr>
            </w:pPr>
            <w:r>
              <w:rPr>
                <w:rFonts w:hint="eastAsia" w:eastAsia="宋体"/>
                <w:color w:val="auto"/>
                <w:lang w:val="en-US" w:eastAsia="zh-CN"/>
              </w:rPr>
              <w:t>60</w:t>
            </w:r>
          </w:p>
        </w:tc>
      </w:tr>
      <w:tr w14:paraId="2B6DC86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49F9920">
            <w:pPr>
              <w:pStyle w:val="101"/>
              <w:jc w:val="center"/>
              <w:rPr>
                <w:color w:val="auto"/>
              </w:rPr>
            </w:pPr>
          </w:p>
        </w:tc>
        <w:tc>
          <w:tcPr>
            <w:tcW w:w="390" w:type="pct"/>
            <w:vAlign w:val="center"/>
          </w:tcPr>
          <w:p w14:paraId="77A6AD9C">
            <w:pPr>
              <w:pStyle w:val="101"/>
              <w:jc w:val="center"/>
              <w:rPr>
                <w:rFonts w:hint="eastAsia" w:eastAsia="宋体"/>
                <w:color w:val="auto"/>
              </w:rPr>
            </w:pPr>
            <w:r>
              <w:rPr>
                <w:rFonts w:hint="eastAsia" w:eastAsia="宋体"/>
                <w:color w:val="auto"/>
                <w:lang w:val="en-US" w:eastAsia="zh-CN"/>
              </w:rPr>
              <w:t>137</w:t>
            </w:r>
          </w:p>
        </w:tc>
        <w:tc>
          <w:tcPr>
            <w:tcW w:w="1713" w:type="pct"/>
            <w:vAlign w:val="center"/>
          </w:tcPr>
          <w:p w14:paraId="5F20F83C">
            <w:pPr>
              <w:pStyle w:val="101"/>
              <w:jc w:val="center"/>
              <w:rPr>
                <w:rFonts w:hint="eastAsia" w:eastAsia="宋体"/>
                <w:color w:val="auto"/>
              </w:rPr>
            </w:pPr>
            <w:r>
              <w:rPr>
                <w:rFonts w:hint="eastAsia" w:eastAsia="宋体"/>
                <w:color w:val="auto"/>
                <w:lang w:val="en-US" w:eastAsia="zh-CN"/>
              </w:rPr>
              <w:t>黑龙江省鹤岗市烟草专卖局</w:t>
            </w:r>
          </w:p>
        </w:tc>
        <w:tc>
          <w:tcPr>
            <w:tcW w:w="1115" w:type="dxa"/>
            <w:gridSpan w:val="2"/>
            <w:vAlign w:val="bottom"/>
          </w:tcPr>
          <w:p w14:paraId="5B32CE02">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E9D96B0">
            <w:pPr>
              <w:pStyle w:val="101"/>
              <w:jc w:val="center"/>
              <w:rPr>
                <w:rFonts w:hint="eastAsia" w:eastAsia="宋体"/>
                <w:color w:val="auto"/>
              </w:rPr>
            </w:pPr>
            <w:r>
              <w:rPr>
                <w:rFonts w:hint="eastAsia" w:eastAsia="宋体"/>
                <w:color w:val="auto"/>
                <w:lang w:val="en-US" w:eastAsia="zh-CN"/>
              </w:rPr>
              <w:t>2545</w:t>
            </w:r>
          </w:p>
        </w:tc>
        <w:tc>
          <w:tcPr>
            <w:tcW w:w="729" w:type="pct"/>
            <w:gridSpan w:val="2"/>
            <w:vAlign w:val="center"/>
          </w:tcPr>
          <w:p w14:paraId="22CB66E0">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0972D968">
            <w:pPr>
              <w:pStyle w:val="101"/>
              <w:jc w:val="center"/>
              <w:rPr>
                <w:rFonts w:hint="eastAsia" w:eastAsia="宋体"/>
                <w:color w:val="auto"/>
              </w:rPr>
            </w:pPr>
            <w:r>
              <w:rPr>
                <w:rFonts w:hint="eastAsia" w:eastAsia="宋体"/>
                <w:color w:val="auto"/>
                <w:lang w:val="en-US" w:eastAsia="zh-CN"/>
              </w:rPr>
              <w:t>70</w:t>
            </w:r>
          </w:p>
        </w:tc>
      </w:tr>
      <w:tr w14:paraId="161FE5D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2E8C1AC">
            <w:pPr>
              <w:pStyle w:val="101"/>
              <w:jc w:val="center"/>
              <w:rPr>
                <w:color w:val="auto"/>
              </w:rPr>
            </w:pPr>
          </w:p>
        </w:tc>
        <w:tc>
          <w:tcPr>
            <w:tcW w:w="390" w:type="pct"/>
            <w:vAlign w:val="center"/>
          </w:tcPr>
          <w:p w14:paraId="13C3BC0C">
            <w:pPr>
              <w:pStyle w:val="101"/>
              <w:jc w:val="center"/>
              <w:rPr>
                <w:rFonts w:hint="eastAsia" w:eastAsia="宋体"/>
                <w:color w:val="auto"/>
              </w:rPr>
            </w:pPr>
            <w:r>
              <w:rPr>
                <w:rFonts w:hint="eastAsia" w:eastAsia="宋体"/>
                <w:color w:val="auto"/>
                <w:lang w:val="en-US" w:eastAsia="zh-CN"/>
              </w:rPr>
              <w:t>138</w:t>
            </w:r>
          </w:p>
        </w:tc>
        <w:tc>
          <w:tcPr>
            <w:tcW w:w="1713" w:type="pct"/>
            <w:vAlign w:val="center"/>
          </w:tcPr>
          <w:p w14:paraId="5381D139">
            <w:pPr>
              <w:pStyle w:val="101"/>
              <w:jc w:val="center"/>
              <w:rPr>
                <w:rFonts w:hint="eastAsia" w:eastAsia="宋体"/>
                <w:color w:val="auto"/>
              </w:rPr>
            </w:pPr>
            <w:r>
              <w:rPr>
                <w:rFonts w:hint="eastAsia" w:eastAsia="宋体"/>
                <w:color w:val="auto"/>
                <w:lang w:val="en-US" w:eastAsia="zh-CN"/>
              </w:rPr>
              <w:t>鹤岗市科学技术局</w:t>
            </w:r>
          </w:p>
        </w:tc>
        <w:tc>
          <w:tcPr>
            <w:tcW w:w="1115" w:type="dxa"/>
            <w:gridSpan w:val="2"/>
            <w:vAlign w:val="bottom"/>
          </w:tcPr>
          <w:p w14:paraId="503CA211">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A0179CC">
            <w:pPr>
              <w:pStyle w:val="101"/>
              <w:jc w:val="center"/>
              <w:rPr>
                <w:rFonts w:hint="eastAsia" w:eastAsia="宋体"/>
                <w:color w:val="auto"/>
              </w:rPr>
            </w:pPr>
            <w:r>
              <w:rPr>
                <w:rFonts w:hint="eastAsia" w:eastAsia="宋体"/>
                <w:color w:val="auto"/>
                <w:lang w:val="en-US" w:eastAsia="zh-CN"/>
              </w:rPr>
              <w:t>2560</w:t>
            </w:r>
          </w:p>
        </w:tc>
        <w:tc>
          <w:tcPr>
            <w:tcW w:w="729" w:type="pct"/>
            <w:gridSpan w:val="2"/>
            <w:vAlign w:val="center"/>
          </w:tcPr>
          <w:p w14:paraId="7961C26D">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06C3802E">
            <w:pPr>
              <w:pStyle w:val="101"/>
              <w:jc w:val="center"/>
              <w:rPr>
                <w:rFonts w:hint="eastAsia" w:eastAsia="宋体"/>
                <w:color w:val="auto"/>
              </w:rPr>
            </w:pPr>
            <w:r>
              <w:rPr>
                <w:rFonts w:hint="eastAsia" w:eastAsia="宋体"/>
                <w:color w:val="auto"/>
                <w:lang w:val="en-US" w:eastAsia="zh-CN"/>
              </w:rPr>
              <w:t>50</w:t>
            </w:r>
          </w:p>
        </w:tc>
      </w:tr>
      <w:tr w14:paraId="2154394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EABA650">
            <w:pPr>
              <w:pStyle w:val="101"/>
              <w:jc w:val="center"/>
              <w:rPr>
                <w:color w:val="auto"/>
              </w:rPr>
            </w:pPr>
          </w:p>
        </w:tc>
        <w:tc>
          <w:tcPr>
            <w:tcW w:w="390" w:type="pct"/>
            <w:vAlign w:val="center"/>
          </w:tcPr>
          <w:p w14:paraId="0A0FF895">
            <w:pPr>
              <w:pStyle w:val="101"/>
              <w:jc w:val="center"/>
              <w:rPr>
                <w:rFonts w:hint="eastAsia" w:eastAsia="宋体"/>
                <w:color w:val="auto"/>
              </w:rPr>
            </w:pPr>
            <w:r>
              <w:rPr>
                <w:rFonts w:hint="eastAsia" w:eastAsia="宋体"/>
                <w:color w:val="auto"/>
                <w:lang w:val="en-US" w:eastAsia="zh-CN"/>
              </w:rPr>
              <w:t>139</w:t>
            </w:r>
          </w:p>
        </w:tc>
        <w:tc>
          <w:tcPr>
            <w:tcW w:w="1713" w:type="pct"/>
            <w:vAlign w:val="center"/>
          </w:tcPr>
          <w:p w14:paraId="4BB49E98">
            <w:pPr>
              <w:pStyle w:val="101"/>
              <w:jc w:val="center"/>
              <w:rPr>
                <w:rFonts w:hint="eastAsia" w:eastAsia="宋体"/>
                <w:color w:val="auto"/>
              </w:rPr>
            </w:pPr>
            <w:r>
              <w:rPr>
                <w:rFonts w:hint="eastAsia" w:eastAsia="宋体"/>
                <w:color w:val="auto"/>
                <w:lang w:val="en-US" w:eastAsia="zh-CN"/>
              </w:rPr>
              <w:t>黑龙江省鹤岗市文化市场管理处</w:t>
            </w:r>
          </w:p>
        </w:tc>
        <w:tc>
          <w:tcPr>
            <w:tcW w:w="1115" w:type="dxa"/>
            <w:gridSpan w:val="2"/>
            <w:vAlign w:val="bottom"/>
          </w:tcPr>
          <w:p w14:paraId="4457CDDD">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1B52A812">
            <w:pPr>
              <w:pStyle w:val="101"/>
              <w:jc w:val="center"/>
              <w:rPr>
                <w:rFonts w:hint="eastAsia" w:eastAsia="宋体"/>
                <w:color w:val="auto"/>
              </w:rPr>
            </w:pPr>
            <w:r>
              <w:rPr>
                <w:rFonts w:hint="eastAsia" w:eastAsia="宋体"/>
                <w:color w:val="auto"/>
                <w:lang w:val="en-US" w:eastAsia="zh-CN"/>
              </w:rPr>
              <w:t>2600</w:t>
            </w:r>
          </w:p>
        </w:tc>
        <w:tc>
          <w:tcPr>
            <w:tcW w:w="729" w:type="pct"/>
            <w:gridSpan w:val="2"/>
            <w:vAlign w:val="center"/>
          </w:tcPr>
          <w:p w14:paraId="14E1036E">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2D8989DD">
            <w:pPr>
              <w:pStyle w:val="101"/>
              <w:jc w:val="center"/>
              <w:rPr>
                <w:rFonts w:hint="eastAsia" w:eastAsia="宋体"/>
                <w:color w:val="auto"/>
              </w:rPr>
            </w:pPr>
            <w:r>
              <w:rPr>
                <w:rFonts w:hint="eastAsia" w:eastAsia="宋体"/>
                <w:color w:val="auto"/>
                <w:lang w:val="en-US" w:eastAsia="zh-CN"/>
              </w:rPr>
              <w:t>40</w:t>
            </w:r>
          </w:p>
        </w:tc>
      </w:tr>
      <w:tr w14:paraId="1314859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CE0EA94">
            <w:pPr>
              <w:pStyle w:val="101"/>
              <w:jc w:val="center"/>
              <w:rPr>
                <w:color w:val="auto"/>
              </w:rPr>
            </w:pPr>
          </w:p>
        </w:tc>
        <w:tc>
          <w:tcPr>
            <w:tcW w:w="390" w:type="pct"/>
            <w:vAlign w:val="center"/>
          </w:tcPr>
          <w:p w14:paraId="3B4EDC7C">
            <w:pPr>
              <w:pStyle w:val="101"/>
              <w:jc w:val="center"/>
              <w:rPr>
                <w:rFonts w:hint="eastAsia" w:eastAsia="宋体"/>
                <w:color w:val="auto"/>
              </w:rPr>
            </w:pPr>
            <w:r>
              <w:rPr>
                <w:rFonts w:hint="eastAsia" w:eastAsia="宋体"/>
                <w:color w:val="auto"/>
                <w:lang w:val="en-US" w:eastAsia="zh-CN"/>
              </w:rPr>
              <w:t>140</w:t>
            </w:r>
          </w:p>
        </w:tc>
        <w:tc>
          <w:tcPr>
            <w:tcW w:w="1713" w:type="pct"/>
            <w:vAlign w:val="center"/>
          </w:tcPr>
          <w:p w14:paraId="7408A9B3">
            <w:pPr>
              <w:pStyle w:val="101"/>
              <w:jc w:val="center"/>
              <w:rPr>
                <w:rFonts w:hint="eastAsia" w:eastAsia="宋体"/>
                <w:color w:val="auto"/>
              </w:rPr>
            </w:pPr>
            <w:r>
              <w:rPr>
                <w:rFonts w:hint="eastAsia" w:eastAsia="宋体"/>
                <w:color w:val="auto"/>
                <w:lang w:val="en-US" w:eastAsia="zh-CN"/>
              </w:rPr>
              <w:t>鹤岗市城市房屋拆迁管理办公室</w:t>
            </w:r>
          </w:p>
        </w:tc>
        <w:tc>
          <w:tcPr>
            <w:tcW w:w="1115" w:type="dxa"/>
            <w:gridSpan w:val="2"/>
            <w:vAlign w:val="bottom"/>
          </w:tcPr>
          <w:p w14:paraId="1C25F774">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4897D054">
            <w:pPr>
              <w:pStyle w:val="101"/>
              <w:jc w:val="center"/>
              <w:rPr>
                <w:rFonts w:hint="eastAsia" w:eastAsia="宋体"/>
                <w:color w:val="auto"/>
              </w:rPr>
            </w:pPr>
            <w:r>
              <w:rPr>
                <w:rFonts w:hint="eastAsia" w:eastAsia="宋体"/>
                <w:color w:val="auto"/>
                <w:lang w:val="en-US" w:eastAsia="zh-CN"/>
              </w:rPr>
              <w:t>2690</w:t>
            </w:r>
          </w:p>
        </w:tc>
        <w:tc>
          <w:tcPr>
            <w:tcW w:w="729" w:type="pct"/>
            <w:gridSpan w:val="2"/>
            <w:vAlign w:val="center"/>
          </w:tcPr>
          <w:p w14:paraId="5DFDFBE6">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63EE1BA2">
            <w:pPr>
              <w:pStyle w:val="101"/>
              <w:jc w:val="center"/>
              <w:rPr>
                <w:rFonts w:hint="eastAsia" w:eastAsia="宋体"/>
                <w:color w:val="auto"/>
              </w:rPr>
            </w:pPr>
            <w:r>
              <w:rPr>
                <w:rFonts w:hint="eastAsia" w:eastAsia="宋体"/>
                <w:color w:val="auto"/>
                <w:lang w:val="en-US" w:eastAsia="zh-CN"/>
              </w:rPr>
              <w:t>70</w:t>
            </w:r>
          </w:p>
        </w:tc>
      </w:tr>
      <w:tr w14:paraId="4D724F1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2B856FD">
            <w:pPr>
              <w:pStyle w:val="101"/>
              <w:jc w:val="center"/>
              <w:rPr>
                <w:color w:val="auto"/>
              </w:rPr>
            </w:pPr>
          </w:p>
        </w:tc>
        <w:tc>
          <w:tcPr>
            <w:tcW w:w="390" w:type="pct"/>
            <w:vAlign w:val="center"/>
          </w:tcPr>
          <w:p w14:paraId="7BB2D665">
            <w:pPr>
              <w:pStyle w:val="101"/>
              <w:jc w:val="center"/>
              <w:rPr>
                <w:rFonts w:hint="eastAsia" w:eastAsia="宋体"/>
                <w:color w:val="auto"/>
              </w:rPr>
            </w:pPr>
            <w:r>
              <w:rPr>
                <w:rFonts w:hint="eastAsia" w:eastAsia="宋体"/>
                <w:color w:val="auto"/>
                <w:lang w:val="en-US" w:eastAsia="zh-CN"/>
              </w:rPr>
              <w:t>141</w:t>
            </w:r>
          </w:p>
        </w:tc>
        <w:tc>
          <w:tcPr>
            <w:tcW w:w="1713" w:type="pct"/>
            <w:vAlign w:val="center"/>
          </w:tcPr>
          <w:p w14:paraId="3802FDFA">
            <w:pPr>
              <w:pStyle w:val="101"/>
              <w:jc w:val="center"/>
              <w:rPr>
                <w:rFonts w:hint="eastAsia" w:eastAsia="宋体"/>
                <w:color w:val="auto"/>
              </w:rPr>
            </w:pPr>
            <w:r>
              <w:rPr>
                <w:rFonts w:hint="eastAsia" w:eastAsia="宋体"/>
                <w:color w:val="auto"/>
                <w:lang w:val="en-US" w:eastAsia="zh-CN"/>
              </w:rPr>
              <w:t>鹤岗市房地产产权市场处</w:t>
            </w:r>
          </w:p>
        </w:tc>
        <w:tc>
          <w:tcPr>
            <w:tcW w:w="1115" w:type="dxa"/>
            <w:gridSpan w:val="2"/>
            <w:vAlign w:val="bottom"/>
          </w:tcPr>
          <w:p w14:paraId="62D63C13">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B3F7CF7">
            <w:pPr>
              <w:pStyle w:val="101"/>
              <w:jc w:val="center"/>
              <w:rPr>
                <w:rFonts w:hint="eastAsia" w:eastAsia="宋体"/>
                <w:color w:val="auto"/>
              </w:rPr>
            </w:pPr>
            <w:r>
              <w:rPr>
                <w:rFonts w:hint="eastAsia" w:eastAsia="宋体"/>
                <w:color w:val="auto"/>
                <w:lang w:val="en-US" w:eastAsia="zh-CN"/>
              </w:rPr>
              <w:t>2690</w:t>
            </w:r>
          </w:p>
        </w:tc>
        <w:tc>
          <w:tcPr>
            <w:tcW w:w="729" w:type="pct"/>
            <w:gridSpan w:val="2"/>
            <w:vAlign w:val="center"/>
          </w:tcPr>
          <w:p w14:paraId="40C77BE9">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308C95BC">
            <w:pPr>
              <w:pStyle w:val="101"/>
              <w:jc w:val="center"/>
              <w:rPr>
                <w:rFonts w:hint="eastAsia" w:eastAsia="宋体"/>
                <w:color w:val="auto"/>
              </w:rPr>
            </w:pPr>
            <w:r>
              <w:rPr>
                <w:rFonts w:hint="eastAsia" w:eastAsia="宋体"/>
                <w:color w:val="auto"/>
                <w:lang w:val="en-US" w:eastAsia="zh-CN"/>
              </w:rPr>
              <w:t>45</w:t>
            </w:r>
          </w:p>
        </w:tc>
      </w:tr>
      <w:tr w14:paraId="2DD90D1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41E6433">
            <w:pPr>
              <w:pStyle w:val="101"/>
              <w:jc w:val="center"/>
              <w:rPr>
                <w:color w:val="auto"/>
              </w:rPr>
            </w:pPr>
          </w:p>
        </w:tc>
        <w:tc>
          <w:tcPr>
            <w:tcW w:w="390" w:type="pct"/>
            <w:vAlign w:val="center"/>
          </w:tcPr>
          <w:p w14:paraId="6350F378">
            <w:pPr>
              <w:pStyle w:val="101"/>
              <w:jc w:val="center"/>
              <w:rPr>
                <w:rFonts w:hint="eastAsia" w:eastAsia="宋体"/>
                <w:color w:val="auto"/>
              </w:rPr>
            </w:pPr>
            <w:r>
              <w:rPr>
                <w:rFonts w:hint="eastAsia" w:eastAsia="宋体"/>
                <w:color w:val="auto"/>
                <w:lang w:val="en-US" w:eastAsia="zh-CN"/>
              </w:rPr>
              <w:t>142</w:t>
            </w:r>
          </w:p>
        </w:tc>
        <w:tc>
          <w:tcPr>
            <w:tcW w:w="1713" w:type="pct"/>
            <w:vAlign w:val="center"/>
          </w:tcPr>
          <w:p w14:paraId="13621801">
            <w:pPr>
              <w:pStyle w:val="101"/>
              <w:jc w:val="center"/>
              <w:rPr>
                <w:rFonts w:hint="eastAsia" w:eastAsia="宋体"/>
                <w:color w:val="auto"/>
              </w:rPr>
            </w:pPr>
            <w:r>
              <w:rPr>
                <w:rFonts w:hint="eastAsia" w:eastAsia="宋体"/>
                <w:color w:val="auto"/>
                <w:lang w:val="en-US" w:eastAsia="zh-CN"/>
              </w:rPr>
              <w:t>鹤岗市煤矿安全监察大队</w:t>
            </w:r>
          </w:p>
        </w:tc>
        <w:tc>
          <w:tcPr>
            <w:tcW w:w="1115" w:type="dxa"/>
            <w:gridSpan w:val="2"/>
            <w:vAlign w:val="bottom"/>
          </w:tcPr>
          <w:p w14:paraId="3E90D8A6">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44A3C88B">
            <w:pPr>
              <w:pStyle w:val="101"/>
              <w:jc w:val="center"/>
              <w:rPr>
                <w:rFonts w:hint="eastAsia" w:eastAsia="宋体"/>
                <w:color w:val="auto"/>
              </w:rPr>
            </w:pPr>
            <w:r>
              <w:rPr>
                <w:rFonts w:hint="eastAsia" w:eastAsia="宋体"/>
                <w:color w:val="auto"/>
                <w:lang w:val="en-US" w:eastAsia="zh-CN"/>
              </w:rPr>
              <w:t>2760</w:t>
            </w:r>
          </w:p>
        </w:tc>
        <w:tc>
          <w:tcPr>
            <w:tcW w:w="729" w:type="pct"/>
            <w:gridSpan w:val="2"/>
            <w:vAlign w:val="center"/>
          </w:tcPr>
          <w:p w14:paraId="3E6532AA">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A8F1F5A">
            <w:pPr>
              <w:pStyle w:val="101"/>
              <w:jc w:val="center"/>
              <w:rPr>
                <w:rFonts w:hint="eastAsia" w:eastAsia="宋体"/>
                <w:color w:val="auto"/>
              </w:rPr>
            </w:pPr>
            <w:r>
              <w:rPr>
                <w:rFonts w:hint="eastAsia" w:eastAsia="宋体"/>
                <w:color w:val="auto"/>
                <w:lang w:val="en-US" w:eastAsia="zh-CN"/>
              </w:rPr>
              <w:t>55</w:t>
            </w:r>
          </w:p>
        </w:tc>
      </w:tr>
      <w:tr w14:paraId="063A39B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F33DCA6">
            <w:pPr>
              <w:pStyle w:val="101"/>
              <w:jc w:val="center"/>
              <w:rPr>
                <w:color w:val="auto"/>
              </w:rPr>
            </w:pPr>
          </w:p>
        </w:tc>
        <w:tc>
          <w:tcPr>
            <w:tcW w:w="390" w:type="pct"/>
            <w:vAlign w:val="center"/>
          </w:tcPr>
          <w:p w14:paraId="032E9004">
            <w:pPr>
              <w:pStyle w:val="101"/>
              <w:jc w:val="center"/>
              <w:rPr>
                <w:rFonts w:hint="eastAsia" w:eastAsia="宋体"/>
                <w:color w:val="auto"/>
              </w:rPr>
            </w:pPr>
            <w:r>
              <w:rPr>
                <w:rFonts w:hint="eastAsia" w:eastAsia="宋体"/>
                <w:color w:val="auto"/>
                <w:lang w:val="en-US" w:eastAsia="zh-CN"/>
              </w:rPr>
              <w:t>143</w:t>
            </w:r>
          </w:p>
        </w:tc>
        <w:tc>
          <w:tcPr>
            <w:tcW w:w="1713" w:type="pct"/>
            <w:vAlign w:val="center"/>
          </w:tcPr>
          <w:p w14:paraId="2F597B4C">
            <w:pPr>
              <w:pStyle w:val="101"/>
              <w:jc w:val="center"/>
              <w:rPr>
                <w:rFonts w:hint="eastAsia" w:eastAsia="宋体"/>
                <w:color w:val="auto"/>
              </w:rPr>
            </w:pPr>
            <w:r>
              <w:rPr>
                <w:rFonts w:hint="eastAsia" w:eastAsia="宋体"/>
                <w:color w:val="auto"/>
                <w:lang w:val="en-US" w:eastAsia="zh-CN"/>
              </w:rPr>
              <w:t>工农区司法局(第三司法所)</w:t>
            </w:r>
          </w:p>
        </w:tc>
        <w:tc>
          <w:tcPr>
            <w:tcW w:w="1115" w:type="dxa"/>
            <w:gridSpan w:val="2"/>
            <w:vAlign w:val="bottom"/>
          </w:tcPr>
          <w:p w14:paraId="56BF802B">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920A301">
            <w:pPr>
              <w:pStyle w:val="101"/>
              <w:jc w:val="center"/>
              <w:rPr>
                <w:rFonts w:hint="eastAsia" w:eastAsia="宋体"/>
                <w:color w:val="auto"/>
              </w:rPr>
            </w:pPr>
            <w:r>
              <w:rPr>
                <w:rFonts w:hint="eastAsia" w:eastAsia="宋体"/>
                <w:color w:val="auto"/>
                <w:lang w:val="en-US" w:eastAsia="zh-CN"/>
              </w:rPr>
              <w:t>2815</w:t>
            </w:r>
          </w:p>
        </w:tc>
        <w:tc>
          <w:tcPr>
            <w:tcW w:w="729" w:type="pct"/>
            <w:gridSpan w:val="2"/>
            <w:vAlign w:val="center"/>
          </w:tcPr>
          <w:p w14:paraId="010A51D3">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5467515A">
            <w:pPr>
              <w:pStyle w:val="101"/>
              <w:jc w:val="center"/>
              <w:rPr>
                <w:rFonts w:hint="eastAsia" w:eastAsia="宋体"/>
                <w:color w:val="auto"/>
              </w:rPr>
            </w:pPr>
            <w:r>
              <w:rPr>
                <w:rFonts w:hint="eastAsia" w:eastAsia="宋体"/>
                <w:color w:val="auto"/>
                <w:lang w:val="en-US" w:eastAsia="zh-CN"/>
              </w:rPr>
              <w:t>80</w:t>
            </w:r>
          </w:p>
        </w:tc>
      </w:tr>
      <w:tr w14:paraId="47979C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60894E9">
            <w:pPr>
              <w:pStyle w:val="101"/>
              <w:jc w:val="center"/>
              <w:rPr>
                <w:color w:val="auto"/>
              </w:rPr>
            </w:pPr>
          </w:p>
        </w:tc>
        <w:tc>
          <w:tcPr>
            <w:tcW w:w="390" w:type="pct"/>
            <w:vAlign w:val="center"/>
          </w:tcPr>
          <w:p w14:paraId="794019F3">
            <w:pPr>
              <w:pStyle w:val="101"/>
              <w:jc w:val="center"/>
              <w:rPr>
                <w:rFonts w:hint="eastAsia" w:eastAsia="宋体"/>
                <w:color w:val="auto"/>
              </w:rPr>
            </w:pPr>
            <w:r>
              <w:rPr>
                <w:rFonts w:hint="eastAsia" w:eastAsia="宋体"/>
                <w:color w:val="auto"/>
                <w:lang w:val="en-US" w:eastAsia="zh-CN"/>
              </w:rPr>
              <w:t>144</w:t>
            </w:r>
          </w:p>
        </w:tc>
        <w:tc>
          <w:tcPr>
            <w:tcW w:w="1713" w:type="pct"/>
            <w:vAlign w:val="center"/>
          </w:tcPr>
          <w:p w14:paraId="315F51C8">
            <w:pPr>
              <w:pStyle w:val="101"/>
              <w:jc w:val="center"/>
              <w:rPr>
                <w:rFonts w:hint="eastAsia" w:eastAsia="宋体"/>
                <w:color w:val="auto"/>
              </w:rPr>
            </w:pPr>
            <w:r>
              <w:rPr>
                <w:rFonts w:hint="eastAsia" w:eastAsia="宋体"/>
                <w:color w:val="auto"/>
                <w:lang w:val="en-US" w:eastAsia="zh-CN"/>
              </w:rPr>
              <w:t>鹤岗市盐政稽查支队</w:t>
            </w:r>
          </w:p>
        </w:tc>
        <w:tc>
          <w:tcPr>
            <w:tcW w:w="1115" w:type="dxa"/>
            <w:gridSpan w:val="2"/>
            <w:vAlign w:val="bottom"/>
          </w:tcPr>
          <w:p w14:paraId="6EC6DBDD">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7B453C21">
            <w:pPr>
              <w:pStyle w:val="101"/>
              <w:jc w:val="center"/>
              <w:rPr>
                <w:rFonts w:hint="eastAsia" w:eastAsia="宋体"/>
                <w:color w:val="auto"/>
              </w:rPr>
            </w:pPr>
            <w:r>
              <w:rPr>
                <w:rFonts w:hint="eastAsia" w:eastAsia="宋体"/>
                <w:color w:val="auto"/>
                <w:lang w:val="en-US" w:eastAsia="zh-CN"/>
              </w:rPr>
              <w:t>3010</w:t>
            </w:r>
          </w:p>
        </w:tc>
        <w:tc>
          <w:tcPr>
            <w:tcW w:w="729" w:type="pct"/>
            <w:gridSpan w:val="2"/>
            <w:vAlign w:val="center"/>
          </w:tcPr>
          <w:p w14:paraId="508EEF73">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10917832">
            <w:pPr>
              <w:pStyle w:val="101"/>
              <w:jc w:val="center"/>
              <w:rPr>
                <w:rFonts w:hint="eastAsia" w:eastAsia="宋体"/>
                <w:color w:val="auto"/>
              </w:rPr>
            </w:pPr>
            <w:r>
              <w:rPr>
                <w:rFonts w:hint="eastAsia" w:eastAsia="宋体"/>
                <w:color w:val="auto"/>
                <w:lang w:val="en-US" w:eastAsia="zh-CN"/>
              </w:rPr>
              <w:t>60</w:t>
            </w:r>
          </w:p>
        </w:tc>
      </w:tr>
      <w:tr w14:paraId="027AA0E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1D1C3C0">
            <w:pPr>
              <w:pStyle w:val="101"/>
              <w:jc w:val="center"/>
              <w:rPr>
                <w:color w:val="auto"/>
              </w:rPr>
            </w:pPr>
          </w:p>
        </w:tc>
        <w:tc>
          <w:tcPr>
            <w:tcW w:w="390" w:type="pct"/>
            <w:vAlign w:val="center"/>
          </w:tcPr>
          <w:p w14:paraId="6E15533A">
            <w:pPr>
              <w:pStyle w:val="101"/>
              <w:jc w:val="center"/>
              <w:rPr>
                <w:rFonts w:hint="eastAsia" w:eastAsia="宋体"/>
                <w:color w:val="auto"/>
              </w:rPr>
            </w:pPr>
            <w:r>
              <w:rPr>
                <w:rFonts w:hint="eastAsia" w:eastAsia="宋体"/>
                <w:color w:val="auto"/>
                <w:lang w:val="en-US" w:eastAsia="zh-CN"/>
              </w:rPr>
              <w:t>145</w:t>
            </w:r>
          </w:p>
        </w:tc>
        <w:tc>
          <w:tcPr>
            <w:tcW w:w="1713" w:type="pct"/>
            <w:vAlign w:val="center"/>
          </w:tcPr>
          <w:p w14:paraId="15CF3F84">
            <w:pPr>
              <w:pStyle w:val="101"/>
              <w:jc w:val="center"/>
              <w:rPr>
                <w:rFonts w:hint="eastAsia" w:eastAsia="宋体"/>
                <w:color w:val="auto"/>
              </w:rPr>
            </w:pPr>
            <w:r>
              <w:rPr>
                <w:rFonts w:hint="eastAsia" w:eastAsia="宋体"/>
                <w:color w:val="auto"/>
                <w:lang w:val="en-US" w:eastAsia="zh-CN"/>
              </w:rPr>
              <w:t>黑龙江省鹤岗公路路政管理处</w:t>
            </w:r>
          </w:p>
        </w:tc>
        <w:tc>
          <w:tcPr>
            <w:tcW w:w="1115" w:type="dxa"/>
            <w:gridSpan w:val="2"/>
            <w:vAlign w:val="bottom"/>
          </w:tcPr>
          <w:p w14:paraId="0619F799">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C41CEFE">
            <w:pPr>
              <w:pStyle w:val="101"/>
              <w:jc w:val="center"/>
              <w:rPr>
                <w:rFonts w:hint="eastAsia" w:eastAsia="宋体"/>
                <w:color w:val="auto"/>
              </w:rPr>
            </w:pPr>
            <w:r>
              <w:rPr>
                <w:rFonts w:hint="eastAsia" w:eastAsia="宋体"/>
                <w:color w:val="auto"/>
                <w:lang w:val="en-US" w:eastAsia="zh-CN"/>
              </w:rPr>
              <w:t>3040</w:t>
            </w:r>
          </w:p>
        </w:tc>
        <w:tc>
          <w:tcPr>
            <w:tcW w:w="729" w:type="pct"/>
            <w:gridSpan w:val="2"/>
            <w:vAlign w:val="center"/>
          </w:tcPr>
          <w:p w14:paraId="1F93378A">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2344EF62">
            <w:pPr>
              <w:pStyle w:val="101"/>
              <w:jc w:val="center"/>
              <w:rPr>
                <w:rFonts w:hint="eastAsia" w:eastAsia="宋体"/>
                <w:color w:val="auto"/>
              </w:rPr>
            </w:pPr>
            <w:r>
              <w:rPr>
                <w:rFonts w:hint="eastAsia" w:eastAsia="宋体"/>
                <w:color w:val="auto"/>
                <w:lang w:val="en-US" w:eastAsia="zh-CN"/>
              </w:rPr>
              <w:t>40</w:t>
            </w:r>
          </w:p>
        </w:tc>
      </w:tr>
      <w:tr w14:paraId="1A7F121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C91D079">
            <w:pPr>
              <w:pStyle w:val="101"/>
              <w:jc w:val="center"/>
              <w:rPr>
                <w:color w:val="auto"/>
              </w:rPr>
            </w:pPr>
          </w:p>
        </w:tc>
        <w:tc>
          <w:tcPr>
            <w:tcW w:w="390" w:type="pct"/>
            <w:vAlign w:val="center"/>
          </w:tcPr>
          <w:p w14:paraId="7E275BC6">
            <w:pPr>
              <w:pStyle w:val="101"/>
              <w:jc w:val="center"/>
              <w:rPr>
                <w:rFonts w:hint="eastAsia" w:eastAsia="宋体"/>
                <w:color w:val="auto"/>
              </w:rPr>
            </w:pPr>
            <w:r>
              <w:rPr>
                <w:rFonts w:hint="eastAsia" w:eastAsia="宋体"/>
                <w:color w:val="auto"/>
                <w:lang w:val="en-US" w:eastAsia="zh-CN"/>
              </w:rPr>
              <w:t>146</w:t>
            </w:r>
          </w:p>
        </w:tc>
        <w:tc>
          <w:tcPr>
            <w:tcW w:w="1713" w:type="pct"/>
            <w:vAlign w:val="center"/>
          </w:tcPr>
          <w:p w14:paraId="1A3CB2E3">
            <w:pPr>
              <w:pStyle w:val="101"/>
              <w:jc w:val="center"/>
              <w:rPr>
                <w:rFonts w:hint="eastAsia" w:eastAsia="宋体"/>
                <w:color w:val="auto"/>
              </w:rPr>
            </w:pPr>
            <w:r>
              <w:rPr>
                <w:rFonts w:hint="eastAsia" w:eastAsia="宋体"/>
                <w:color w:val="auto"/>
                <w:lang w:val="en-US" w:eastAsia="zh-CN"/>
              </w:rPr>
              <w:t>黑龙江省鹤岗市市场监督管理局工农一分局</w:t>
            </w:r>
          </w:p>
        </w:tc>
        <w:tc>
          <w:tcPr>
            <w:tcW w:w="1115" w:type="dxa"/>
            <w:gridSpan w:val="2"/>
            <w:vAlign w:val="bottom"/>
          </w:tcPr>
          <w:p w14:paraId="1BE1898D">
            <w:pPr>
              <w:keepNext w:val="0"/>
              <w:keepLines w:val="0"/>
              <w:widowControl/>
              <w:suppressLineNumbers w:val="0"/>
              <w:jc w:val="center"/>
              <w:textAlignment w:val="bottom"/>
              <w:rPr>
                <w:rFonts w:hint="eastAsia" w:eastAsia="宋体"/>
                <w:color w:val="auto"/>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25CAEEB3">
            <w:pPr>
              <w:pStyle w:val="101"/>
              <w:jc w:val="center"/>
              <w:rPr>
                <w:rFonts w:hint="eastAsia" w:eastAsia="宋体"/>
                <w:color w:val="auto"/>
              </w:rPr>
            </w:pPr>
            <w:r>
              <w:rPr>
                <w:rFonts w:hint="eastAsia" w:eastAsia="宋体"/>
                <w:color w:val="auto"/>
                <w:lang w:val="en-US" w:eastAsia="zh-CN"/>
              </w:rPr>
              <w:t>3065</w:t>
            </w:r>
          </w:p>
        </w:tc>
        <w:tc>
          <w:tcPr>
            <w:tcW w:w="729" w:type="pct"/>
            <w:gridSpan w:val="2"/>
            <w:vAlign w:val="center"/>
          </w:tcPr>
          <w:p w14:paraId="533C10AE">
            <w:pPr>
              <w:pStyle w:val="101"/>
              <w:jc w:val="center"/>
              <w:rPr>
                <w:rFonts w:hint="eastAsia" w:eastAsia="宋体"/>
                <w:color w:val="auto"/>
              </w:rPr>
            </w:pPr>
            <w:r>
              <w:rPr>
                <w:rFonts w:hint="eastAsia" w:eastAsia="宋体"/>
                <w:color w:val="auto"/>
                <w:lang w:val="en-US" w:eastAsia="zh-CN"/>
              </w:rPr>
              <w:t>政府机构</w:t>
            </w:r>
          </w:p>
        </w:tc>
        <w:tc>
          <w:tcPr>
            <w:tcW w:w="591" w:type="pct"/>
            <w:vAlign w:val="center"/>
          </w:tcPr>
          <w:p w14:paraId="24837AF5">
            <w:pPr>
              <w:pStyle w:val="101"/>
              <w:jc w:val="center"/>
              <w:rPr>
                <w:rFonts w:hint="eastAsia" w:eastAsia="宋体"/>
                <w:color w:val="auto"/>
              </w:rPr>
            </w:pPr>
            <w:r>
              <w:rPr>
                <w:rFonts w:hint="eastAsia" w:eastAsia="宋体"/>
                <w:color w:val="auto"/>
                <w:lang w:val="en-US" w:eastAsia="zh-CN"/>
              </w:rPr>
              <w:t>30</w:t>
            </w:r>
          </w:p>
        </w:tc>
      </w:tr>
      <w:tr w14:paraId="4DC6442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B2CD169">
            <w:pPr>
              <w:pStyle w:val="101"/>
              <w:jc w:val="center"/>
              <w:rPr>
                <w:color w:val="auto"/>
              </w:rPr>
            </w:pPr>
          </w:p>
        </w:tc>
        <w:tc>
          <w:tcPr>
            <w:tcW w:w="390" w:type="pct"/>
            <w:vAlign w:val="center"/>
          </w:tcPr>
          <w:p w14:paraId="209FC106">
            <w:pPr>
              <w:pStyle w:val="101"/>
              <w:jc w:val="center"/>
              <w:rPr>
                <w:rFonts w:hint="eastAsia" w:eastAsia="宋体"/>
                <w:color w:val="auto"/>
                <w:lang w:val="en-US" w:eastAsia="zh-CN"/>
              </w:rPr>
            </w:pPr>
            <w:r>
              <w:rPr>
                <w:rFonts w:hint="eastAsia" w:eastAsia="宋体"/>
                <w:color w:val="auto"/>
                <w:lang w:val="en-US" w:eastAsia="zh-CN"/>
              </w:rPr>
              <w:t>147</w:t>
            </w:r>
          </w:p>
        </w:tc>
        <w:tc>
          <w:tcPr>
            <w:tcW w:w="1713" w:type="pct"/>
            <w:vAlign w:val="center"/>
          </w:tcPr>
          <w:p w14:paraId="453727DB">
            <w:pPr>
              <w:pStyle w:val="101"/>
              <w:jc w:val="center"/>
              <w:rPr>
                <w:rFonts w:hint="eastAsia" w:eastAsia="宋体"/>
                <w:color w:val="auto"/>
                <w:lang w:val="en-US" w:eastAsia="zh-CN"/>
              </w:rPr>
            </w:pPr>
            <w:r>
              <w:rPr>
                <w:rFonts w:hint="eastAsia" w:eastAsia="宋体"/>
                <w:color w:val="auto"/>
                <w:lang w:val="en-US" w:eastAsia="zh-CN"/>
              </w:rPr>
              <w:t>鹤岗市红十字会</w:t>
            </w:r>
          </w:p>
        </w:tc>
        <w:tc>
          <w:tcPr>
            <w:tcW w:w="1115" w:type="dxa"/>
            <w:gridSpan w:val="2"/>
            <w:vAlign w:val="bottom"/>
          </w:tcPr>
          <w:p w14:paraId="435B92A4">
            <w:pPr>
              <w:keepNext w:val="0"/>
              <w:keepLines w:val="0"/>
              <w:widowControl/>
              <w:suppressLineNumbers w:val="0"/>
              <w:jc w:val="center"/>
              <w:textAlignment w:val="bottom"/>
              <w:rPr>
                <w:rFonts w:hint="eastAsia" w:eastAsia="宋体"/>
                <w:color w:val="auto"/>
                <w:lang w:val="en-US" w:eastAsia="zh-CN"/>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463C7C56">
            <w:pPr>
              <w:pStyle w:val="101"/>
              <w:jc w:val="center"/>
              <w:rPr>
                <w:rFonts w:hint="eastAsia" w:eastAsia="宋体"/>
                <w:color w:val="auto"/>
                <w:lang w:val="en-US" w:eastAsia="zh-CN"/>
              </w:rPr>
            </w:pPr>
            <w:r>
              <w:rPr>
                <w:rFonts w:hint="eastAsia" w:eastAsia="宋体"/>
                <w:color w:val="auto"/>
                <w:lang w:val="en-US" w:eastAsia="zh-CN"/>
              </w:rPr>
              <w:t>3120</w:t>
            </w:r>
          </w:p>
        </w:tc>
        <w:tc>
          <w:tcPr>
            <w:tcW w:w="729" w:type="pct"/>
            <w:gridSpan w:val="2"/>
            <w:vAlign w:val="center"/>
          </w:tcPr>
          <w:p w14:paraId="4C75B7D7">
            <w:pPr>
              <w:pStyle w:val="101"/>
              <w:jc w:val="center"/>
              <w:rPr>
                <w:rFonts w:hint="eastAsia" w:eastAsia="宋体"/>
                <w:color w:val="auto"/>
                <w:lang w:val="en-US" w:eastAsia="zh-CN"/>
              </w:rPr>
            </w:pPr>
            <w:r>
              <w:rPr>
                <w:rFonts w:hint="eastAsia" w:eastAsia="宋体"/>
                <w:color w:val="auto"/>
                <w:lang w:val="en-US" w:eastAsia="zh-CN"/>
              </w:rPr>
              <w:t>政府机构</w:t>
            </w:r>
          </w:p>
        </w:tc>
        <w:tc>
          <w:tcPr>
            <w:tcW w:w="591" w:type="pct"/>
            <w:vAlign w:val="center"/>
          </w:tcPr>
          <w:p w14:paraId="1566E1F4">
            <w:pPr>
              <w:pStyle w:val="101"/>
              <w:jc w:val="center"/>
              <w:rPr>
                <w:rFonts w:hint="eastAsia" w:eastAsia="宋体"/>
                <w:color w:val="auto"/>
                <w:lang w:val="en-US" w:eastAsia="zh-CN"/>
              </w:rPr>
            </w:pPr>
            <w:r>
              <w:rPr>
                <w:rFonts w:hint="eastAsia" w:eastAsia="宋体"/>
                <w:color w:val="auto"/>
                <w:lang w:val="en-US" w:eastAsia="zh-CN"/>
              </w:rPr>
              <w:t>70</w:t>
            </w:r>
          </w:p>
        </w:tc>
      </w:tr>
      <w:tr w14:paraId="55D191E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2B11240">
            <w:pPr>
              <w:pStyle w:val="101"/>
              <w:jc w:val="center"/>
              <w:rPr>
                <w:color w:val="auto"/>
              </w:rPr>
            </w:pPr>
          </w:p>
        </w:tc>
        <w:tc>
          <w:tcPr>
            <w:tcW w:w="390" w:type="pct"/>
            <w:vAlign w:val="center"/>
          </w:tcPr>
          <w:p w14:paraId="56870A6A">
            <w:pPr>
              <w:pStyle w:val="101"/>
              <w:jc w:val="center"/>
              <w:rPr>
                <w:rFonts w:hint="eastAsia" w:eastAsia="宋体"/>
                <w:color w:val="auto"/>
                <w:lang w:val="en-US" w:eastAsia="zh-CN"/>
              </w:rPr>
            </w:pPr>
            <w:r>
              <w:rPr>
                <w:rFonts w:hint="eastAsia" w:eastAsia="宋体"/>
                <w:color w:val="auto"/>
                <w:lang w:val="en-US" w:eastAsia="zh-CN"/>
              </w:rPr>
              <w:t>148</w:t>
            </w:r>
          </w:p>
        </w:tc>
        <w:tc>
          <w:tcPr>
            <w:tcW w:w="1713" w:type="pct"/>
            <w:vAlign w:val="center"/>
          </w:tcPr>
          <w:p w14:paraId="38C9327E">
            <w:pPr>
              <w:pStyle w:val="101"/>
              <w:jc w:val="center"/>
              <w:rPr>
                <w:rFonts w:hint="eastAsia" w:eastAsia="宋体"/>
                <w:color w:val="auto"/>
                <w:lang w:val="en-US" w:eastAsia="zh-CN"/>
              </w:rPr>
            </w:pPr>
            <w:r>
              <w:rPr>
                <w:rFonts w:hint="eastAsia" w:eastAsia="宋体"/>
                <w:color w:val="auto"/>
                <w:lang w:val="en-US" w:eastAsia="zh-CN"/>
              </w:rPr>
              <w:t>鹤岗市卫生计生综合监督执法局</w:t>
            </w:r>
          </w:p>
        </w:tc>
        <w:tc>
          <w:tcPr>
            <w:tcW w:w="1115" w:type="dxa"/>
            <w:gridSpan w:val="2"/>
            <w:vAlign w:val="bottom"/>
          </w:tcPr>
          <w:p w14:paraId="26D819AA">
            <w:pPr>
              <w:keepNext w:val="0"/>
              <w:keepLines w:val="0"/>
              <w:widowControl/>
              <w:suppressLineNumbers w:val="0"/>
              <w:jc w:val="center"/>
              <w:textAlignment w:val="bottom"/>
              <w:rPr>
                <w:rFonts w:hint="eastAsia" w:eastAsia="宋体"/>
                <w:color w:val="auto"/>
                <w:lang w:val="en-US" w:eastAsia="zh-CN"/>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3E7FE11A">
            <w:pPr>
              <w:pStyle w:val="101"/>
              <w:jc w:val="center"/>
              <w:rPr>
                <w:rFonts w:hint="eastAsia" w:eastAsia="宋体"/>
                <w:color w:val="auto"/>
                <w:lang w:val="en-US" w:eastAsia="zh-CN"/>
              </w:rPr>
            </w:pPr>
            <w:r>
              <w:rPr>
                <w:rFonts w:hint="eastAsia" w:eastAsia="宋体"/>
                <w:color w:val="auto"/>
                <w:lang w:val="en-US" w:eastAsia="zh-CN"/>
              </w:rPr>
              <w:t>3135</w:t>
            </w:r>
          </w:p>
        </w:tc>
        <w:tc>
          <w:tcPr>
            <w:tcW w:w="729" w:type="pct"/>
            <w:gridSpan w:val="2"/>
            <w:vAlign w:val="center"/>
          </w:tcPr>
          <w:p w14:paraId="2BF7F734">
            <w:pPr>
              <w:pStyle w:val="101"/>
              <w:jc w:val="center"/>
              <w:rPr>
                <w:rFonts w:hint="eastAsia" w:eastAsia="宋体"/>
                <w:color w:val="auto"/>
                <w:lang w:val="en-US" w:eastAsia="zh-CN"/>
              </w:rPr>
            </w:pPr>
            <w:r>
              <w:rPr>
                <w:rFonts w:hint="eastAsia" w:eastAsia="宋体"/>
                <w:color w:val="auto"/>
                <w:lang w:val="en-US" w:eastAsia="zh-CN"/>
              </w:rPr>
              <w:t>政府机构</w:t>
            </w:r>
          </w:p>
        </w:tc>
        <w:tc>
          <w:tcPr>
            <w:tcW w:w="591" w:type="pct"/>
            <w:vAlign w:val="center"/>
          </w:tcPr>
          <w:p w14:paraId="7269A913">
            <w:pPr>
              <w:pStyle w:val="101"/>
              <w:jc w:val="center"/>
              <w:rPr>
                <w:rFonts w:hint="eastAsia" w:eastAsia="宋体"/>
                <w:color w:val="auto"/>
                <w:lang w:val="en-US" w:eastAsia="zh-CN"/>
              </w:rPr>
            </w:pPr>
            <w:r>
              <w:rPr>
                <w:rFonts w:hint="eastAsia" w:eastAsia="宋体"/>
                <w:color w:val="auto"/>
                <w:lang w:val="en-US" w:eastAsia="zh-CN"/>
              </w:rPr>
              <w:t>60</w:t>
            </w:r>
          </w:p>
        </w:tc>
      </w:tr>
      <w:tr w14:paraId="3EFA4F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A312740">
            <w:pPr>
              <w:pStyle w:val="101"/>
              <w:jc w:val="center"/>
              <w:rPr>
                <w:color w:val="auto"/>
              </w:rPr>
            </w:pPr>
          </w:p>
        </w:tc>
        <w:tc>
          <w:tcPr>
            <w:tcW w:w="390" w:type="pct"/>
            <w:vAlign w:val="center"/>
          </w:tcPr>
          <w:p w14:paraId="4BB74A3D">
            <w:pPr>
              <w:pStyle w:val="101"/>
              <w:jc w:val="center"/>
              <w:rPr>
                <w:rFonts w:hint="eastAsia" w:eastAsia="宋体"/>
                <w:color w:val="auto"/>
                <w:lang w:val="en-US" w:eastAsia="zh-CN"/>
              </w:rPr>
            </w:pPr>
            <w:r>
              <w:rPr>
                <w:rFonts w:hint="eastAsia" w:eastAsia="宋体"/>
                <w:color w:val="auto"/>
                <w:lang w:val="en-US" w:eastAsia="zh-CN"/>
              </w:rPr>
              <w:t>149</w:t>
            </w:r>
          </w:p>
        </w:tc>
        <w:tc>
          <w:tcPr>
            <w:tcW w:w="1713" w:type="pct"/>
            <w:vAlign w:val="center"/>
          </w:tcPr>
          <w:p w14:paraId="330EC02F">
            <w:pPr>
              <w:pStyle w:val="101"/>
              <w:jc w:val="center"/>
              <w:rPr>
                <w:rFonts w:hint="eastAsia" w:eastAsia="宋体"/>
                <w:color w:val="auto"/>
                <w:lang w:val="en-US" w:eastAsia="zh-CN"/>
              </w:rPr>
            </w:pPr>
            <w:r>
              <w:rPr>
                <w:rFonts w:hint="eastAsia" w:eastAsia="宋体"/>
                <w:color w:val="auto"/>
                <w:lang w:val="en-US" w:eastAsia="zh-CN"/>
              </w:rPr>
              <w:t>中国卫生监督</w:t>
            </w:r>
          </w:p>
        </w:tc>
        <w:tc>
          <w:tcPr>
            <w:tcW w:w="1115" w:type="dxa"/>
            <w:gridSpan w:val="2"/>
            <w:vAlign w:val="bottom"/>
          </w:tcPr>
          <w:p w14:paraId="4B875C9D">
            <w:pPr>
              <w:keepNext w:val="0"/>
              <w:keepLines w:val="0"/>
              <w:widowControl/>
              <w:suppressLineNumbers w:val="0"/>
              <w:jc w:val="center"/>
              <w:textAlignment w:val="bottom"/>
              <w:rPr>
                <w:rFonts w:hint="eastAsia" w:eastAsia="宋体"/>
                <w:color w:val="auto"/>
                <w:lang w:val="en-US" w:eastAsia="zh-CN"/>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5E7153B0">
            <w:pPr>
              <w:pStyle w:val="101"/>
              <w:jc w:val="center"/>
              <w:rPr>
                <w:rFonts w:hint="eastAsia" w:eastAsia="宋体"/>
                <w:color w:val="auto"/>
                <w:lang w:val="en-US" w:eastAsia="zh-CN"/>
              </w:rPr>
            </w:pPr>
            <w:r>
              <w:rPr>
                <w:rFonts w:hint="eastAsia" w:eastAsia="宋体"/>
                <w:color w:val="auto"/>
                <w:lang w:val="en-US" w:eastAsia="zh-CN"/>
              </w:rPr>
              <w:t>3135</w:t>
            </w:r>
          </w:p>
        </w:tc>
        <w:tc>
          <w:tcPr>
            <w:tcW w:w="729" w:type="pct"/>
            <w:gridSpan w:val="2"/>
            <w:vAlign w:val="center"/>
          </w:tcPr>
          <w:p w14:paraId="3736BAAD">
            <w:pPr>
              <w:pStyle w:val="101"/>
              <w:jc w:val="center"/>
              <w:rPr>
                <w:rFonts w:hint="eastAsia" w:eastAsia="宋体"/>
                <w:color w:val="auto"/>
                <w:lang w:val="en-US" w:eastAsia="zh-CN"/>
              </w:rPr>
            </w:pPr>
            <w:r>
              <w:rPr>
                <w:rFonts w:hint="eastAsia" w:eastAsia="宋体"/>
                <w:color w:val="auto"/>
                <w:lang w:val="en-US" w:eastAsia="zh-CN"/>
              </w:rPr>
              <w:t>政府机构</w:t>
            </w:r>
          </w:p>
        </w:tc>
        <w:tc>
          <w:tcPr>
            <w:tcW w:w="591" w:type="pct"/>
            <w:vAlign w:val="center"/>
          </w:tcPr>
          <w:p w14:paraId="36550A4F">
            <w:pPr>
              <w:pStyle w:val="101"/>
              <w:jc w:val="center"/>
              <w:rPr>
                <w:rFonts w:hint="eastAsia" w:eastAsia="宋体"/>
                <w:color w:val="auto"/>
                <w:lang w:val="en-US" w:eastAsia="zh-CN"/>
              </w:rPr>
            </w:pPr>
            <w:r>
              <w:rPr>
                <w:rFonts w:hint="eastAsia" w:eastAsia="宋体"/>
                <w:color w:val="auto"/>
                <w:lang w:val="en-US" w:eastAsia="zh-CN"/>
              </w:rPr>
              <w:t>100</w:t>
            </w:r>
          </w:p>
        </w:tc>
      </w:tr>
      <w:tr w14:paraId="1B5043B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5FA2B1D">
            <w:pPr>
              <w:pStyle w:val="101"/>
              <w:jc w:val="center"/>
              <w:rPr>
                <w:color w:val="auto"/>
              </w:rPr>
            </w:pPr>
          </w:p>
        </w:tc>
        <w:tc>
          <w:tcPr>
            <w:tcW w:w="390" w:type="pct"/>
            <w:vAlign w:val="center"/>
          </w:tcPr>
          <w:p w14:paraId="2255AD4B">
            <w:pPr>
              <w:pStyle w:val="101"/>
              <w:jc w:val="center"/>
              <w:rPr>
                <w:rFonts w:hint="eastAsia" w:eastAsia="宋体"/>
                <w:color w:val="auto"/>
                <w:lang w:val="en-US" w:eastAsia="zh-CN"/>
              </w:rPr>
            </w:pPr>
            <w:r>
              <w:rPr>
                <w:rFonts w:hint="eastAsia" w:eastAsia="宋体"/>
                <w:color w:val="auto"/>
                <w:lang w:val="en-US" w:eastAsia="zh-CN"/>
              </w:rPr>
              <w:t>150</w:t>
            </w:r>
          </w:p>
        </w:tc>
        <w:tc>
          <w:tcPr>
            <w:tcW w:w="1713" w:type="pct"/>
            <w:vAlign w:val="center"/>
          </w:tcPr>
          <w:p w14:paraId="7D50EB97">
            <w:pPr>
              <w:pStyle w:val="101"/>
              <w:jc w:val="center"/>
              <w:rPr>
                <w:rFonts w:hint="eastAsia" w:eastAsia="宋体"/>
                <w:color w:val="auto"/>
                <w:lang w:val="en-US" w:eastAsia="zh-CN"/>
              </w:rPr>
            </w:pPr>
            <w:r>
              <w:rPr>
                <w:rFonts w:hint="eastAsia" w:eastAsia="宋体"/>
                <w:color w:val="auto"/>
                <w:lang w:val="en-US" w:eastAsia="zh-CN"/>
              </w:rPr>
              <w:t>工农区司法局第二司法所</w:t>
            </w:r>
          </w:p>
        </w:tc>
        <w:tc>
          <w:tcPr>
            <w:tcW w:w="1115" w:type="dxa"/>
            <w:gridSpan w:val="2"/>
            <w:vAlign w:val="bottom"/>
          </w:tcPr>
          <w:p w14:paraId="23D4FD90">
            <w:pPr>
              <w:keepNext w:val="0"/>
              <w:keepLines w:val="0"/>
              <w:widowControl/>
              <w:suppressLineNumbers w:val="0"/>
              <w:jc w:val="center"/>
              <w:textAlignment w:val="bottom"/>
              <w:rPr>
                <w:rFonts w:hint="eastAsia" w:eastAsia="宋体"/>
                <w:color w:val="auto"/>
                <w:lang w:val="en-US" w:eastAsia="zh-CN"/>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4596146A">
            <w:pPr>
              <w:pStyle w:val="101"/>
              <w:jc w:val="center"/>
              <w:rPr>
                <w:rFonts w:hint="eastAsia" w:eastAsia="宋体"/>
                <w:color w:val="auto"/>
                <w:lang w:val="en-US" w:eastAsia="zh-CN"/>
              </w:rPr>
            </w:pPr>
            <w:r>
              <w:rPr>
                <w:rFonts w:hint="eastAsia" w:eastAsia="宋体"/>
                <w:color w:val="auto"/>
                <w:lang w:val="en-US" w:eastAsia="zh-CN"/>
              </w:rPr>
              <w:t>3340</w:t>
            </w:r>
          </w:p>
        </w:tc>
        <w:tc>
          <w:tcPr>
            <w:tcW w:w="729" w:type="pct"/>
            <w:gridSpan w:val="2"/>
            <w:vAlign w:val="center"/>
          </w:tcPr>
          <w:p w14:paraId="1253A7E4">
            <w:pPr>
              <w:pStyle w:val="101"/>
              <w:jc w:val="center"/>
              <w:rPr>
                <w:rFonts w:hint="eastAsia" w:eastAsia="宋体"/>
                <w:color w:val="auto"/>
                <w:lang w:val="en-US" w:eastAsia="zh-CN"/>
              </w:rPr>
            </w:pPr>
            <w:r>
              <w:rPr>
                <w:rFonts w:hint="eastAsia" w:eastAsia="宋体"/>
                <w:color w:val="auto"/>
                <w:lang w:val="en-US" w:eastAsia="zh-CN"/>
              </w:rPr>
              <w:t>政府机构</w:t>
            </w:r>
          </w:p>
        </w:tc>
        <w:tc>
          <w:tcPr>
            <w:tcW w:w="591" w:type="pct"/>
            <w:vAlign w:val="center"/>
          </w:tcPr>
          <w:p w14:paraId="5C314556">
            <w:pPr>
              <w:pStyle w:val="101"/>
              <w:jc w:val="center"/>
              <w:rPr>
                <w:rFonts w:hint="eastAsia" w:eastAsia="宋体"/>
                <w:color w:val="auto"/>
                <w:lang w:val="en-US" w:eastAsia="zh-CN"/>
              </w:rPr>
            </w:pPr>
            <w:r>
              <w:rPr>
                <w:rFonts w:hint="eastAsia" w:eastAsia="宋体"/>
                <w:color w:val="auto"/>
                <w:lang w:val="en-US" w:eastAsia="zh-CN"/>
              </w:rPr>
              <w:t>110</w:t>
            </w:r>
          </w:p>
        </w:tc>
      </w:tr>
      <w:tr w14:paraId="3EF06A2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76787F6C">
            <w:pPr>
              <w:pStyle w:val="101"/>
              <w:jc w:val="center"/>
              <w:rPr>
                <w:color w:val="auto"/>
              </w:rPr>
            </w:pPr>
          </w:p>
        </w:tc>
        <w:tc>
          <w:tcPr>
            <w:tcW w:w="390" w:type="pct"/>
            <w:vAlign w:val="center"/>
          </w:tcPr>
          <w:p w14:paraId="485552A4">
            <w:pPr>
              <w:pStyle w:val="101"/>
              <w:jc w:val="center"/>
              <w:rPr>
                <w:rFonts w:hint="eastAsia" w:eastAsia="宋体"/>
                <w:color w:val="auto"/>
                <w:lang w:val="en-US" w:eastAsia="zh-CN"/>
              </w:rPr>
            </w:pPr>
            <w:r>
              <w:rPr>
                <w:rFonts w:hint="eastAsia" w:eastAsia="宋体"/>
                <w:color w:val="auto"/>
                <w:lang w:val="en-US" w:eastAsia="zh-CN"/>
              </w:rPr>
              <w:t>151</w:t>
            </w:r>
          </w:p>
        </w:tc>
        <w:tc>
          <w:tcPr>
            <w:tcW w:w="1713" w:type="pct"/>
            <w:vAlign w:val="center"/>
          </w:tcPr>
          <w:p w14:paraId="3A4A0E4B">
            <w:pPr>
              <w:pStyle w:val="101"/>
              <w:jc w:val="center"/>
              <w:rPr>
                <w:rFonts w:hint="eastAsia" w:eastAsia="宋体"/>
                <w:color w:val="auto"/>
                <w:lang w:val="en-US" w:eastAsia="zh-CN"/>
              </w:rPr>
            </w:pPr>
            <w:r>
              <w:rPr>
                <w:rFonts w:hint="eastAsia" w:eastAsia="宋体"/>
                <w:color w:val="auto"/>
                <w:lang w:val="en-US" w:eastAsia="zh-CN"/>
              </w:rPr>
              <w:t>鹤岗市工农清真寺管委会</w:t>
            </w:r>
          </w:p>
        </w:tc>
        <w:tc>
          <w:tcPr>
            <w:tcW w:w="1115" w:type="dxa"/>
            <w:gridSpan w:val="2"/>
            <w:vAlign w:val="bottom"/>
          </w:tcPr>
          <w:p w14:paraId="3778C8E7">
            <w:pPr>
              <w:keepNext w:val="0"/>
              <w:keepLines w:val="0"/>
              <w:widowControl/>
              <w:suppressLineNumbers w:val="0"/>
              <w:jc w:val="center"/>
              <w:textAlignment w:val="bottom"/>
              <w:rPr>
                <w:rFonts w:hint="eastAsia" w:eastAsia="宋体"/>
                <w:color w:val="auto"/>
                <w:lang w:val="en-US" w:eastAsia="zh-CN"/>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8C3AB8D">
            <w:pPr>
              <w:pStyle w:val="101"/>
              <w:jc w:val="center"/>
              <w:rPr>
                <w:rFonts w:hint="eastAsia" w:eastAsia="宋体"/>
                <w:color w:val="auto"/>
                <w:lang w:val="en-US" w:eastAsia="zh-CN"/>
              </w:rPr>
            </w:pPr>
            <w:r>
              <w:rPr>
                <w:rFonts w:hint="eastAsia" w:eastAsia="宋体"/>
                <w:color w:val="auto"/>
                <w:lang w:val="en-US" w:eastAsia="zh-CN"/>
              </w:rPr>
              <w:t>3350</w:t>
            </w:r>
          </w:p>
        </w:tc>
        <w:tc>
          <w:tcPr>
            <w:tcW w:w="729" w:type="pct"/>
            <w:gridSpan w:val="2"/>
            <w:vAlign w:val="center"/>
          </w:tcPr>
          <w:p w14:paraId="401889ED">
            <w:pPr>
              <w:pStyle w:val="101"/>
              <w:jc w:val="center"/>
              <w:rPr>
                <w:rFonts w:hint="eastAsia" w:eastAsia="宋体"/>
                <w:color w:val="auto"/>
                <w:lang w:val="en-US" w:eastAsia="zh-CN"/>
              </w:rPr>
            </w:pPr>
            <w:r>
              <w:rPr>
                <w:rFonts w:hint="eastAsia" w:eastAsia="宋体"/>
                <w:color w:val="auto"/>
                <w:lang w:val="en-US" w:eastAsia="zh-CN"/>
              </w:rPr>
              <w:t>政府机构</w:t>
            </w:r>
          </w:p>
        </w:tc>
        <w:tc>
          <w:tcPr>
            <w:tcW w:w="591" w:type="pct"/>
            <w:vAlign w:val="center"/>
          </w:tcPr>
          <w:p w14:paraId="60EA37CC">
            <w:pPr>
              <w:pStyle w:val="101"/>
              <w:jc w:val="center"/>
              <w:rPr>
                <w:rFonts w:hint="eastAsia" w:eastAsia="宋体"/>
                <w:color w:val="auto"/>
                <w:lang w:val="en-US" w:eastAsia="zh-CN"/>
              </w:rPr>
            </w:pPr>
            <w:r>
              <w:rPr>
                <w:rFonts w:hint="eastAsia" w:eastAsia="宋体"/>
                <w:color w:val="auto"/>
                <w:lang w:val="en-US" w:eastAsia="zh-CN"/>
              </w:rPr>
              <w:t>100</w:t>
            </w:r>
          </w:p>
        </w:tc>
      </w:tr>
      <w:tr w14:paraId="5604E25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5BA109CC">
            <w:pPr>
              <w:pStyle w:val="101"/>
              <w:jc w:val="center"/>
              <w:rPr>
                <w:color w:val="auto"/>
              </w:rPr>
            </w:pPr>
          </w:p>
        </w:tc>
        <w:tc>
          <w:tcPr>
            <w:tcW w:w="390" w:type="pct"/>
            <w:vAlign w:val="center"/>
          </w:tcPr>
          <w:p w14:paraId="475699C0">
            <w:pPr>
              <w:pStyle w:val="101"/>
              <w:jc w:val="center"/>
              <w:rPr>
                <w:rFonts w:hint="eastAsia" w:eastAsia="宋体"/>
                <w:color w:val="auto"/>
                <w:lang w:val="en-US" w:eastAsia="zh-CN"/>
              </w:rPr>
            </w:pPr>
            <w:r>
              <w:rPr>
                <w:rFonts w:hint="eastAsia" w:eastAsia="宋体"/>
                <w:color w:val="auto"/>
                <w:lang w:val="en-US" w:eastAsia="zh-CN"/>
              </w:rPr>
              <w:t>152</w:t>
            </w:r>
          </w:p>
        </w:tc>
        <w:tc>
          <w:tcPr>
            <w:tcW w:w="1713" w:type="pct"/>
            <w:vAlign w:val="center"/>
          </w:tcPr>
          <w:p w14:paraId="39291F0F">
            <w:pPr>
              <w:pStyle w:val="101"/>
              <w:jc w:val="center"/>
              <w:rPr>
                <w:rFonts w:hint="eastAsia" w:eastAsia="宋体"/>
                <w:color w:val="auto"/>
                <w:lang w:val="en-US" w:eastAsia="zh-CN"/>
              </w:rPr>
            </w:pPr>
            <w:r>
              <w:rPr>
                <w:rFonts w:hint="eastAsia" w:eastAsia="宋体"/>
                <w:color w:val="auto"/>
                <w:lang w:val="en-US" w:eastAsia="zh-CN"/>
              </w:rPr>
              <w:t>鹤岗市工农区团结街道办事处效能监测站</w:t>
            </w:r>
          </w:p>
        </w:tc>
        <w:tc>
          <w:tcPr>
            <w:tcW w:w="1115" w:type="dxa"/>
            <w:gridSpan w:val="2"/>
            <w:vAlign w:val="bottom"/>
          </w:tcPr>
          <w:p w14:paraId="69FF1F13">
            <w:pPr>
              <w:keepNext w:val="0"/>
              <w:keepLines w:val="0"/>
              <w:widowControl/>
              <w:suppressLineNumbers w:val="0"/>
              <w:jc w:val="center"/>
              <w:textAlignment w:val="bottom"/>
              <w:rPr>
                <w:rFonts w:hint="eastAsia" w:eastAsia="宋体"/>
                <w:color w:val="auto"/>
                <w:lang w:val="en-US" w:eastAsia="zh-CN"/>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6F9527F8">
            <w:pPr>
              <w:pStyle w:val="101"/>
              <w:jc w:val="center"/>
              <w:rPr>
                <w:rFonts w:hint="eastAsia" w:eastAsia="宋体"/>
                <w:color w:val="auto"/>
                <w:lang w:val="en-US" w:eastAsia="zh-CN"/>
              </w:rPr>
            </w:pPr>
            <w:r>
              <w:rPr>
                <w:rFonts w:hint="eastAsia" w:eastAsia="宋体"/>
                <w:color w:val="auto"/>
                <w:lang w:val="en-US" w:eastAsia="zh-CN"/>
              </w:rPr>
              <w:t>3360</w:t>
            </w:r>
          </w:p>
        </w:tc>
        <w:tc>
          <w:tcPr>
            <w:tcW w:w="729" w:type="pct"/>
            <w:gridSpan w:val="2"/>
            <w:vAlign w:val="center"/>
          </w:tcPr>
          <w:p w14:paraId="7B0D51CC">
            <w:pPr>
              <w:pStyle w:val="101"/>
              <w:jc w:val="center"/>
              <w:rPr>
                <w:rFonts w:hint="eastAsia" w:eastAsia="宋体"/>
                <w:color w:val="auto"/>
                <w:lang w:val="en-US" w:eastAsia="zh-CN"/>
              </w:rPr>
            </w:pPr>
            <w:r>
              <w:rPr>
                <w:rFonts w:hint="eastAsia" w:eastAsia="宋体"/>
                <w:color w:val="auto"/>
                <w:lang w:val="en-US" w:eastAsia="zh-CN"/>
              </w:rPr>
              <w:t>政府机构</w:t>
            </w:r>
          </w:p>
        </w:tc>
        <w:tc>
          <w:tcPr>
            <w:tcW w:w="591" w:type="pct"/>
            <w:vAlign w:val="center"/>
          </w:tcPr>
          <w:p w14:paraId="7B6EE330">
            <w:pPr>
              <w:pStyle w:val="101"/>
              <w:jc w:val="center"/>
              <w:rPr>
                <w:rFonts w:hint="eastAsia" w:eastAsia="宋体"/>
                <w:color w:val="auto"/>
                <w:lang w:val="en-US" w:eastAsia="zh-CN"/>
              </w:rPr>
            </w:pPr>
            <w:r>
              <w:rPr>
                <w:rFonts w:hint="eastAsia" w:eastAsia="宋体"/>
                <w:color w:val="auto"/>
                <w:lang w:val="en-US" w:eastAsia="zh-CN"/>
              </w:rPr>
              <w:t>50</w:t>
            </w:r>
          </w:p>
        </w:tc>
      </w:tr>
      <w:tr w14:paraId="6B30F7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C87A2B7">
            <w:pPr>
              <w:pStyle w:val="101"/>
              <w:jc w:val="center"/>
              <w:rPr>
                <w:color w:val="auto"/>
              </w:rPr>
            </w:pPr>
          </w:p>
        </w:tc>
        <w:tc>
          <w:tcPr>
            <w:tcW w:w="390" w:type="pct"/>
            <w:vAlign w:val="center"/>
          </w:tcPr>
          <w:p w14:paraId="5B5DDE68">
            <w:pPr>
              <w:pStyle w:val="101"/>
              <w:jc w:val="center"/>
              <w:rPr>
                <w:rFonts w:hint="eastAsia" w:eastAsia="宋体"/>
                <w:color w:val="auto"/>
                <w:lang w:val="en-US" w:eastAsia="zh-CN"/>
              </w:rPr>
            </w:pPr>
            <w:r>
              <w:rPr>
                <w:rFonts w:hint="eastAsia" w:eastAsia="宋体"/>
                <w:color w:val="auto"/>
                <w:lang w:val="en-US" w:eastAsia="zh-CN"/>
              </w:rPr>
              <w:t>153</w:t>
            </w:r>
          </w:p>
        </w:tc>
        <w:tc>
          <w:tcPr>
            <w:tcW w:w="1713" w:type="pct"/>
            <w:vAlign w:val="center"/>
          </w:tcPr>
          <w:p w14:paraId="1A4DEE78">
            <w:pPr>
              <w:pStyle w:val="101"/>
              <w:jc w:val="center"/>
              <w:rPr>
                <w:rFonts w:hint="eastAsia" w:eastAsia="宋体"/>
                <w:color w:val="auto"/>
                <w:lang w:val="en-US" w:eastAsia="zh-CN"/>
              </w:rPr>
            </w:pPr>
            <w:r>
              <w:rPr>
                <w:rFonts w:hint="eastAsia" w:eastAsia="宋体"/>
                <w:color w:val="auto"/>
                <w:lang w:val="en-US" w:eastAsia="zh-CN"/>
              </w:rPr>
              <w:t>鹤岗市食品药品监督管理稽查支队</w:t>
            </w:r>
          </w:p>
        </w:tc>
        <w:tc>
          <w:tcPr>
            <w:tcW w:w="1115" w:type="dxa"/>
            <w:gridSpan w:val="2"/>
            <w:vAlign w:val="bottom"/>
          </w:tcPr>
          <w:p w14:paraId="5BF25616">
            <w:pPr>
              <w:keepNext w:val="0"/>
              <w:keepLines w:val="0"/>
              <w:widowControl/>
              <w:suppressLineNumbers w:val="0"/>
              <w:jc w:val="center"/>
              <w:textAlignment w:val="bottom"/>
              <w:rPr>
                <w:rFonts w:hint="eastAsia" w:eastAsia="宋体"/>
                <w:color w:val="auto"/>
                <w:lang w:val="en-US" w:eastAsia="zh-CN"/>
              </w:rPr>
            </w:pPr>
            <w:r>
              <w:rPr>
                <w:rFonts w:hint="eastAsia" w:ascii="宋体" w:hAnsi="宋体" w:eastAsia="宋体" w:cs="宋体"/>
                <w:i w:val="0"/>
                <w:iCs w:val="0"/>
                <w:color w:val="auto"/>
                <w:kern w:val="0"/>
                <w:sz w:val="21"/>
                <w:szCs w:val="21"/>
                <w:u w:val="none"/>
                <w:lang w:val="en-US" w:eastAsia="zh-CN" w:bidi="ar"/>
              </w:rPr>
              <w:t>西北</w:t>
            </w:r>
          </w:p>
        </w:tc>
        <w:tc>
          <w:tcPr>
            <w:tcW w:w="592" w:type="pct"/>
            <w:vAlign w:val="center"/>
          </w:tcPr>
          <w:p w14:paraId="235D5D58">
            <w:pPr>
              <w:pStyle w:val="101"/>
              <w:jc w:val="center"/>
              <w:rPr>
                <w:rFonts w:hint="eastAsia" w:eastAsia="宋体"/>
                <w:color w:val="auto"/>
                <w:lang w:val="en-US" w:eastAsia="zh-CN"/>
              </w:rPr>
            </w:pPr>
            <w:r>
              <w:rPr>
                <w:rFonts w:hint="eastAsia" w:eastAsia="宋体"/>
                <w:color w:val="auto"/>
                <w:lang w:val="en-US" w:eastAsia="zh-CN"/>
              </w:rPr>
              <w:t>3425</w:t>
            </w:r>
          </w:p>
        </w:tc>
        <w:tc>
          <w:tcPr>
            <w:tcW w:w="729" w:type="pct"/>
            <w:gridSpan w:val="2"/>
            <w:vAlign w:val="center"/>
          </w:tcPr>
          <w:p w14:paraId="02172B3C">
            <w:pPr>
              <w:pStyle w:val="101"/>
              <w:jc w:val="center"/>
              <w:rPr>
                <w:rFonts w:hint="eastAsia" w:eastAsia="宋体"/>
                <w:color w:val="auto"/>
                <w:lang w:val="en-US" w:eastAsia="zh-CN"/>
              </w:rPr>
            </w:pPr>
            <w:r>
              <w:rPr>
                <w:rFonts w:hint="eastAsia" w:eastAsia="宋体"/>
                <w:color w:val="auto"/>
                <w:lang w:val="en-US" w:eastAsia="zh-CN"/>
              </w:rPr>
              <w:t>政府机构</w:t>
            </w:r>
          </w:p>
        </w:tc>
        <w:tc>
          <w:tcPr>
            <w:tcW w:w="591" w:type="pct"/>
            <w:vAlign w:val="center"/>
          </w:tcPr>
          <w:p w14:paraId="2BF557F3">
            <w:pPr>
              <w:pStyle w:val="101"/>
              <w:jc w:val="center"/>
              <w:rPr>
                <w:rFonts w:hint="eastAsia" w:eastAsia="宋体"/>
                <w:color w:val="auto"/>
                <w:lang w:val="en-US" w:eastAsia="zh-CN"/>
              </w:rPr>
            </w:pPr>
            <w:r>
              <w:rPr>
                <w:rFonts w:hint="eastAsia" w:eastAsia="宋体"/>
                <w:color w:val="auto"/>
                <w:lang w:val="en-US" w:eastAsia="zh-CN"/>
              </w:rPr>
              <w:t>40</w:t>
            </w:r>
          </w:p>
        </w:tc>
      </w:tr>
      <w:tr w14:paraId="6DA00B0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378D9467">
            <w:pPr>
              <w:pStyle w:val="101"/>
              <w:jc w:val="center"/>
              <w:rPr>
                <w:color w:val="auto"/>
              </w:rPr>
            </w:pPr>
          </w:p>
        </w:tc>
        <w:tc>
          <w:tcPr>
            <w:tcW w:w="4040" w:type="pct"/>
            <w:gridSpan w:val="7"/>
            <w:vAlign w:val="center"/>
          </w:tcPr>
          <w:p w14:paraId="3B7BD7FF">
            <w:pPr>
              <w:pStyle w:val="101"/>
              <w:jc w:val="center"/>
              <w:rPr>
                <w:color w:val="auto"/>
              </w:rPr>
            </w:pPr>
            <w:r>
              <w:rPr>
                <w:color w:val="auto"/>
              </w:rPr>
              <w:t>厂址周边500m范围内人口数小计</w:t>
            </w:r>
          </w:p>
        </w:tc>
        <w:tc>
          <w:tcPr>
            <w:tcW w:w="1071" w:type="dxa"/>
            <w:vAlign w:val="bottom"/>
          </w:tcPr>
          <w:p w14:paraId="0548F6E6">
            <w:pPr>
              <w:pStyle w:val="101"/>
              <w:jc w:val="center"/>
              <w:rPr>
                <w:rFonts w:hint="eastAsia" w:eastAsia="宋体"/>
                <w:color w:val="auto"/>
                <w:lang w:val="en-US" w:eastAsia="zh-CN"/>
              </w:rPr>
            </w:pPr>
            <w:r>
              <w:rPr>
                <w:rFonts w:hint="eastAsia" w:eastAsia="宋体"/>
                <w:color w:val="auto"/>
                <w:lang w:val="en-US" w:eastAsia="zh-CN"/>
              </w:rPr>
              <w:t>6110</w:t>
            </w:r>
          </w:p>
        </w:tc>
      </w:tr>
      <w:tr w14:paraId="380B0AD4">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CB20B83">
            <w:pPr>
              <w:pStyle w:val="101"/>
              <w:jc w:val="center"/>
              <w:rPr>
                <w:color w:val="auto"/>
              </w:rPr>
            </w:pPr>
          </w:p>
        </w:tc>
        <w:tc>
          <w:tcPr>
            <w:tcW w:w="4040" w:type="pct"/>
            <w:gridSpan w:val="7"/>
            <w:vAlign w:val="center"/>
          </w:tcPr>
          <w:p w14:paraId="1A8966E9">
            <w:pPr>
              <w:pStyle w:val="101"/>
              <w:jc w:val="center"/>
              <w:rPr>
                <w:color w:val="auto"/>
              </w:rPr>
            </w:pPr>
            <w:r>
              <w:rPr>
                <w:color w:val="auto"/>
              </w:rPr>
              <w:t>厂址周边5km范围内人口数小计</w:t>
            </w:r>
          </w:p>
        </w:tc>
        <w:tc>
          <w:tcPr>
            <w:tcW w:w="1071" w:type="dxa"/>
            <w:vAlign w:val="bottom"/>
          </w:tcPr>
          <w:p w14:paraId="364256B9">
            <w:pPr>
              <w:pStyle w:val="101"/>
              <w:jc w:val="center"/>
              <w:rPr>
                <w:rFonts w:hint="eastAsia" w:eastAsia="宋体"/>
                <w:color w:val="auto"/>
                <w:lang w:val="en-US" w:eastAsia="zh-CN"/>
              </w:rPr>
            </w:pPr>
            <w:r>
              <w:rPr>
                <w:rFonts w:hint="eastAsia" w:eastAsia="宋体"/>
                <w:color w:val="auto"/>
                <w:lang w:val="en-US" w:eastAsia="zh-CN"/>
              </w:rPr>
              <w:t>258864</w:t>
            </w:r>
          </w:p>
        </w:tc>
      </w:tr>
      <w:tr w14:paraId="0962DDF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restart"/>
            <w:vAlign w:val="center"/>
          </w:tcPr>
          <w:p w14:paraId="05DFC1F6">
            <w:pPr>
              <w:pStyle w:val="101"/>
              <w:jc w:val="center"/>
              <w:rPr>
                <w:color w:val="auto"/>
              </w:rPr>
            </w:pPr>
            <w:r>
              <w:rPr>
                <w:color w:val="auto"/>
              </w:rPr>
              <w:t>地表水</w:t>
            </w:r>
          </w:p>
        </w:tc>
        <w:tc>
          <w:tcPr>
            <w:tcW w:w="4631" w:type="pct"/>
            <w:gridSpan w:val="8"/>
            <w:vAlign w:val="center"/>
          </w:tcPr>
          <w:p w14:paraId="487CFE0D">
            <w:pPr>
              <w:pStyle w:val="101"/>
              <w:jc w:val="center"/>
              <w:rPr>
                <w:color w:val="auto"/>
              </w:rPr>
            </w:pPr>
            <w:r>
              <w:rPr>
                <w:color w:val="auto"/>
              </w:rPr>
              <w:t>受纳水体</w:t>
            </w:r>
          </w:p>
        </w:tc>
      </w:tr>
      <w:tr w14:paraId="2A1B420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20D20432">
            <w:pPr>
              <w:pStyle w:val="101"/>
              <w:jc w:val="center"/>
              <w:rPr>
                <w:color w:val="auto"/>
              </w:rPr>
            </w:pPr>
          </w:p>
        </w:tc>
        <w:tc>
          <w:tcPr>
            <w:tcW w:w="390" w:type="pct"/>
            <w:vAlign w:val="center"/>
          </w:tcPr>
          <w:p w14:paraId="798E5F48">
            <w:pPr>
              <w:pStyle w:val="101"/>
              <w:jc w:val="center"/>
              <w:rPr>
                <w:color w:val="auto"/>
              </w:rPr>
            </w:pPr>
            <w:r>
              <w:rPr>
                <w:color w:val="auto"/>
              </w:rPr>
              <w:t>序号</w:t>
            </w:r>
          </w:p>
        </w:tc>
        <w:tc>
          <w:tcPr>
            <w:tcW w:w="1713" w:type="pct"/>
            <w:vAlign w:val="center"/>
          </w:tcPr>
          <w:p w14:paraId="6291170A">
            <w:pPr>
              <w:pStyle w:val="101"/>
              <w:jc w:val="center"/>
              <w:rPr>
                <w:color w:val="auto"/>
              </w:rPr>
            </w:pPr>
            <w:r>
              <w:rPr>
                <w:color w:val="auto"/>
              </w:rPr>
              <w:t>受纳水体名称</w:t>
            </w:r>
          </w:p>
        </w:tc>
        <w:tc>
          <w:tcPr>
            <w:tcW w:w="1208" w:type="pct"/>
            <w:gridSpan w:val="3"/>
            <w:vAlign w:val="center"/>
          </w:tcPr>
          <w:p w14:paraId="09447536">
            <w:pPr>
              <w:pStyle w:val="101"/>
              <w:jc w:val="center"/>
              <w:rPr>
                <w:color w:val="auto"/>
              </w:rPr>
            </w:pPr>
            <w:r>
              <w:rPr>
                <w:color w:val="auto"/>
              </w:rPr>
              <w:t>排放点水域环境功能</w:t>
            </w:r>
          </w:p>
        </w:tc>
        <w:tc>
          <w:tcPr>
            <w:tcW w:w="1320" w:type="pct"/>
            <w:gridSpan w:val="3"/>
            <w:vAlign w:val="center"/>
          </w:tcPr>
          <w:p w14:paraId="7274757E">
            <w:pPr>
              <w:pStyle w:val="101"/>
              <w:jc w:val="center"/>
              <w:rPr>
                <w:color w:val="auto"/>
              </w:rPr>
            </w:pPr>
            <w:r>
              <w:rPr>
                <w:color w:val="auto"/>
              </w:rPr>
              <w:t>24h内流经范围/km</w:t>
            </w:r>
          </w:p>
        </w:tc>
      </w:tr>
      <w:tr w14:paraId="05F8873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6D57530F">
            <w:pPr>
              <w:pStyle w:val="101"/>
              <w:jc w:val="center"/>
              <w:rPr>
                <w:color w:val="auto"/>
              </w:rPr>
            </w:pPr>
          </w:p>
        </w:tc>
        <w:tc>
          <w:tcPr>
            <w:tcW w:w="390" w:type="pct"/>
            <w:vAlign w:val="center"/>
          </w:tcPr>
          <w:p w14:paraId="1F72CFDD">
            <w:pPr>
              <w:pStyle w:val="101"/>
              <w:jc w:val="center"/>
              <w:rPr>
                <w:color w:val="auto"/>
              </w:rPr>
            </w:pPr>
            <w:r>
              <w:rPr>
                <w:color w:val="auto"/>
              </w:rPr>
              <w:t>1</w:t>
            </w:r>
          </w:p>
        </w:tc>
        <w:tc>
          <w:tcPr>
            <w:tcW w:w="1713" w:type="pct"/>
            <w:vAlign w:val="center"/>
          </w:tcPr>
          <w:p w14:paraId="0B8E5027">
            <w:pPr>
              <w:pStyle w:val="101"/>
              <w:jc w:val="center"/>
              <w:rPr>
                <w:color w:val="auto"/>
              </w:rPr>
            </w:pPr>
            <w:r>
              <w:rPr>
                <w:rFonts w:hint="eastAsia"/>
                <w:color w:val="auto"/>
              </w:rPr>
              <w:t>无</w:t>
            </w:r>
          </w:p>
        </w:tc>
        <w:tc>
          <w:tcPr>
            <w:tcW w:w="1208" w:type="pct"/>
            <w:gridSpan w:val="3"/>
            <w:vAlign w:val="center"/>
          </w:tcPr>
          <w:p w14:paraId="2B9CC49A">
            <w:pPr>
              <w:pStyle w:val="101"/>
              <w:jc w:val="center"/>
              <w:rPr>
                <w:color w:val="auto"/>
              </w:rPr>
            </w:pPr>
            <w:r>
              <w:rPr>
                <w:color w:val="auto"/>
              </w:rPr>
              <w:t>/</w:t>
            </w:r>
          </w:p>
        </w:tc>
        <w:tc>
          <w:tcPr>
            <w:tcW w:w="1320" w:type="pct"/>
            <w:gridSpan w:val="3"/>
            <w:vAlign w:val="center"/>
          </w:tcPr>
          <w:p w14:paraId="0A41B1D9">
            <w:pPr>
              <w:pStyle w:val="101"/>
              <w:jc w:val="center"/>
              <w:rPr>
                <w:color w:val="auto"/>
              </w:rPr>
            </w:pPr>
            <w:r>
              <w:rPr>
                <w:rFonts w:hint="eastAsia"/>
                <w:color w:val="auto"/>
              </w:rPr>
              <w:t>/</w:t>
            </w:r>
          </w:p>
        </w:tc>
      </w:tr>
      <w:tr w14:paraId="692DA1E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FE4CF5F">
            <w:pPr>
              <w:pStyle w:val="101"/>
              <w:jc w:val="center"/>
              <w:rPr>
                <w:color w:val="auto"/>
              </w:rPr>
            </w:pPr>
          </w:p>
        </w:tc>
        <w:tc>
          <w:tcPr>
            <w:tcW w:w="4631" w:type="pct"/>
            <w:gridSpan w:val="8"/>
            <w:vAlign w:val="center"/>
          </w:tcPr>
          <w:p w14:paraId="2ADE4753">
            <w:pPr>
              <w:pStyle w:val="101"/>
              <w:jc w:val="center"/>
              <w:rPr>
                <w:color w:val="auto"/>
              </w:rPr>
            </w:pPr>
            <w:r>
              <w:rPr>
                <w:color w:val="auto"/>
              </w:rPr>
              <w:t>内陆水体排放点下游10km范围内敏感目标</w:t>
            </w:r>
          </w:p>
        </w:tc>
      </w:tr>
      <w:tr w14:paraId="6E7EE85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E7C7FCB">
            <w:pPr>
              <w:pStyle w:val="101"/>
              <w:jc w:val="center"/>
              <w:rPr>
                <w:color w:val="auto"/>
              </w:rPr>
            </w:pPr>
          </w:p>
        </w:tc>
        <w:tc>
          <w:tcPr>
            <w:tcW w:w="390" w:type="pct"/>
            <w:vAlign w:val="center"/>
          </w:tcPr>
          <w:p w14:paraId="6A56FC7E">
            <w:pPr>
              <w:pStyle w:val="101"/>
              <w:jc w:val="center"/>
              <w:rPr>
                <w:color w:val="auto"/>
              </w:rPr>
            </w:pPr>
            <w:r>
              <w:rPr>
                <w:color w:val="auto"/>
              </w:rPr>
              <w:t>序号</w:t>
            </w:r>
          </w:p>
        </w:tc>
        <w:tc>
          <w:tcPr>
            <w:tcW w:w="1713" w:type="pct"/>
            <w:vAlign w:val="center"/>
          </w:tcPr>
          <w:p w14:paraId="702F6B37">
            <w:pPr>
              <w:pStyle w:val="101"/>
              <w:jc w:val="center"/>
              <w:rPr>
                <w:color w:val="auto"/>
              </w:rPr>
            </w:pPr>
            <w:r>
              <w:rPr>
                <w:color w:val="auto"/>
              </w:rPr>
              <w:t>敏感目标名称</w:t>
            </w:r>
          </w:p>
        </w:tc>
        <w:tc>
          <w:tcPr>
            <w:tcW w:w="300" w:type="pct"/>
            <w:vAlign w:val="center"/>
          </w:tcPr>
          <w:p w14:paraId="58FB7FE2">
            <w:pPr>
              <w:pStyle w:val="101"/>
              <w:jc w:val="center"/>
              <w:rPr>
                <w:color w:val="auto"/>
              </w:rPr>
            </w:pPr>
            <w:r>
              <w:rPr>
                <w:color w:val="auto"/>
              </w:rPr>
              <w:t>环境敏感特征</w:t>
            </w:r>
          </w:p>
        </w:tc>
        <w:tc>
          <w:tcPr>
            <w:tcW w:w="1113" w:type="pct"/>
            <w:gridSpan w:val="3"/>
            <w:vAlign w:val="center"/>
          </w:tcPr>
          <w:p w14:paraId="0AA9EE89">
            <w:pPr>
              <w:pStyle w:val="101"/>
              <w:jc w:val="center"/>
              <w:rPr>
                <w:color w:val="auto"/>
              </w:rPr>
            </w:pPr>
            <w:r>
              <w:rPr>
                <w:color w:val="auto"/>
              </w:rPr>
              <w:t>水质目标</w:t>
            </w:r>
          </w:p>
        </w:tc>
        <w:tc>
          <w:tcPr>
            <w:tcW w:w="1114" w:type="pct"/>
            <w:gridSpan w:val="2"/>
            <w:vAlign w:val="center"/>
          </w:tcPr>
          <w:p w14:paraId="6ECBDCA8">
            <w:pPr>
              <w:pStyle w:val="101"/>
              <w:jc w:val="center"/>
              <w:rPr>
                <w:color w:val="auto"/>
              </w:rPr>
            </w:pPr>
            <w:r>
              <w:rPr>
                <w:color w:val="auto"/>
              </w:rPr>
              <w:t>与排放点距离/m</w:t>
            </w:r>
          </w:p>
        </w:tc>
      </w:tr>
      <w:tr w14:paraId="3751EC4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0A7B85B3">
            <w:pPr>
              <w:pStyle w:val="101"/>
              <w:jc w:val="center"/>
              <w:rPr>
                <w:color w:val="auto"/>
              </w:rPr>
            </w:pPr>
          </w:p>
        </w:tc>
        <w:tc>
          <w:tcPr>
            <w:tcW w:w="390" w:type="pct"/>
            <w:vAlign w:val="center"/>
          </w:tcPr>
          <w:p w14:paraId="3736428B">
            <w:pPr>
              <w:pStyle w:val="101"/>
              <w:jc w:val="center"/>
              <w:rPr>
                <w:color w:val="auto"/>
              </w:rPr>
            </w:pPr>
            <w:r>
              <w:rPr>
                <w:color w:val="auto"/>
              </w:rPr>
              <w:t>/</w:t>
            </w:r>
          </w:p>
        </w:tc>
        <w:tc>
          <w:tcPr>
            <w:tcW w:w="1713" w:type="pct"/>
            <w:vAlign w:val="center"/>
          </w:tcPr>
          <w:p w14:paraId="3E220FCE">
            <w:pPr>
              <w:pStyle w:val="101"/>
              <w:jc w:val="center"/>
              <w:rPr>
                <w:color w:val="auto"/>
              </w:rPr>
            </w:pPr>
            <w:r>
              <w:rPr>
                <w:color w:val="auto"/>
              </w:rPr>
              <w:t>/</w:t>
            </w:r>
          </w:p>
        </w:tc>
        <w:tc>
          <w:tcPr>
            <w:tcW w:w="300" w:type="pct"/>
            <w:vAlign w:val="center"/>
          </w:tcPr>
          <w:p w14:paraId="0B5F6D3E">
            <w:pPr>
              <w:pStyle w:val="101"/>
              <w:jc w:val="center"/>
              <w:rPr>
                <w:color w:val="auto"/>
              </w:rPr>
            </w:pPr>
            <w:r>
              <w:rPr>
                <w:color w:val="auto"/>
              </w:rPr>
              <w:t>/</w:t>
            </w:r>
          </w:p>
        </w:tc>
        <w:tc>
          <w:tcPr>
            <w:tcW w:w="1113" w:type="pct"/>
            <w:gridSpan w:val="3"/>
            <w:vAlign w:val="center"/>
          </w:tcPr>
          <w:p w14:paraId="0D17ED19">
            <w:pPr>
              <w:pStyle w:val="101"/>
              <w:jc w:val="center"/>
              <w:rPr>
                <w:color w:val="auto"/>
              </w:rPr>
            </w:pPr>
            <w:r>
              <w:rPr>
                <w:color w:val="auto"/>
              </w:rPr>
              <w:t>/</w:t>
            </w:r>
          </w:p>
        </w:tc>
        <w:tc>
          <w:tcPr>
            <w:tcW w:w="1114" w:type="pct"/>
            <w:gridSpan w:val="2"/>
            <w:vAlign w:val="center"/>
          </w:tcPr>
          <w:p w14:paraId="5757F5F2">
            <w:pPr>
              <w:pStyle w:val="101"/>
              <w:jc w:val="center"/>
              <w:rPr>
                <w:color w:val="auto"/>
              </w:rPr>
            </w:pPr>
            <w:r>
              <w:rPr>
                <w:color w:val="auto"/>
              </w:rPr>
              <w:t>/</w:t>
            </w:r>
          </w:p>
        </w:tc>
      </w:tr>
      <w:tr w14:paraId="2920DED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restart"/>
            <w:vAlign w:val="center"/>
          </w:tcPr>
          <w:p w14:paraId="2E7AC2A7">
            <w:pPr>
              <w:pStyle w:val="101"/>
              <w:jc w:val="center"/>
              <w:rPr>
                <w:color w:val="auto"/>
              </w:rPr>
            </w:pPr>
            <w:r>
              <w:rPr>
                <w:color w:val="auto"/>
              </w:rPr>
              <w:t>地下水</w:t>
            </w:r>
          </w:p>
        </w:tc>
        <w:tc>
          <w:tcPr>
            <w:tcW w:w="390" w:type="pct"/>
            <w:vAlign w:val="center"/>
          </w:tcPr>
          <w:p w14:paraId="0FEFC573">
            <w:pPr>
              <w:pStyle w:val="101"/>
              <w:jc w:val="center"/>
              <w:rPr>
                <w:color w:val="auto"/>
              </w:rPr>
            </w:pPr>
            <w:r>
              <w:rPr>
                <w:color w:val="auto"/>
              </w:rPr>
              <w:t>序号</w:t>
            </w:r>
          </w:p>
        </w:tc>
        <w:tc>
          <w:tcPr>
            <w:tcW w:w="1713" w:type="pct"/>
            <w:vAlign w:val="center"/>
          </w:tcPr>
          <w:p w14:paraId="2CAF4EAC">
            <w:pPr>
              <w:pStyle w:val="101"/>
              <w:jc w:val="center"/>
              <w:rPr>
                <w:color w:val="auto"/>
              </w:rPr>
            </w:pPr>
            <w:r>
              <w:rPr>
                <w:rFonts w:hint="eastAsia"/>
                <w:color w:val="auto"/>
              </w:rPr>
              <w:t>环境敏感区名称</w:t>
            </w:r>
          </w:p>
        </w:tc>
        <w:tc>
          <w:tcPr>
            <w:tcW w:w="300" w:type="pct"/>
            <w:vAlign w:val="center"/>
          </w:tcPr>
          <w:p w14:paraId="545C6E11">
            <w:pPr>
              <w:pStyle w:val="101"/>
              <w:jc w:val="center"/>
              <w:rPr>
                <w:color w:val="auto"/>
              </w:rPr>
            </w:pPr>
            <w:r>
              <w:rPr>
                <w:rFonts w:hint="eastAsia"/>
                <w:color w:val="auto"/>
              </w:rPr>
              <w:t>环境敏感特征</w:t>
            </w:r>
          </w:p>
        </w:tc>
        <w:tc>
          <w:tcPr>
            <w:tcW w:w="1113" w:type="pct"/>
            <w:gridSpan w:val="3"/>
            <w:vAlign w:val="center"/>
          </w:tcPr>
          <w:p w14:paraId="41E9DAD2">
            <w:pPr>
              <w:pStyle w:val="101"/>
              <w:jc w:val="center"/>
              <w:rPr>
                <w:color w:val="auto"/>
              </w:rPr>
            </w:pPr>
            <w:r>
              <w:rPr>
                <w:rFonts w:hint="eastAsia"/>
                <w:color w:val="auto"/>
              </w:rPr>
              <w:t>水质目标</w:t>
            </w:r>
          </w:p>
        </w:tc>
        <w:tc>
          <w:tcPr>
            <w:tcW w:w="1114" w:type="pct"/>
            <w:gridSpan w:val="2"/>
            <w:vAlign w:val="center"/>
          </w:tcPr>
          <w:p w14:paraId="5900598D">
            <w:pPr>
              <w:pStyle w:val="101"/>
              <w:jc w:val="center"/>
              <w:rPr>
                <w:color w:val="auto"/>
              </w:rPr>
            </w:pPr>
            <w:r>
              <w:rPr>
                <w:rFonts w:hint="eastAsia"/>
                <w:color w:val="auto"/>
              </w:rPr>
              <w:t>与下游厂界距离</w:t>
            </w:r>
            <w:r>
              <w:rPr>
                <w:color w:val="auto"/>
              </w:rPr>
              <w:t>/m</w:t>
            </w:r>
          </w:p>
        </w:tc>
      </w:tr>
      <w:tr w14:paraId="51F54C2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368" w:type="pct"/>
            <w:vMerge w:val="continue"/>
            <w:vAlign w:val="center"/>
          </w:tcPr>
          <w:p w14:paraId="157C48BE">
            <w:pPr>
              <w:pStyle w:val="101"/>
              <w:jc w:val="center"/>
              <w:rPr>
                <w:color w:val="auto"/>
              </w:rPr>
            </w:pPr>
          </w:p>
        </w:tc>
        <w:tc>
          <w:tcPr>
            <w:tcW w:w="390" w:type="pct"/>
            <w:vAlign w:val="center"/>
          </w:tcPr>
          <w:p w14:paraId="639A88FA">
            <w:pPr>
              <w:pStyle w:val="101"/>
              <w:jc w:val="center"/>
              <w:rPr>
                <w:color w:val="auto"/>
              </w:rPr>
            </w:pPr>
            <w:r>
              <w:rPr>
                <w:color w:val="auto"/>
              </w:rPr>
              <w:t>1</w:t>
            </w:r>
          </w:p>
        </w:tc>
        <w:tc>
          <w:tcPr>
            <w:tcW w:w="1713" w:type="pct"/>
            <w:vAlign w:val="center"/>
          </w:tcPr>
          <w:p w14:paraId="7B34622B">
            <w:pPr>
              <w:pStyle w:val="101"/>
              <w:jc w:val="center"/>
              <w:rPr>
                <w:color w:val="auto"/>
              </w:rPr>
            </w:pPr>
            <w:r>
              <w:rPr>
                <w:rFonts w:hint="eastAsia"/>
                <w:color w:val="auto"/>
              </w:rPr>
              <w:t>无</w:t>
            </w:r>
          </w:p>
        </w:tc>
        <w:tc>
          <w:tcPr>
            <w:tcW w:w="300" w:type="pct"/>
            <w:vAlign w:val="center"/>
          </w:tcPr>
          <w:p w14:paraId="3249CEBB">
            <w:pPr>
              <w:pStyle w:val="101"/>
              <w:jc w:val="center"/>
              <w:rPr>
                <w:color w:val="auto"/>
              </w:rPr>
            </w:pPr>
            <w:r>
              <w:rPr>
                <w:rFonts w:hint="eastAsia"/>
                <w:color w:val="auto"/>
              </w:rPr>
              <w:t>/</w:t>
            </w:r>
          </w:p>
        </w:tc>
        <w:tc>
          <w:tcPr>
            <w:tcW w:w="1113" w:type="pct"/>
            <w:gridSpan w:val="3"/>
            <w:vAlign w:val="center"/>
          </w:tcPr>
          <w:p w14:paraId="0B1B208F">
            <w:pPr>
              <w:pStyle w:val="101"/>
              <w:jc w:val="center"/>
              <w:rPr>
                <w:color w:val="auto"/>
              </w:rPr>
            </w:pPr>
            <w:r>
              <w:rPr>
                <w:rFonts w:hint="eastAsia"/>
                <w:color w:val="auto"/>
              </w:rPr>
              <w:t>/</w:t>
            </w:r>
          </w:p>
        </w:tc>
        <w:tc>
          <w:tcPr>
            <w:tcW w:w="1114" w:type="pct"/>
            <w:gridSpan w:val="2"/>
            <w:vAlign w:val="center"/>
          </w:tcPr>
          <w:p w14:paraId="4EC09D39">
            <w:pPr>
              <w:pStyle w:val="101"/>
              <w:jc w:val="center"/>
              <w:rPr>
                <w:color w:val="auto"/>
              </w:rPr>
            </w:pPr>
            <w:r>
              <w:rPr>
                <w:rFonts w:hint="eastAsia"/>
                <w:color w:val="auto"/>
              </w:rPr>
              <w:t>/</w:t>
            </w:r>
          </w:p>
        </w:tc>
      </w:tr>
    </w:tbl>
    <w:p w14:paraId="4506D1D6">
      <w:pPr>
        <w:pStyle w:val="3"/>
        <w:rPr>
          <w:color w:val="auto"/>
        </w:rPr>
      </w:pPr>
      <w:r>
        <w:rPr>
          <w:color w:val="auto"/>
        </w:rPr>
        <w:t>2</w:t>
      </w:r>
      <w:r>
        <w:rPr>
          <w:rFonts w:hint="eastAsia"/>
          <w:color w:val="auto"/>
        </w:rPr>
        <w:t>环境风险</w:t>
      </w:r>
      <w:r>
        <w:rPr>
          <w:color w:val="auto"/>
        </w:rPr>
        <w:t>潜势初判</w:t>
      </w:r>
    </w:p>
    <w:p w14:paraId="5EC80EE1">
      <w:pPr>
        <w:pStyle w:val="2"/>
        <w:spacing w:before="120" w:after="120"/>
        <w:rPr>
          <w:color w:val="auto"/>
        </w:rPr>
      </w:pPr>
      <w:r>
        <w:rPr>
          <w:rFonts w:hint="eastAsia"/>
          <w:color w:val="auto"/>
        </w:rPr>
        <w:t>2</w:t>
      </w:r>
      <w:r>
        <w:rPr>
          <w:color w:val="auto"/>
        </w:rPr>
        <w:t>.1</w:t>
      </w:r>
      <w:r>
        <w:rPr>
          <w:rFonts w:hint="eastAsia"/>
          <w:color w:val="auto"/>
        </w:rPr>
        <w:t>环境</w:t>
      </w:r>
      <w:r>
        <w:rPr>
          <w:color w:val="auto"/>
        </w:rPr>
        <w:t>风险潜势划分</w:t>
      </w:r>
    </w:p>
    <w:p w14:paraId="0BD6163D">
      <w:pPr>
        <w:pStyle w:val="102"/>
        <w:ind w:firstLine="480"/>
        <w:rPr>
          <w:color w:val="auto"/>
        </w:rPr>
      </w:pPr>
      <w:r>
        <w:rPr>
          <w:color w:val="auto"/>
        </w:rPr>
        <w:t>根据《建设项目环境风险评价技术导则》（HJ169-2018）4.3 评价工作等级划分</w:t>
      </w:r>
      <w:r>
        <w:rPr>
          <w:rFonts w:hint="eastAsia"/>
          <w:color w:val="auto"/>
          <w:lang w:eastAsia="zh-CN"/>
        </w:rPr>
        <w:t>，</w:t>
      </w:r>
      <w:r>
        <w:rPr>
          <w:color w:val="auto"/>
        </w:rPr>
        <w:t>环境风险评价工作等级划分为一级、二级、三级。根据建设项目涉及的物质及工艺系统危险性和所在地的环境敏感性确定环境风险潜势</w:t>
      </w:r>
      <w:r>
        <w:rPr>
          <w:rFonts w:hint="eastAsia"/>
          <w:color w:val="auto"/>
          <w:lang w:eastAsia="zh-CN"/>
        </w:rPr>
        <w:t>，</w:t>
      </w:r>
      <w:r>
        <w:rPr>
          <w:color w:val="auto"/>
        </w:rPr>
        <w:t>确定评价工作等级。</w:t>
      </w:r>
    </w:p>
    <w:p w14:paraId="723DF09B">
      <w:pPr>
        <w:pStyle w:val="102"/>
        <w:ind w:firstLine="480"/>
        <w:rPr>
          <w:color w:val="auto"/>
        </w:rPr>
      </w:pPr>
      <w:r>
        <w:rPr>
          <w:color w:val="auto"/>
        </w:rPr>
        <w:t>根据《建设项目环境风险评价技术导则》（HJ169-2018）</w:t>
      </w:r>
      <w:r>
        <w:rPr>
          <w:rFonts w:hint="eastAsia"/>
          <w:color w:val="auto"/>
          <w:lang w:eastAsia="zh-CN"/>
        </w:rPr>
        <w:t>，</w:t>
      </w:r>
      <w:r>
        <w:rPr>
          <w:color w:val="auto"/>
        </w:rPr>
        <w:t>环境风险评价工作等级的划分是根据建设项目涉及的物质及工艺系统危险性和所在地的环境敏感性确定环境风险潜势</w:t>
      </w:r>
      <w:r>
        <w:rPr>
          <w:rFonts w:hint="eastAsia"/>
          <w:color w:val="auto"/>
          <w:lang w:eastAsia="zh-CN"/>
        </w:rPr>
        <w:t>，</w:t>
      </w:r>
      <w:r>
        <w:rPr>
          <w:color w:val="auto"/>
        </w:rPr>
        <w:t>按照下表确定评价工作等级</w:t>
      </w:r>
      <w:r>
        <w:rPr>
          <w:rFonts w:hint="eastAsia"/>
          <w:color w:val="auto"/>
          <w:lang w:eastAsia="zh-CN"/>
        </w:rPr>
        <w:t>，</w:t>
      </w:r>
      <w:r>
        <w:rPr>
          <w:color w:val="auto"/>
        </w:rPr>
        <w:t>划分依据见下表。</w:t>
      </w:r>
    </w:p>
    <w:p w14:paraId="070C9B46">
      <w:pPr>
        <w:pStyle w:val="114"/>
        <w:rPr>
          <w:color w:val="auto"/>
        </w:rPr>
      </w:pPr>
      <w:r>
        <w:rPr>
          <w:color w:val="auto"/>
        </w:rPr>
        <w:t>表2-1  评价工作等级划分</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45"/>
        <w:gridCol w:w="1645"/>
        <w:gridCol w:w="1845"/>
        <w:gridCol w:w="2264"/>
        <w:gridCol w:w="1645"/>
      </w:tblGrid>
      <w:tr w14:paraId="05E5856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7" w:type="pct"/>
            <w:tcMar>
              <w:left w:w="0" w:type="dxa"/>
              <w:right w:w="0" w:type="dxa"/>
            </w:tcMar>
            <w:vAlign w:val="center"/>
          </w:tcPr>
          <w:p w14:paraId="5B6B514F">
            <w:pPr>
              <w:pStyle w:val="101"/>
              <w:rPr>
                <w:color w:val="auto"/>
              </w:rPr>
            </w:pPr>
            <w:r>
              <w:rPr>
                <w:color w:val="auto"/>
              </w:rPr>
              <w:t>环境风险潜势</w:t>
            </w:r>
          </w:p>
        </w:tc>
        <w:tc>
          <w:tcPr>
            <w:tcW w:w="930" w:type="pct"/>
            <w:tcMar>
              <w:left w:w="0" w:type="dxa"/>
              <w:right w:w="0" w:type="dxa"/>
            </w:tcMar>
            <w:vAlign w:val="center"/>
          </w:tcPr>
          <w:p w14:paraId="49CD69CF">
            <w:pPr>
              <w:pStyle w:val="101"/>
              <w:rPr>
                <w:color w:val="auto"/>
              </w:rPr>
            </w:pPr>
            <w:r>
              <w:rPr>
                <w:rFonts w:hint="eastAsia"/>
                <w:color w:val="auto"/>
              </w:rPr>
              <w:t>Ⅳ</w:t>
            </w:r>
            <w:r>
              <w:rPr>
                <w:color w:val="auto"/>
              </w:rPr>
              <w:t>、</w:t>
            </w:r>
            <w:r>
              <w:rPr>
                <w:rFonts w:hint="eastAsia"/>
                <w:color w:val="auto"/>
              </w:rPr>
              <w:t>Ⅳ</w:t>
            </w:r>
            <w:r>
              <w:rPr>
                <w:color w:val="auto"/>
                <w:vertAlign w:val="superscript"/>
              </w:rPr>
              <w:t>+</w:t>
            </w:r>
          </w:p>
        </w:tc>
        <w:tc>
          <w:tcPr>
            <w:tcW w:w="1043" w:type="pct"/>
            <w:tcMar>
              <w:left w:w="0" w:type="dxa"/>
              <w:right w:w="0" w:type="dxa"/>
            </w:tcMar>
            <w:vAlign w:val="center"/>
          </w:tcPr>
          <w:p w14:paraId="08C5FB62">
            <w:pPr>
              <w:pStyle w:val="101"/>
              <w:rPr>
                <w:color w:val="auto"/>
              </w:rPr>
            </w:pPr>
            <w:r>
              <w:rPr>
                <w:rFonts w:hint="eastAsia"/>
                <w:color w:val="auto"/>
              </w:rPr>
              <w:t>Ⅲ</w:t>
            </w:r>
          </w:p>
        </w:tc>
        <w:tc>
          <w:tcPr>
            <w:tcW w:w="1280" w:type="pct"/>
            <w:tcMar>
              <w:left w:w="0" w:type="dxa"/>
              <w:right w:w="0" w:type="dxa"/>
            </w:tcMar>
            <w:vAlign w:val="center"/>
          </w:tcPr>
          <w:p w14:paraId="7C760422">
            <w:pPr>
              <w:pStyle w:val="101"/>
              <w:rPr>
                <w:color w:val="auto"/>
              </w:rPr>
            </w:pPr>
            <w:r>
              <w:rPr>
                <w:rFonts w:hint="eastAsia"/>
                <w:color w:val="auto"/>
              </w:rPr>
              <w:t>Ⅱ</w:t>
            </w:r>
          </w:p>
        </w:tc>
        <w:tc>
          <w:tcPr>
            <w:tcW w:w="930" w:type="pct"/>
            <w:tcMar>
              <w:left w:w="0" w:type="dxa"/>
              <w:right w:w="0" w:type="dxa"/>
            </w:tcMar>
            <w:vAlign w:val="center"/>
          </w:tcPr>
          <w:p w14:paraId="1E26381D">
            <w:pPr>
              <w:pStyle w:val="101"/>
              <w:rPr>
                <w:color w:val="auto"/>
              </w:rPr>
            </w:pPr>
            <w:r>
              <w:rPr>
                <w:rFonts w:hint="eastAsia"/>
                <w:color w:val="auto"/>
              </w:rPr>
              <w:t>Ⅰ</w:t>
            </w:r>
          </w:p>
        </w:tc>
      </w:tr>
      <w:tr w14:paraId="0E7E97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17" w:type="pct"/>
            <w:tcMar>
              <w:left w:w="0" w:type="dxa"/>
              <w:right w:w="0" w:type="dxa"/>
            </w:tcMar>
            <w:vAlign w:val="center"/>
          </w:tcPr>
          <w:p w14:paraId="5251C222">
            <w:pPr>
              <w:pStyle w:val="101"/>
              <w:rPr>
                <w:color w:val="auto"/>
              </w:rPr>
            </w:pPr>
            <w:r>
              <w:rPr>
                <w:color w:val="auto"/>
              </w:rPr>
              <w:t>评价工作等级</w:t>
            </w:r>
          </w:p>
        </w:tc>
        <w:tc>
          <w:tcPr>
            <w:tcW w:w="930" w:type="pct"/>
            <w:tcMar>
              <w:left w:w="0" w:type="dxa"/>
              <w:right w:w="0" w:type="dxa"/>
            </w:tcMar>
            <w:vAlign w:val="center"/>
          </w:tcPr>
          <w:p w14:paraId="172904E8">
            <w:pPr>
              <w:pStyle w:val="101"/>
              <w:rPr>
                <w:color w:val="auto"/>
              </w:rPr>
            </w:pPr>
            <w:r>
              <w:rPr>
                <w:color w:val="auto"/>
              </w:rPr>
              <w:t>一</w:t>
            </w:r>
          </w:p>
        </w:tc>
        <w:tc>
          <w:tcPr>
            <w:tcW w:w="1043" w:type="pct"/>
            <w:tcMar>
              <w:left w:w="0" w:type="dxa"/>
              <w:right w:w="0" w:type="dxa"/>
            </w:tcMar>
            <w:vAlign w:val="center"/>
          </w:tcPr>
          <w:p w14:paraId="006B6C9C">
            <w:pPr>
              <w:pStyle w:val="101"/>
              <w:rPr>
                <w:color w:val="auto"/>
              </w:rPr>
            </w:pPr>
            <w:r>
              <w:rPr>
                <w:color w:val="auto"/>
              </w:rPr>
              <w:t>二</w:t>
            </w:r>
          </w:p>
        </w:tc>
        <w:tc>
          <w:tcPr>
            <w:tcW w:w="1280" w:type="pct"/>
            <w:tcMar>
              <w:left w:w="0" w:type="dxa"/>
              <w:right w:w="0" w:type="dxa"/>
            </w:tcMar>
            <w:vAlign w:val="center"/>
          </w:tcPr>
          <w:p w14:paraId="53DE7025">
            <w:pPr>
              <w:pStyle w:val="101"/>
              <w:rPr>
                <w:color w:val="auto"/>
              </w:rPr>
            </w:pPr>
            <w:r>
              <w:rPr>
                <w:color w:val="auto"/>
              </w:rPr>
              <w:t>三</w:t>
            </w:r>
          </w:p>
        </w:tc>
        <w:tc>
          <w:tcPr>
            <w:tcW w:w="930" w:type="pct"/>
            <w:tcMar>
              <w:left w:w="0" w:type="dxa"/>
              <w:right w:w="0" w:type="dxa"/>
            </w:tcMar>
            <w:vAlign w:val="center"/>
          </w:tcPr>
          <w:p w14:paraId="15C5C8D9">
            <w:pPr>
              <w:pStyle w:val="101"/>
              <w:rPr>
                <w:color w:val="auto"/>
              </w:rPr>
            </w:pPr>
            <w:r>
              <w:rPr>
                <w:color w:val="auto"/>
              </w:rPr>
              <w:t>简单分析</w:t>
            </w:r>
          </w:p>
        </w:tc>
      </w:tr>
    </w:tbl>
    <w:p w14:paraId="0D466157">
      <w:pPr>
        <w:pStyle w:val="114"/>
        <w:rPr>
          <w:color w:val="auto"/>
        </w:rPr>
      </w:pPr>
      <w:r>
        <w:rPr>
          <w:color w:val="auto"/>
        </w:rPr>
        <w:t>表2-2  建设项目环境风险潜势划分</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2325"/>
        <w:gridCol w:w="1631"/>
        <w:gridCol w:w="1631"/>
        <w:gridCol w:w="1631"/>
        <w:gridCol w:w="1626"/>
      </w:tblGrid>
      <w:tr w14:paraId="0581DB8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5" w:type="pct"/>
            <w:vMerge w:val="restart"/>
            <w:tcMar>
              <w:left w:w="0" w:type="dxa"/>
              <w:right w:w="0" w:type="dxa"/>
            </w:tcMar>
            <w:vAlign w:val="center"/>
          </w:tcPr>
          <w:p w14:paraId="4BF70C5D">
            <w:pPr>
              <w:pStyle w:val="108"/>
              <w:rPr>
                <w:color w:val="auto"/>
              </w:rPr>
            </w:pPr>
            <w:r>
              <w:rPr>
                <w:color w:val="auto"/>
              </w:rPr>
              <w:t>环境敏感程度（E）</w:t>
            </w:r>
          </w:p>
        </w:tc>
        <w:tc>
          <w:tcPr>
            <w:tcW w:w="3685" w:type="pct"/>
            <w:gridSpan w:val="4"/>
            <w:tcMar>
              <w:left w:w="0" w:type="dxa"/>
              <w:right w:w="0" w:type="dxa"/>
            </w:tcMar>
            <w:vAlign w:val="center"/>
          </w:tcPr>
          <w:p w14:paraId="10B5314F">
            <w:pPr>
              <w:pStyle w:val="108"/>
              <w:rPr>
                <w:color w:val="auto"/>
              </w:rPr>
            </w:pPr>
            <w:r>
              <w:rPr>
                <w:color w:val="auto"/>
              </w:rPr>
              <w:t>危险物质及工艺系统危险性（P）</w:t>
            </w:r>
          </w:p>
        </w:tc>
      </w:tr>
      <w:tr w14:paraId="4722AEFA">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5" w:type="pct"/>
            <w:vMerge w:val="continue"/>
            <w:tcMar>
              <w:left w:w="0" w:type="dxa"/>
              <w:right w:w="0" w:type="dxa"/>
            </w:tcMar>
            <w:vAlign w:val="center"/>
          </w:tcPr>
          <w:p w14:paraId="2D9A03DC">
            <w:pPr>
              <w:pStyle w:val="108"/>
              <w:rPr>
                <w:color w:val="auto"/>
              </w:rPr>
            </w:pPr>
          </w:p>
        </w:tc>
        <w:tc>
          <w:tcPr>
            <w:tcW w:w="922" w:type="pct"/>
            <w:tcMar>
              <w:left w:w="0" w:type="dxa"/>
              <w:right w:w="0" w:type="dxa"/>
            </w:tcMar>
            <w:vAlign w:val="center"/>
          </w:tcPr>
          <w:p w14:paraId="0D322C31">
            <w:pPr>
              <w:pStyle w:val="108"/>
              <w:rPr>
                <w:color w:val="auto"/>
              </w:rPr>
            </w:pPr>
            <w:r>
              <w:rPr>
                <w:color w:val="auto"/>
              </w:rPr>
              <w:t>极高危害（P1）</w:t>
            </w:r>
          </w:p>
        </w:tc>
        <w:tc>
          <w:tcPr>
            <w:tcW w:w="922" w:type="pct"/>
            <w:tcMar>
              <w:left w:w="0" w:type="dxa"/>
              <w:right w:w="0" w:type="dxa"/>
            </w:tcMar>
            <w:vAlign w:val="center"/>
          </w:tcPr>
          <w:p w14:paraId="3BA6888F">
            <w:pPr>
              <w:pStyle w:val="108"/>
              <w:rPr>
                <w:color w:val="auto"/>
              </w:rPr>
            </w:pPr>
            <w:r>
              <w:rPr>
                <w:color w:val="auto"/>
              </w:rPr>
              <w:t>高度危害（P2）</w:t>
            </w:r>
          </w:p>
        </w:tc>
        <w:tc>
          <w:tcPr>
            <w:tcW w:w="922" w:type="pct"/>
            <w:tcMar>
              <w:left w:w="0" w:type="dxa"/>
              <w:right w:w="0" w:type="dxa"/>
            </w:tcMar>
            <w:vAlign w:val="center"/>
          </w:tcPr>
          <w:p w14:paraId="7E566644">
            <w:pPr>
              <w:pStyle w:val="108"/>
              <w:rPr>
                <w:color w:val="auto"/>
              </w:rPr>
            </w:pPr>
            <w:r>
              <w:rPr>
                <w:color w:val="auto"/>
              </w:rPr>
              <w:t>中度危害（P3）</w:t>
            </w:r>
          </w:p>
        </w:tc>
        <w:tc>
          <w:tcPr>
            <w:tcW w:w="919" w:type="pct"/>
            <w:tcMar>
              <w:left w:w="0" w:type="dxa"/>
              <w:right w:w="0" w:type="dxa"/>
            </w:tcMar>
            <w:vAlign w:val="center"/>
          </w:tcPr>
          <w:p w14:paraId="6ABBC3A9">
            <w:pPr>
              <w:pStyle w:val="108"/>
              <w:rPr>
                <w:color w:val="auto"/>
              </w:rPr>
            </w:pPr>
            <w:r>
              <w:rPr>
                <w:color w:val="auto"/>
              </w:rPr>
              <w:t>轻度危害（P4）</w:t>
            </w:r>
          </w:p>
        </w:tc>
      </w:tr>
      <w:tr w14:paraId="68A47B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5" w:type="pct"/>
            <w:tcMar>
              <w:left w:w="0" w:type="dxa"/>
              <w:right w:w="0" w:type="dxa"/>
            </w:tcMar>
            <w:vAlign w:val="center"/>
          </w:tcPr>
          <w:p w14:paraId="76C910FA">
            <w:pPr>
              <w:pStyle w:val="108"/>
              <w:rPr>
                <w:color w:val="auto"/>
              </w:rPr>
            </w:pPr>
            <w:r>
              <w:rPr>
                <w:color w:val="auto"/>
              </w:rPr>
              <w:t>环境高度敏感区（E1）</w:t>
            </w:r>
          </w:p>
        </w:tc>
        <w:tc>
          <w:tcPr>
            <w:tcW w:w="922" w:type="pct"/>
            <w:tcMar>
              <w:left w:w="0" w:type="dxa"/>
              <w:right w:w="0" w:type="dxa"/>
            </w:tcMar>
            <w:vAlign w:val="center"/>
          </w:tcPr>
          <w:p w14:paraId="3D0DC531">
            <w:pPr>
              <w:pStyle w:val="108"/>
              <w:rPr>
                <w:color w:val="auto"/>
              </w:rPr>
            </w:pPr>
            <w:r>
              <w:rPr>
                <w:rFonts w:hint="eastAsia"/>
                <w:color w:val="auto"/>
              </w:rPr>
              <w:t>Ⅳ</w:t>
            </w:r>
            <w:r>
              <w:rPr>
                <w:color w:val="auto"/>
                <w:vertAlign w:val="superscript"/>
              </w:rPr>
              <w:t>+</w:t>
            </w:r>
          </w:p>
        </w:tc>
        <w:tc>
          <w:tcPr>
            <w:tcW w:w="922" w:type="pct"/>
            <w:tcMar>
              <w:left w:w="0" w:type="dxa"/>
              <w:right w:w="0" w:type="dxa"/>
            </w:tcMar>
            <w:vAlign w:val="center"/>
          </w:tcPr>
          <w:p w14:paraId="00060F0D">
            <w:pPr>
              <w:pStyle w:val="108"/>
              <w:rPr>
                <w:color w:val="auto"/>
              </w:rPr>
            </w:pPr>
            <w:r>
              <w:rPr>
                <w:rFonts w:hint="eastAsia"/>
                <w:color w:val="auto"/>
              </w:rPr>
              <w:t>Ⅳ</w:t>
            </w:r>
          </w:p>
        </w:tc>
        <w:tc>
          <w:tcPr>
            <w:tcW w:w="922" w:type="pct"/>
            <w:tcMar>
              <w:left w:w="0" w:type="dxa"/>
              <w:right w:w="0" w:type="dxa"/>
            </w:tcMar>
            <w:vAlign w:val="center"/>
          </w:tcPr>
          <w:p w14:paraId="7BF60AD4">
            <w:pPr>
              <w:pStyle w:val="108"/>
              <w:rPr>
                <w:color w:val="auto"/>
              </w:rPr>
            </w:pPr>
            <w:r>
              <w:rPr>
                <w:rFonts w:hint="eastAsia"/>
                <w:color w:val="auto"/>
              </w:rPr>
              <w:t>Ⅲ</w:t>
            </w:r>
          </w:p>
        </w:tc>
        <w:tc>
          <w:tcPr>
            <w:tcW w:w="919" w:type="pct"/>
            <w:tcMar>
              <w:left w:w="0" w:type="dxa"/>
              <w:right w:w="0" w:type="dxa"/>
            </w:tcMar>
            <w:vAlign w:val="center"/>
          </w:tcPr>
          <w:p w14:paraId="1CF90DF7">
            <w:pPr>
              <w:pStyle w:val="108"/>
              <w:rPr>
                <w:color w:val="auto"/>
              </w:rPr>
            </w:pPr>
            <w:r>
              <w:rPr>
                <w:rFonts w:hint="eastAsia"/>
                <w:color w:val="auto"/>
              </w:rPr>
              <w:t>Ⅲ</w:t>
            </w:r>
          </w:p>
        </w:tc>
      </w:tr>
      <w:tr w14:paraId="7FCD06ED">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5" w:type="pct"/>
            <w:tcMar>
              <w:left w:w="0" w:type="dxa"/>
              <w:right w:w="0" w:type="dxa"/>
            </w:tcMar>
            <w:vAlign w:val="center"/>
          </w:tcPr>
          <w:p w14:paraId="41686446">
            <w:pPr>
              <w:pStyle w:val="108"/>
              <w:rPr>
                <w:color w:val="auto"/>
              </w:rPr>
            </w:pPr>
            <w:r>
              <w:rPr>
                <w:color w:val="auto"/>
              </w:rPr>
              <w:t>环境中度敏感区（E2）</w:t>
            </w:r>
          </w:p>
        </w:tc>
        <w:tc>
          <w:tcPr>
            <w:tcW w:w="922" w:type="pct"/>
            <w:tcMar>
              <w:left w:w="0" w:type="dxa"/>
              <w:right w:w="0" w:type="dxa"/>
            </w:tcMar>
            <w:vAlign w:val="center"/>
          </w:tcPr>
          <w:p w14:paraId="2FB15215">
            <w:pPr>
              <w:pStyle w:val="108"/>
              <w:rPr>
                <w:color w:val="auto"/>
              </w:rPr>
            </w:pPr>
            <w:r>
              <w:rPr>
                <w:rFonts w:hint="eastAsia"/>
                <w:color w:val="auto"/>
              </w:rPr>
              <w:t>Ⅳ</w:t>
            </w:r>
          </w:p>
        </w:tc>
        <w:tc>
          <w:tcPr>
            <w:tcW w:w="922" w:type="pct"/>
            <w:tcMar>
              <w:left w:w="0" w:type="dxa"/>
              <w:right w:w="0" w:type="dxa"/>
            </w:tcMar>
            <w:vAlign w:val="center"/>
          </w:tcPr>
          <w:p w14:paraId="5167B26F">
            <w:pPr>
              <w:pStyle w:val="108"/>
              <w:rPr>
                <w:color w:val="auto"/>
              </w:rPr>
            </w:pPr>
            <w:r>
              <w:rPr>
                <w:rFonts w:hint="eastAsia"/>
                <w:color w:val="auto"/>
              </w:rPr>
              <w:t>Ⅲ</w:t>
            </w:r>
          </w:p>
        </w:tc>
        <w:tc>
          <w:tcPr>
            <w:tcW w:w="922" w:type="pct"/>
            <w:tcMar>
              <w:left w:w="0" w:type="dxa"/>
              <w:right w:w="0" w:type="dxa"/>
            </w:tcMar>
            <w:vAlign w:val="center"/>
          </w:tcPr>
          <w:p w14:paraId="4C1B7A76">
            <w:pPr>
              <w:pStyle w:val="108"/>
              <w:rPr>
                <w:color w:val="auto"/>
              </w:rPr>
            </w:pPr>
            <w:r>
              <w:rPr>
                <w:rFonts w:hint="eastAsia"/>
                <w:color w:val="auto"/>
              </w:rPr>
              <w:t>Ⅲ</w:t>
            </w:r>
          </w:p>
        </w:tc>
        <w:tc>
          <w:tcPr>
            <w:tcW w:w="919" w:type="pct"/>
            <w:tcMar>
              <w:left w:w="0" w:type="dxa"/>
              <w:right w:w="0" w:type="dxa"/>
            </w:tcMar>
            <w:vAlign w:val="center"/>
          </w:tcPr>
          <w:p w14:paraId="1F51E0FB">
            <w:pPr>
              <w:pStyle w:val="108"/>
              <w:rPr>
                <w:color w:val="auto"/>
              </w:rPr>
            </w:pPr>
            <w:r>
              <w:rPr>
                <w:rFonts w:hint="eastAsia"/>
                <w:color w:val="auto"/>
              </w:rPr>
              <w:t>Ⅱ</w:t>
            </w:r>
          </w:p>
        </w:tc>
      </w:tr>
      <w:tr w14:paraId="0536B52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1315" w:type="pct"/>
            <w:tcMar>
              <w:left w:w="0" w:type="dxa"/>
              <w:right w:w="0" w:type="dxa"/>
            </w:tcMar>
            <w:vAlign w:val="center"/>
          </w:tcPr>
          <w:p w14:paraId="42E71C3B">
            <w:pPr>
              <w:pStyle w:val="108"/>
              <w:rPr>
                <w:color w:val="auto"/>
              </w:rPr>
            </w:pPr>
            <w:r>
              <w:rPr>
                <w:color w:val="auto"/>
              </w:rPr>
              <w:t>环境低度敏感区（E3）</w:t>
            </w:r>
          </w:p>
        </w:tc>
        <w:tc>
          <w:tcPr>
            <w:tcW w:w="922" w:type="pct"/>
            <w:tcMar>
              <w:left w:w="0" w:type="dxa"/>
              <w:right w:w="0" w:type="dxa"/>
            </w:tcMar>
            <w:vAlign w:val="center"/>
          </w:tcPr>
          <w:p w14:paraId="0A8983EC">
            <w:pPr>
              <w:pStyle w:val="108"/>
              <w:rPr>
                <w:color w:val="auto"/>
              </w:rPr>
            </w:pPr>
            <w:r>
              <w:rPr>
                <w:rFonts w:hint="eastAsia"/>
                <w:color w:val="auto"/>
              </w:rPr>
              <w:t>Ⅲ</w:t>
            </w:r>
          </w:p>
        </w:tc>
        <w:tc>
          <w:tcPr>
            <w:tcW w:w="922" w:type="pct"/>
            <w:tcMar>
              <w:left w:w="0" w:type="dxa"/>
              <w:right w:w="0" w:type="dxa"/>
            </w:tcMar>
            <w:vAlign w:val="center"/>
          </w:tcPr>
          <w:p w14:paraId="08DAC066">
            <w:pPr>
              <w:pStyle w:val="108"/>
              <w:rPr>
                <w:color w:val="auto"/>
              </w:rPr>
            </w:pPr>
            <w:r>
              <w:rPr>
                <w:rFonts w:hint="eastAsia"/>
                <w:color w:val="auto"/>
              </w:rPr>
              <w:t>Ⅲ</w:t>
            </w:r>
          </w:p>
        </w:tc>
        <w:tc>
          <w:tcPr>
            <w:tcW w:w="922" w:type="pct"/>
            <w:tcMar>
              <w:left w:w="0" w:type="dxa"/>
              <w:right w:w="0" w:type="dxa"/>
            </w:tcMar>
            <w:vAlign w:val="center"/>
          </w:tcPr>
          <w:p w14:paraId="4506C2C3">
            <w:pPr>
              <w:pStyle w:val="108"/>
              <w:rPr>
                <w:color w:val="auto"/>
              </w:rPr>
            </w:pPr>
            <w:r>
              <w:rPr>
                <w:rFonts w:hint="eastAsia"/>
                <w:color w:val="auto"/>
              </w:rPr>
              <w:t>Ⅱ</w:t>
            </w:r>
          </w:p>
        </w:tc>
        <w:tc>
          <w:tcPr>
            <w:tcW w:w="919" w:type="pct"/>
            <w:tcMar>
              <w:left w:w="0" w:type="dxa"/>
              <w:right w:w="0" w:type="dxa"/>
            </w:tcMar>
            <w:vAlign w:val="center"/>
          </w:tcPr>
          <w:p w14:paraId="0C79F448">
            <w:pPr>
              <w:pStyle w:val="108"/>
              <w:rPr>
                <w:color w:val="auto"/>
              </w:rPr>
            </w:pPr>
            <w:r>
              <w:rPr>
                <w:rFonts w:hint="eastAsia"/>
                <w:color w:val="auto"/>
              </w:rPr>
              <w:t>Ⅰ</w:t>
            </w:r>
          </w:p>
        </w:tc>
      </w:tr>
    </w:tbl>
    <w:p w14:paraId="3A0748DC">
      <w:pPr>
        <w:pStyle w:val="2"/>
        <w:spacing w:before="120" w:after="120"/>
        <w:rPr>
          <w:color w:val="auto"/>
        </w:rPr>
      </w:pPr>
      <w:r>
        <w:rPr>
          <w:rFonts w:hint="eastAsia" w:ascii="宋体" w:hAnsi="宋体" w:cs="宋体"/>
          <w:color w:val="auto"/>
        </w:rPr>
        <w:t>2</w:t>
      </w:r>
      <w:r>
        <w:rPr>
          <w:rFonts w:ascii="宋体" w:hAnsi="宋体" w:cs="宋体"/>
          <w:color w:val="auto"/>
        </w:rPr>
        <w:t>.2</w:t>
      </w:r>
      <w:r>
        <w:rPr>
          <w:color w:val="auto"/>
        </w:rPr>
        <w:t>P</w:t>
      </w:r>
      <w:r>
        <w:rPr>
          <w:rFonts w:hint="eastAsia"/>
          <w:color w:val="auto"/>
        </w:rPr>
        <w:t>的分级确定</w:t>
      </w:r>
    </w:p>
    <w:p w14:paraId="670B1BA0">
      <w:pPr>
        <w:pStyle w:val="102"/>
        <w:ind w:firstLine="480"/>
        <w:rPr>
          <w:color w:val="auto"/>
        </w:rPr>
      </w:pPr>
      <w:r>
        <w:rPr>
          <w:rFonts w:hint="eastAsia"/>
          <w:color w:val="auto"/>
        </w:rPr>
        <w:t>根据《建设项目环境风险评价技术导则》（HJ169-2018）中“6.2 P 的分级确定”可知</w:t>
      </w:r>
      <w:r>
        <w:rPr>
          <w:rFonts w:hint="eastAsia"/>
          <w:color w:val="auto"/>
          <w:lang w:eastAsia="zh-CN"/>
        </w:rPr>
        <w:t>，</w:t>
      </w:r>
      <w:r>
        <w:rPr>
          <w:rFonts w:hint="eastAsia"/>
          <w:color w:val="auto"/>
        </w:rPr>
        <w:t>应分析建设项目生产、使用、储存过程中涉及的有毒有害、易燃易爆物质</w:t>
      </w:r>
      <w:r>
        <w:rPr>
          <w:rFonts w:hint="eastAsia"/>
          <w:color w:val="auto"/>
          <w:lang w:eastAsia="zh-CN"/>
        </w:rPr>
        <w:t>，</w:t>
      </w:r>
      <w:r>
        <w:rPr>
          <w:rFonts w:hint="eastAsia"/>
          <w:color w:val="auto"/>
        </w:rPr>
        <w:t>参见“附录 B重点关注的危险物质及临界量”确定危险物质的临界量。定量分析危险物质数量与临界量的比值（Q）和所属行业及生产工艺特点（M）</w:t>
      </w:r>
      <w:r>
        <w:rPr>
          <w:rFonts w:hint="eastAsia"/>
          <w:color w:val="auto"/>
          <w:lang w:eastAsia="zh-CN"/>
        </w:rPr>
        <w:t>，</w:t>
      </w:r>
      <w:r>
        <w:rPr>
          <w:rFonts w:hint="eastAsia"/>
          <w:color w:val="auto"/>
        </w:rPr>
        <w:t>按“附录 C 危险物质及工艺系统危险性（P）的分级”对危险物质及工艺系统危险性（P）等级进行判断。</w:t>
      </w:r>
    </w:p>
    <w:p w14:paraId="39AF0699">
      <w:pPr>
        <w:pStyle w:val="102"/>
        <w:ind w:firstLine="480"/>
        <w:rPr>
          <w:color w:val="auto"/>
        </w:rPr>
      </w:pPr>
      <w:r>
        <w:rPr>
          <w:rFonts w:hint="eastAsia"/>
          <w:color w:val="auto"/>
        </w:rPr>
        <w:t>（1）危险物质数量与临界量比值（Q）</w:t>
      </w:r>
    </w:p>
    <w:p w14:paraId="67D02F61">
      <w:pPr>
        <w:pStyle w:val="102"/>
        <w:ind w:firstLine="480"/>
        <w:rPr>
          <w:color w:val="auto"/>
        </w:rPr>
      </w:pPr>
      <w:r>
        <w:rPr>
          <w:rFonts w:hint="eastAsia"/>
          <w:color w:val="auto"/>
        </w:rPr>
        <w:t>根据《建设项目环境风险评价技术导则》（HJ169-2018）中附录 C 中 C.1.1 可知</w:t>
      </w:r>
      <w:r>
        <w:rPr>
          <w:rFonts w:hint="eastAsia"/>
          <w:color w:val="auto"/>
          <w:lang w:eastAsia="zh-CN"/>
        </w:rPr>
        <w:t>，</w:t>
      </w:r>
      <w:r>
        <w:rPr>
          <w:rFonts w:hint="eastAsia"/>
          <w:color w:val="auto"/>
        </w:rPr>
        <w:t>应计算所涉及的每种危险物质在厂界内的最大存在总量与其在导则中附录 B 中对应临界量的比值Q。在不同厂区的同一种物质</w:t>
      </w:r>
      <w:r>
        <w:rPr>
          <w:rFonts w:hint="eastAsia"/>
          <w:color w:val="auto"/>
          <w:lang w:eastAsia="zh-CN"/>
        </w:rPr>
        <w:t>，</w:t>
      </w:r>
      <w:r>
        <w:rPr>
          <w:rFonts w:hint="eastAsia"/>
          <w:color w:val="auto"/>
        </w:rPr>
        <w:t>按其在厂界内的最大存在总量计算。当只涉及一种危险物质时</w:t>
      </w:r>
      <w:r>
        <w:rPr>
          <w:rFonts w:hint="eastAsia"/>
          <w:color w:val="auto"/>
          <w:lang w:eastAsia="zh-CN"/>
        </w:rPr>
        <w:t>，</w:t>
      </w:r>
      <w:r>
        <w:rPr>
          <w:rFonts w:hint="eastAsia"/>
          <w:color w:val="auto"/>
        </w:rPr>
        <w:t>计算该物质的总量与其临界量比值</w:t>
      </w:r>
      <w:r>
        <w:rPr>
          <w:rFonts w:hint="eastAsia"/>
          <w:color w:val="auto"/>
          <w:lang w:eastAsia="zh-CN"/>
        </w:rPr>
        <w:t>，</w:t>
      </w:r>
      <w:r>
        <w:rPr>
          <w:rFonts w:hint="eastAsia"/>
          <w:color w:val="auto"/>
        </w:rPr>
        <w:t>即为 Q；当存在多种危险物质时</w:t>
      </w:r>
      <w:r>
        <w:rPr>
          <w:rFonts w:hint="eastAsia"/>
          <w:color w:val="auto"/>
          <w:lang w:eastAsia="zh-CN"/>
        </w:rPr>
        <w:t>，</w:t>
      </w:r>
      <w:r>
        <w:rPr>
          <w:rFonts w:hint="eastAsia"/>
          <w:color w:val="auto"/>
        </w:rPr>
        <w:t>则按下式计算物质总量与其临界量比值(Q)：</w:t>
      </w:r>
    </w:p>
    <w:p w14:paraId="1D8B77FA">
      <w:pPr>
        <w:pStyle w:val="102"/>
        <w:spacing w:line="240" w:lineRule="auto"/>
        <w:ind w:firstLine="480"/>
        <w:rPr>
          <w:color w:val="auto"/>
        </w:rPr>
      </w:pPr>
      <w:r>
        <w:rPr>
          <w:color w:val="auto"/>
        </w:rPr>
        <w:drawing>
          <wp:inline distT="0" distB="0" distL="0" distR="0">
            <wp:extent cx="2076450" cy="638175"/>
            <wp:effectExtent l="0" t="0" r="0" b="9525"/>
            <wp:docPr id="26"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2076450" cy="638175"/>
                    </a:xfrm>
                    <a:prstGeom prst="rect">
                      <a:avLst/>
                    </a:prstGeom>
                    <a:noFill/>
                    <a:ln>
                      <a:noFill/>
                    </a:ln>
                  </pic:spPr>
                </pic:pic>
              </a:graphicData>
            </a:graphic>
          </wp:inline>
        </w:drawing>
      </w:r>
    </w:p>
    <w:p w14:paraId="601CE0AF">
      <w:pPr>
        <w:pStyle w:val="102"/>
        <w:ind w:firstLine="480"/>
        <w:rPr>
          <w:color w:val="auto"/>
          <w:highlight w:val="none"/>
        </w:rPr>
      </w:pPr>
      <w:r>
        <w:rPr>
          <w:color w:val="auto"/>
        </w:rPr>
        <w:t>式中：</w:t>
      </w:r>
      <w:r>
        <w:rPr>
          <w:i/>
          <w:color w:val="auto"/>
        </w:rPr>
        <w:t>q</w:t>
      </w:r>
      <w:r>
        <w:rPr>
          <w:color w:val="auto"/>
          <w:vertAlign w:val="subscript"/>
        </w:rPr>
        <w:t>1</w:t>
      </w:r>
      <w:r>
        <w:rPr>
          <w:rFonts w:hint="eastAsia"/>
          <w:color w:val="auto"/>
          <w:lang w:eastAsia="zh-CN"/>
        </w:rPr>
        <w:t>，</w:t>
      </w:r>
      <w:r>
        <w:rPr>
          <w:i/>
          <w:color w:val="auto"/>
        </w:rPr>
        <w:t>q</w:t>
      </w:r>
      <w:r>
        <w:rPr>
          <w:color w:val="auto"/>
          <w:vertAlign w:val="subscript"/>
        </w:rPr>
        <w:t>2</w:t>
      </w:r>
      <w:r>
        <w:rPr>
          <w:rFonts w:hint="eastAsia"/>
          <w:color w:val="auto"/>
          <w:lang w:eastAsia="zh-CN"/>
        </w:rPr>
        <w:t>，</w:t>
      </w:r>
      <w:r>
        <w:rPr>
          <w:color w:val="auto"/>
        </w:rPr>
        <w:t>…</w:t>
      </w:r>
      <w:r>
        <w:rPr>
          <w:rFonts w:hint="eastAsia"/>
          <w:color w:val="auto"/>
          <w:highlight w:val="none"/>
          <w:lang w:eastAsia="zh-CN"/>
        </w:rPr>
        <w:t>，</w:t>
      </w:r>
      <w:r>
        <w:rPr>
          <w:i/>
          <w:color w:val="auto"/>
          <w:highlight w:val="none"/>
        </w:rPr>
        <w:t>q</w:t>
      </w:r>
      <w:r>
        <w:rPr>
          <w:color w:val="auto"/>
          <w:highlight w:val="none"/>
          <w:vertAlign w:val="subscript"/>
        </w:rPr>
        <w:t>n</w:t>
      </w:r>
      <w:r>
        <w:rPr>
          <w:color w:val="auto"/>
          <w:highlight w:val="none"/>
        </w:rPr>
        <w:t>——每种危险物质的最大存在总量</w:t>
      </w:r>
      <w:r>
        <w:rPr>
          <w:rFonts w:hint="eastAsia"/>
          <w:color w:val="auto"/>
          <w:highlight w:val="none"/>
          <w:lang w:eastAsia="zh-CN"/>
        </w:rPr>
        <w:t>，</w:t>
      </w:r>
      <w:r>
        <w:rPr>
          <w:color w:val="auto"/>
          <w:highlight w:val="none"/>
        </w:rPr>
        <w:t>t；</w:t>
      </w:r>
    </w:p>
    <w:p w14:paraId="73252B16">
      <w:pPr>
        <w:pStyle w:val="102"/>
        <w:ind w:firstLine="480"/>
        <w:rPr>
          <w:color w:val="auto"/>
          <w:highlight w:val="none"/>
        </w:rPr>
      </w:pPr>
      <w:r>
        <w:rPr>
          <w:i/>
          <w:color w:val="auto"/>
          <w:highlight w:val="none"/>
        </w:rPr>
        <w:t>Q</w:t>
      </w:r>
      <w:r>
        <w:rPr>
          <w:color w:val="auto"/>
          <w:highlight w:val="none"/>
          <w:vertAlign w:val="subscript"/>
        </w:rPr>
        <w:t>1</w:t>
      </w:r>
      <w:r>
        <w:rPr>
          <w:rFonts w:hint="eastAsia"/>
          <w:color w:val="auto"/>
          <w:highlight w:val="none"/>
          <w:lang w:eastAsia="zh-CN"/>
        </w:rPr>
        <w:t>，</w:t>
      </w:r>
      <w:r>
        <w:rPr>
          <w:i/>
          <w:color w:val="auto"/>
          <w:highlight w:val="none"/>
        </w:rPr>
        <w:t>Q</w:t>
      </w:r>
      <w:r>
        <w:rPr>
          <w:color w:val="auto"/>
          <w:highlight w:val="none"/>
          <w:vertAlign w:val="subscript"/>
        </w:rPr>
        <w:t>2</w:t>
      </w:r>
      <w:r>
        <w:rPr>
          <w:rFonts w:hint="eastAsia"/>
          <w:color w:val="auto"/>
          <w:highlight w:val="none"/>
          <w:lang w:eastAsia="zh-CN"/>
        </w:rPr>
        <w:t>，</w:t>
      </w:r>
      <w:r>
        <w:rPr>
          <w:color w:val="auto"/>
          <w:highlight w:val="none"/>
        </w:rPr>
        <w:t>…</w:t>
      </w:r>
      <w:r>
        <w:rPr>
          <w:rFonts w:hint="eastAsia"/>
          <w:color w:val="auto"/>
          <w:highlight w:val="none"/>
          <w:lang w:eastAsia="zh-CN"/>
        </w:rPr>
        <w:t>，</w:t>
      </w:r>
      <w:r>
        <w:rPr>
          <w:i/>
          <w:color w:val="auto"/>
          <w:highlight w:val="none"/>
        </w:rPr>
        <w:t>Q</w:t>
      </w:r>
      <w:r>
        <w:rPr>
          <w:color w:val="auto"/>
          <w:highlight w:val="none"/>
          <w:vertAlign w:val="subscript"/>
        </w:rPr>
        <w:t>n</w:t>
      </w:r>
      <w:r>
        <w:rPr>
          <w:color w:val="auto"/>
          <w:highlight w:val="none"/>
        </w:rPr>
        <w:t>——每种危险物质的临界量</w:t>
      </w:r>
      <w:r>
        <w:rPr>
          <w:rFonts w:hint="eastAsia"/>
          <w:color w:val="auto"/>
          <w:highlight w:val="none"/>
          <w:lang w:eastAsia="zh-CN"/>
        </w:rPr>
        <w:t>，</w:t>
      </w:r>
      <w:r>
        <w:rPr>
          <w:color w:val="auto"/>
          <w:highlight w:val="none"/>
        </w:rPr>
        <w:t>t。</w:t>
      </w:r>
    </w:p>
    <w:p w14:paraId="505E1DE1">
      <w:pPr>
        <w:pStyle w:val="102"/>
        <w:ind w:firstLine="480"/>
        <w:rPr>
          <w:color w:val="auto"/>
          <w:highlight w:val="none"/>
        </w:rPr>
      </w:pPr>
      <w:r>
        <w:rPr>
          <w:color w:val="auto"/>
          <w:highlight w:val="none"/>
        </w:rPr>
        <w:t>当</w:t>
      </w:r>
      <w:r>
        <w:rPr>
          <w:i/>
          <w:color w:val="auto"/>
          <w:highlight w:val="none"/>
        </w:rPr>
        <w:t>Q</w:t>
      </w:r>
      <w:r>
        <w:rPr>
          <w:color w:val="auto"/>
          <w:highlight w:val="none"/>
        </w:rPr>
        <w:t>＜1时</w:t>
      </w:r>
      <w:r>
        <w:rPr>
          <w:rFonts w:hint="eastAsia"/>
          <w:color w:val="auto"/>
          <w:highlight w:val="none"/>
          <w:lang w:eastAsia="zh-CN"/>
        </w:rPr>
        <w:t>，</w:t>
      </w:r>
      <w:r>
        <w:rPr>
          <w:color w:val="auto"/>
          <w:highlight w:val="none"/>
        </w:rPr>
        <w:t>该项目环境风险潜势为</w:t>
      </w:r>
      <w:r>
        <w:rPr>
          <w:rFonts w:hint="eastAsia" w:ascii="宋体" w:hAnsi="宋体" w:cs="宋体"/>
          <w:color w:val="auto"/>
          <w:highlight w:val="none"/>
        </w:rPr>
        <w:t>Ⅰ</w:t>
      </w:r>
      <w:r>
        <w:rPr>
          <w:color w:val="auto"/>
          <w:highlight w:val="none"/>
        </w:rPr>
        <w:t>。</w:t>
      </w:r>
    </w:p>
    <w:p w14:paraId="18E6BBA8">
      <w:pPr>
        <w:pStyle w:val="102"/>
        <w:ind w:firstLine="480"/>
        <w:rPr>
          <w:color w:val="auto"/>
          <w:highlight w:val="none"/>
        </w:rPr>
      </w:pPr>
      <w:r>
        <w:rPr>
          <w:color w:val="auto"/>
          <w:highlight w:val="none"/>
        </w:rPr>
        <w:t>当</w:t>
      </w:r>
      <w:r>
        <w:rPr>
          <w:i/>
          <w:color w:val="auto"/>
          <w:highlight w:val="none"/>
        </w:rPr>
        <w:t>Q</w:t>
      </w:r>
      <w:r>
        <w:rPr>
          <w:color w:val="auto"/>
          <w:highlight w:val="none"/>
        </w:rPr>
        <w:t>≥1时</w:t>
      </w:r>
      <w:r>
        <w:rPr>
          <w:rFonts w:hint="eastAsia"/>
          <w:color w:val="auto"/>
          <w:highlight w:val="none"/>
          <w:lang w:eastAsia="zh-CN"/>
        </w:rPr>
        <w:t>，</w:t>
      </w:r>
      <w:r>
        <w:rPr>
          <w:color w:val="auto"/>
          <w:highlight w:val="none"/>
        </w:rPr>
        <w:t>将</w:t>
      </w:r>
      <w:r>
        <w:rPr>
          <w:i/>
          <w:color w:val="auto"/>
          <w:highlight w:val="none"/>
        </w:rPr>
        <w:t>Q</w:t>
      </w:r>
      <w:r>
        <w:rPr>
          <w:color w:val="auto"/>
          <w:highlight w:val="none"/>
        </w:rPr>
        <w:t>值划分为：（1）1≤</w:t>
      </w:r>
      <w:r>
        <w:rPr>
          <w:i/>
          <w:color w:val="auto"/>
          <w:highlight w:val="none"/>
        </w:rPr>
        <w:t>Q</w:t>
      </w:r>
      <w:r>
        <w:rPr>
          <w:color w:val="auto"/>
          <w:highlight w:val="none"/>
        </w:rPr>
        <w:t>＜10；（2）10≤</w:t>
      </w:r>
      <w:r>
        <w:rPr>
          <w:i/>
          <w:color w:val="auto"/>
          <w:highlight w:val="none"/>
        </w:rPr>
        <w:t>Q</w:t>
      </w:r>
      <w:r>
        <w:rPr>
          <w:color w:val="auto"/>
          <w:highlight w:val="none"/>
        </w:rPr>
        <w:t>＜100；（3）</w:t>
      </w:r>
      <w:r>
        <w:rPr>
          <w:i/>
          <w:color w:val="auto"/>
          <w:highlight w:val="none"/>
        </w:rPr>
        <w:t>Q</w:t>
      </w:r>
      <w:r>
        <w:rPr>
          <w:color w:val="auto"/>
          <w:highlight w:val="none"/>
        </w:rPr>
        <w:t>≥100。</w:t>
      </w:r>
    </w:p>
    <w:p w14:paraId="130EC794">
      <w:pPr>
        <w:pStyle w:val="102"/>
        <w:ind w:firstLine="480"/>
        <w:rPr>
          <w:color w:val="auto"/>
          <w:szCs w:val="24"/>
          <w:highlight w:val="none"/>
        </w:rPr>
      </w:pPr>
      <w:r>
        <w:rPr>
          <w:color w:val="auto"/>
          <w:szCs w:val="24"/>
          <w:highlight w:val="none"/>
        </w:rPr>
        <w:t>根据《建设项目环境风险评价技术导则》（HJ169-2018）附录B</w:t>
      </w:r>
      <w:r>
        <w:rPr>
          <w:rFonts w:hint="eastAsia"/>
          <w:color w:val="auto"/>
          <w:szCs w:val="24"/>
          <w:highlight w:val="none"/>
          <w:lang w:eastAsia="zh-CN"/>
        </w:rPr>
        <w:t>，</w:t>
      </w:r>
      <w:r>
        <w:rPr>
          <w:rFonts w:hint="eastAsia"/>
          <w:color w:val="auto"/>
          <w:highlight w:val="none"/>
        </w:rPr>
        <w:t>本项目聚合M</w:t>
      </w:r>
      <w:r>
        <w:rPr>
          <w:color w:val="auto"/>
          <w:highlight w:val="none"/>
        </w:rPr>
        <w:t>DI</w:t>
      </w:r>
      <w:r>
        <w:rPr>
          <w:rFonts w:hint="eastAsia"/>
          <w:color w:val="auto"/>
          <w:highlight w:val="none"/>
        </w:rPr>
        <w:t>日常存储量为4</w:t>
      </w:r>
      <w:r>
        <w:rPr>
          <w:color w:val="auto"/>
          <w:highlight w:val="none"/>
        </w:rPr>
        <w:t>.072</w:t>
      </w:r>
      <w:r>
        <w:rPr>
          <w:rFonts w:hint="eastAsia"/>
          <w:color w:val="auto"/>
          <w:highlight w:val="none"/>
        </w:rPr>
        <w:t>t（4m</w:t>
      </w:r>
      <w:r>
        <w:rPr>
          <w:color w:val="auto"/>
          <w:highlight w:val="none"/>
          <w:vertAlign w:val="superscript"/>
        </w:rPr>
        <w:t>3</w:t>
      </w:r>
      <w:r>
        <w:rPr>
          <w:rFonts w:hint="eastAsia"/>
          <w:color w:val="auto"/>
          <w:highlight w:val="none"/>
        </w:rPr>
        <w:t>）</w:t>
      </w:r>
      <w:r>
        <w:rPr>
          <w:rFonts w:hint="eastAsia"/>
          <w:color w:val="auto"/>
          <w:highlight w:val="none"/>
          <w:lang w:eastAsia="zh-CN"/>
        </w:rPr>
        <w:t>，</w:t>
      </w:r>
      <w:r>
        <w:rPr>
          <w:rFonts w:hint="eastAsia"/>
          <w:color w:val="auto"/>
          <w:highlight w:val="none"/>
        </w:rPr>
        <w:t>折算成M</w:t>
      </w:r>
      <w:r>
        <w:rPr>
          <w:color w:val="auto"/>
          <w:highlight w:val="none"/>
        </w:rPr>
        <w:t>DI</w:t>
      </w:r>
      <w:r>
        <w:rPr>
          <w:rFonts w:hint="eastAsia"/>
          <w:color w:val="auto"/>
          <w:highlight w:val="none"/>
        </w:rPr>
        <w:t>存储量为2</w:t>
      </w:r>
      <w:r>
        <w:rPr>
          <w:color w:val="auto"/>
          <w:highlight w:val="none"/>
        </w:rPr>
        <w:t>.036</w:t>
      </w:r>
      <w:r>
        <w:rPr>
          <w:rFonts w:hint="eastAsia"/>
          <w:color w:val="auto"/>
          <w:highlight w:val="none"/>
        </w:rPr>
        <w:t>t（M</w:t>
      </w:r>
      <w:r>
        <w:rPr>
          <w:color w:val="auto"/>
          <w:highlight w:val="none"/>
        </w:rPr>
        <w:t>DI</w:t>
      </w:r>
      <w:r>
        <w:rPr>
          <w:rFonts w:hint="eastAsia"/>
          <w:color w:val="auto"/>
          <w:highlight w:val="none"/>
        </w:rPr>
        <w:t>占聚合M</w:t>
      </w:r>
      <w:r>
        <w:rPr>
          <w:color w:val="auto"/>
          <w:highlight w:val="none"/>
        </w:rPr>
        <w:t>DI</w:t>
      </w:r>
      <w:r>
        <w:rPr>
          <w:rFonts w:hint="eastAsia"/>
          <w:color w:val="auto"/>
          <w:highlight w:val="none"/>
        </w:rPr>
        <w:t>的5</w:t>
      </w:r>
      <w:r>
        <w:rPr>
          <w:color w:val="auto"/>
          <w:highlight w:val="none"/>
        </w:rPr>
        <w:t>0</w:t>
      </w:r>
      <w:r>
        <w:rPr>
          <w:rFonts w:hint="eastAsia"/>
          <w:color w:val="auto"/>
          <w:highlight w:val="none"/>
        </w:rPr>
        <w:t>%）</w:t>
      </w:r>
      <w:r>
        <w:rPr>
          <w:rFonts w:hint="eastAsia"/>
          <w:color w:val="auto"/>
          <w:highlight w:val="none"/>
          <w:lang w:eastAsia="zh-CN"/>
        </w:rPr>
        <w:t>，</w:t>
      </w:r>
      <w:r>
        <w:rPr>
          <w:rFonts w:hint="eastAsia"/>
          <w:color w:val="auto"/>
          <w:highlight w:val="none"/>
        </w:rPr>
        <w:t>临界量为0</w:t>
      </w:r>
      <w:r>
        <w:rPr>
          <w:color w:val="auto"/>
          <w:highlight w:val="none"/>
        </w:rPr>
        <w:t>.5</w:t>
      </w:r>
      <w:r>
        <w:rPr>
          <w:rFonts w:hint="eastAsia"/>
          <w:color w:val="auto"/>
          <w:highlight w:val="none"/>
        </w:rPr>
        <w:t>t；二丁酯日常存储量均为4</w:t>
      </w:r>
      <w:r>
        <w:rPr>
          <w:color w:val="auto"/>
          <w:highlight w:val="none"/>
        </w:rPr>
        <w:t>.2</w:t>
      </w:r>
      <w:r>
        <w:rPr>
          <w:rFonts w:hint="eastAsia"/>
          <w:color w:val="auto"/>
          <w:highlight w:val="none"/>
        </w:rPr>
        <w:t>t（4m</w:t>
      </w:r>
      <w:r>
        <w:rPr>
          <w:color w:val="auto"/>
          <w:highlight w:val="none"/>
          <w:vertAlign w:val="superscript"/>
        </w:rPr>
        <w:t>3</w:t>
      </w:r>
      <w:r>
        <w:rPr>
          <w:rFonts w:hint="eastAsia"/>
          <w:color w:val="auto"/>
          <w:highlight w:val="none"/>
        </w:rPr>
        <w:t>）</w:t>
      </w:r>
      <w:r>
        <w:rPr>
          <w:rFonts w:hint="eastAsia"/>
          <w:color w:val="auto"/>
          <w:highlight w:val="none"/>
          <w:lang w:eastAsia="zh-CN"/>
        </w:rPr>
        <w:t>，</w:t>
      </w:r>
      <w:r>
        <w:rPr>
          <w:rFonts w:hint="eastAsia"/>
          <w:color w:val="auto"/>
          <w:highlight w:val="none"/>
        </w:rPr>
        <w:t>临界量为1</w:t>
      </w:r>
      <w:r>
        <w:rPr>
          <w:color w:val="auto"/>
          <w:highlight w:val="none"/>
        </w:rPr>
        <w:t>0</w:t>
      </w:r>
      <w:r>
        <w:rPr>
          <w:rFonts w:hint="eastAsia"/>
          <w:color w:val="auto"/>
          <w:highlight w:val="none"/>
        </w:rPr>
        <w:t>t。经计算</w:t>
      </w:r>
      <w:r>
        <w:rPr>
          <w:rFonts w:hint="eastAsia"/>
          <w:color w:val="auto"/>
          <w:highlight w:val="none"/>
          <w:lang w:eastAsia="zh-CN"/>
        </w:rPr>
        <w:t>，</w:t>
      </w:r>
      <w:r>
        <w:rPr>
          <w:rFonts w:hint="eastAsia"/>
          <w:color w:val="auto"/>
          <w:highlight w:val="none"/>
        </w:rPr>
        <w:t>Q</w:t>
      </w:r>
      <w:r>
        <w:rPr>
          <w:color w:val="auto"/>
          <w:highlight w:val="none"/>
        </w:rPr>
        <w:t>=2.036</w:t>
      </w:r>
      <w:r>
        <w:rPr>
          <w:rFonts w:hint="eastAsia"/>
          <w:color w:val="auto"/>
          <w:highlight w:val="none"/>
        </w:rPr>
        <w:t>/</w:t>
      </w:r>
      <w:r>
        <w:rPr>
          <w:color w:val="auto"/>
          <w:highlight w:val="none"/>
        </w:rPr>
        <w:t>0.5+4.2/10</w:t>
      </w:r>
      <w:r>
        <w:rPr>
          <w:rFonts w:hint="eastAsia"/>
          <w:color w:val="auto"/>
          <w:highlight w:val="none"/>
        </w:rPr>
        <w:t>=</w:t>
      </w:r>
      <w:r>
        <w:rPr>
          <w:color w:val="auto"/>
          <w:highlight w:val="none"/>
        </w:rPr>
        <w:t>4.492</w:t>
      </w:r>
      <w:r>
        <w:rPr>
          <w:rFonts w:hint="eastAsia"/>
          <w:color w:val="auto"/>
          <w:highlight w:val="none"/>
        </w:rPr>
        <w:t>＞1</w:t>
      </w:r>
      <w:r>
        <w:rPr>
          <w:rFonts w:hint="eastAsia"/>
          <w:color w:val="auto"/>
          <w:szCs w:val="24"/>
          <w:highlight w:val="none"/>
          <w:lang w:eastAsia="zh-CN"/>
        </w:rPr>
        <w:t>，</w:t>
      </w:r>
      <w:r>
        <w:rPr>
          <w:color w:val="auto"/>
          <w:szCs w:val="24"/>
          <w:highlight w:val="none"/>
        </w:rPr>
        <w:t>属于1≤</w:t>
      </w:r>
      <w:r>
        <w:rPr>
          <w:i/>
          <w:color w:val="auto"/>
          <w:szCs w:val="24"/>
          <w:highlight w:val="none"/>
        </w:rPr>
        <w:t>Q</w:t>
      </w:r>
      <w:r>
        <w:rPr>
          <w:color w:val="auto"/>
          <w:szCs w:val="24"/>
          <w:highlight w:val="none"/>
        </w:rPr>
        <w:t>＜10。</w:t>
      </w:r>
    </w:p>
    <w:p w14:paraId="789F4E96">
      <w:pPr>
        <w:pStyle w:val="102"/>
        <w:ind w:firstLine="480"/>
        <w:rPr>
          <w:color w:val="auto"/>
          <w:highlight w:val="none"/>
        </w:rPr>
      </w:pPr>
      <w:r>
        <w:rPr>
          <w:rFonts w:hint="eastAsia"/>
          <w:color w:val="auto"/>
          <w:highlight w:val="none"/>
        </w:rPr>
        <w:t>（2）</w:t>
      </w:r>
      <w:r>
        <w:rPr>
          <w:color w:val="auto"/>
          <w:highlight w:val="none"/>
        </w:rPr>
        <w:t>行业与生产工艺（M）的确定</w:t>
      </w:r>
    </w:p>
    <w:p w14:paraId="31C59506">
      <w:pPr>
        <w:pStyle w:val="102"/>
        <w:ind w:firstLine="480"/>
        <w:rPr>
          <w:color w:val="auto"/>
        </w:rPr>
      </w:pPr>
      <w:r>
        <w:rPr>
          <w:color w:val="auto"/>
          <w:highlight w:val="none"/>
        </w:rPr>
        <w:t>根据《建设项目环境风险评价技术导则》（HJ169-201</w:t>
      </w:r>
      <w:r>
        <w:rPr>
          <w:color w:val="auto"/>
        </w:rPr>
        <w:t>8）附录C</w:t>
      </w:r>
      <w:r>
        <w:rPr>
          <w:rFonts w:hint="eastAsia"/>
          <w:color w:val="auto"/>
          <w:lang w:eastAsia="zh-CN"/>
        </w:rPr>
        <w:t>，</w:t>
      </w:r>
      <w:r>
        <w:rPr>
          <w:color w:val="auto"/>
        </w:rPr>
        <w:t>分析项目所属行业及生产工艺特点</w:t>
      </w:r>
      <w:r>
        <w:rPr>
          <w:rFonts w:hint="eastAsia"/>
          <w:color w:val="auto"/>
          <w:lang w:eastAsia="zh-CN"/>
        </w:rPr>
        <w:t>，</w:t>
      </w:r>
      <w:r>
        <w:rPr>
          <w:color w:val="auto"/>
        </w:rPr>
        <w:t>评估生产工艺情况。具有多套工艺单元的项目</w:t>
      </w:r>
      <w:r>
        <w:rPr>
          <w:rFonts w:hint="eastAsia"/>
          <w:color w:val="auto"/>
          <w:lang w:eastAsia="zh-CN"/>
        </w:rPr>
        <w:t>，</w:t>
      </w:r>
      <w:r>
        <w:rPr>
          <w:color w:val="auto"/>
        </w:rPr>
        <w:t>对每套生产工艺分别评分并求和。将M划分为（1）M＞20；（2）10＜M≤20；（3）5＜M≤10；（4）M=5</w:t>
      </w:r>
      <w:r>
        <w:rPr>
          <w:rFonts w:hint="eastAsia"/>
          <w:color w:val="auto"/>
          <w:lang w:eastAsia="zh-CN"/>
        </w:rPr>
        <w:t>，</w:t>
      </w:r>
      <w:r>
        <w:rPr>
          <w:color w:val="auto"/>
        </w:rPr>
        <w:t>分别以M1、M2、M3和M4表示。根据《建设项目环境风险评价技术导则》（HJ169-2018）附录C表C.1行业及生产工艺分析本项目所属行业</w:t>
      </w:r>
      <w:r>
        <w:rPr>
          <w:rFonts w:hint="eastAsia"/>
          <w:color w:val="auto"/>
          <w:lang w:eastAsia="zh-CN"/>
        </w:rPr>
        <w:t>，</w:t>
      </w:r>
      <w:r>
        <w:rPr>
          <w:color w:val="auto"/>
        </w:rPr>
        <w:t>确定本项目行业为其他</w:t>
      </w:r>
      <w:r>
        <w:rPr>
          <w:rFonts w:hint="eastAsia"/>
          <w:color w:val="auto"/>
          <w:lang w:eastAsia="zh-CN"/>
        </w:rPr>
        <w:t>，</w:t>
      </w:r>
      <w:r>
        <w:rPr>
          <w:color w:val="auto"/>
        </w:rPr>
        <w:t>M分值确定为5。确定本项目行业与生产工艺（M）分级为M4。</w:t>
      </w:r>
    </w:p>
    <w:p w14:paraId="489185DE">
      <w:pPr>
        <w:pStyle w:val="102"/>
        <w:ind w:firstLine="480"/>
        <w:rPr>
          <w:color w:val="auto"/>
        </w:rPr>
      </w:pPr>
      <w:r>
        <w:rPr>
          <w:rFonts w:hint="eastAsia"/>
          <w:color w:val="auto"/>
        </w:rPr>
        <w:t>（3）</w:t>
      </w:r>
      <w:r>
        <w:rPr>
          <w:color w:val="auto"/>
        </w:rPr>
        <w:t>P的分级确定</w:t>
      </w:r>
    </w:p>
    <w:p w14:paraId="7041802C">
      <w:pPr>
        <w:pStyle w:val="102"/>
        <w:ind w:firstLine="480"/>
        <w:rPr>
          <w:color w:val="auto"/>
        </w:rPr>
      </w:pPr>
      <w:r>
        <w:rPr>
          <w:color w:val="auto"/>
        </w:rPr>
        <w:t>根据危险物质数量与临界量比值（Q）和行业及生产工艺（M）</w:t>
      </w:r>
      <w:r>
        <w:rPr>
          <w:rFonts w:hint="eastAsia"/>
          <w:color w:val="auto"/>
          <w:lang w:eastAsia="zh-CN"/>
        </w:rPr>
        <w:t>，</w:t>
      </w:r>
      <w:r>
        <w:rPr>
          <w:color w:val="auto"/>
        </w:rPr>
        <w:t>按照下表确定危险物质及工艺系统危险性等级（P）</w:t>
      </w:r>
      <w:r>
        <w:rPr>
          <w:rFonts w:hint="eastAsia"/>
          <w:color w:val="auto"/>
          <w:lang w:eastAsia="zh-CN"/>
        </w:rPr>
        <w:t>，</w:t>
      </w:r>
      <w:r>
        <w:rPr>
          <w:color w:val="auto"/>
        </w:rPr>
        <w:t>分别以P1、P2、P3、P4 表示。</w:t>
      </w:r>
    </w:p>
    <w:p w14:paraId="6FF10732">
      <w:pPr>
        <w:pStyle w:val="114"/>
        <w:rPr>
          <w:color w:val="auto"/>
        </w:rPr>
      </w:pPr>
      <w:r>
        <w:rPr>
          <w:rFonts w:hint="eastAsia"/>
          <w:color w:val="auto"/>
        </w:rPr>
        <w:t>表</w:t>
      </w:r>
      <w:r>
        <w:rPr>
          <w:color w:val="auto"/>
        </w:rPr>
        <w:t>2-3</w:t>
      </w:r>
      <w:r>
        <w:rPr>
          <w:rFonts w:hint="eastAsia"/>
          <w:color w:val="auto"/>
        </w:rPr>
        <w:t xml:space="preserve"> 危险物质及工艺系统危险性等级判断（P）</w:t>
      </w:r>
    </w:p>
    <w:tbl>
      <w:tblPr>
        <w:tblStyle w:val="43"/>
        <w:tblW w:w="5000" w:type="pct"/>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5350"/>
        <w:gridCol w:w="928"/>
        <w:gridCol w:w="928"/>
        <w:gridCol w:w="928"/>
        <w:gridCol w:w="926"/>
      </w:tblGrid>
      <w:tr w14:paraId="160D4D3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PrEx>
        <w:trPr>
          <w:trHeight w:val="397" w:hRule="atLeast"/>
        </w:trPr>
        <w:tc>
          <w:tcPr>
            <w:tcW w:w="2953" w:type="pct"/>
            <w:vMerge w:val="restart"/>
            <w:vAlign w:val="center"/>
          </w:tcPr>
          <w:p w14:paraId="1D6D0181">
            <w:pPr>
              <w:pStyle w:val="101"/>
              <w:rPr>
                <w:snapToGrid w:val="0"/>
                <w:color w:val="auto"/>
              </w:rPr>
            </w:pPr>
            <w:r>
              <w:rPr>
                <w:rFonts w:hint="eastAsia"/>
                <w:snapToGrid w:val="0"/>
                <w:color w:val="auto"/>
              </w:rPr>
              <w:t>危险物质数量与临界量比值（Q）</w:t>
            </w:r>
          </w:p>
        </w:tc>
        <w:tc>
          <w:tcPr>
            <w:tcW w:w="2047" w:type="pct"/>
            <w:gridSpan w:val="4"/>
            <w:vAlign w:val="center"/>
          </w:tcPr>
          <w:p w14:paraId="7C6564C8">
            <w:pPr>
              <w:pStyle w:val="101"/>
              <w:rPr>
                <w:snapToGrid w:val="0"/>
                <w:color w:val="auto"/>
              </w:rPr>
            </w:pPr>
            <w:r>
              <w:rPr>
                <w:rFonts w:hint="eastAsia"/>
                <w:snapToGrid w:val="0"/>
                <w:color w:val="auto"/>
              </w:rPr>
              <w:t>行业及生产工艺（M）</w:t>
            </w:r>
          </w:p>
        </w:tc>
      </w:tr>
      <w:tr w14:paraId="7695C42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53" w:type="pct"/>
            <w:vMerge w:val="continue"/>
            <w:vAlign w:val="center"/>
          </w:tcPr>
          <w:p w14:paraId="050903EA">
            <w:pPr>
              <w:pStyle w:val="101"/>
              <w:rPr>
                <w:snapToGrid w:val="0"/>
                <w:color w:val="auto"/>
              </w:rPr>
            </w:pPr>
          </w:p>
        </w:tc>
        <w:tc>
          <w:tcPr>
            <w:tcW w:w="512" w:type="pct"/>
            <w:vAlign w:val="center"/>
          </w:tcPr>
          <w:p w14:paraId="77420B89">
            <w:pPr>
              <w:pStyle w:val="101"/>
              <w:rPr>
                <w:snapToGrid w:val="0"/>
                <w:color w:val="auto"/>
              </w:rPr>
            </w:pPr>
            <w:r>
              <w:rPr>
                <w:rFonts w:hint="eastAsia"/>
                <w:snapToGrid w:val="0"/>
                <w:color w:val="auto"/>
              </w:rPr>
              <w:t>M1</w:t>
            </w:r>
          </w:p>
        </w:tc>
        <w:tc>
          <w:tcPr>
            <w:tcW w:w="512" w:type="pct"/>
            <w:vAlign w:val="center"/>
          </w:tcPr>
          <w:p w14:paraId="32A335B1">
            <w:pPr>
              <w:pStyle w:val="101"/>
              <w:rPr>
                <w:snapToGrid w:val="0"/>
                <w:color w:val="auto"/>
              </w:rPr>
            </w:pPr>
            <w:r>
              <w:rPr>
                <w:rFonts w:hint="eastAsia"/>
                <w:snapToGrid w:val="0"/>
                <w:color w:val="auto"/>
              </w:rPr>
              <w:t>M2</w:t>
            </w:r>
          </w:p>
        </w:tc>
        <w:tc>
          <w:tcPr>
            <w:tcW w:w="512" w:type="pct"/>
            <w:vAlign w:val="center"/>
          </w:tcPr>
          <w:p w14:paraId="0F1BDAC2">
            <w:pPr>
              <w:pStyle w:val="101"/>
              <w:rPr>
                <w:snapToGrid w:val="0"/>
                <w:color w:val="auto"/>
              </w:rPr>
            </w:pPr>
            <w:r>
              <w:rPr>
                <w:rFonts w:hint="eastAsia"/>
                <w:snapToGrid w:val="0"/>
                <w:color w:val="auto"/>
              </w:rPr>
              <w:t>M3</w:t>
            </w:r>
          </w:p>
        </w:tc>
        <w:tc>
          <w:tcPr>
            <w:tcW w:w="512" w:type="pct"/>
            <w:vAlign w:val="center"/>
          </w:tcPr>
          <w:p w14:paraId="41F24B11">
            <w:pPr>
              <w:pStyle w:val="101"/>
              <w:rPr>
                <w:snapToGrid w:val="0"/>
                <w:color w:val="auto"/>
              </w:rPr>
            </w:pPr>
            <w:r>
              <w:rPr>
                <w:rFonts w:hint="eastAsia"/>
                <w:snapToGrid w:val="0"/>
                <w:color w:val="auto"/>
              </w:rPr>
              <w:t>M4</w:t>
            </w:r>
          </w:p>
        </w:tc>
      </w:tr>
      <w:tr w14:paraId="1A76181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53" w:type="pct"/>
            <w:vAlign w:val="center"/>
          </w:tcPr>
          <w:p w14:paraId="644A4F5B">
            <w:pPr>
              <w:pStyle w:val="101"/>
              <w:rPr>
                <w:snapToGrid w:val="0"/>
                <w:color w:val="auto"/>
              </w:rPr>
            </w:pPr>
            <w:r>
              <w:rPr>
                <w:i/>
                <w:color w:val="auto"/>
              </w:rPr>
              <w:t>Q</w:t>
            </w:r>
            <w:r>
              <w:rPr>
                <w:color w:val="auto"/>
              </w:rPr>
              <w:t>≥100</w:t>
            </w:r>
          </w:p>
        </w:tc>
        <w:tc>
          <w:tcPr>
            <w:tcW w:w="512" w:type="pct"/>
            <w:vAlign w:val="center"/>
          </w:tcPr>
          <w:p w14:paraId="36116524">
            <w:pPr>
              <w:pStyle w:val="101"/>
              <w:rPr>
                <w:snapToGrid w:val="0"/>
                <w:color w:val="auto"/>
              </w:rPr>
            </w:pPr>
            <w:r>
              <w:rPr>
                <w:rFonts w:hint="eastAsia"/>
                <w:snapToGrid w:val="0"/>
                <w:color w:val="auto"/>
              </w:rPr>
              <w:t>P1</w:t>
            </w:r>
          </w:p>
        </w:tc>
        <w:tc>
          <w:tcPr>
            <w:tcW w:w="512" w:type="pct"/>
            <w:vAlign w:val="center"/>
          </w:tcPr>
          <w:p w14:paraId="18D0BE9E">
            <w:pPr>
              <w:pStyle w:val="101"/>
              <w:rPr>
                <w:snapToGrid w:val="0"/>
                <w:color w:val="auto"/>
              </w:rPr>
            </w:pPr>
            <w:r>
              <w:rPr>
                <w:rFonts w:hint="eastAsia"/>
                <w:snapToGrid w:val="0"/>
                <w:color w:val="auto"/>
              </w:rPr>
              <w:t>P1</w:t>
            </w:r>
          </w:p>
        </w:tc>
        <w:tc>
          <w:tcPr>
            <w:tcW w:w="512" w:type="pct"/>
            <w:vAlign w:val="center"/>
          </w:tcPr>
          <w:p w14:paraId="69D3E435">
            <w:pPr>
              <w:pStyle w:val="101"/>
              <w:rPr>
                <w:snapToGrid w:val="0"/>
                <w:color w:val="auto"/>
              </w:rPr>
            </w:pPr>
            <w:r>
              <w:rPr>
                <w:rFonts w:hint="eastAsia"/>
                <w:snapToGrid w:val="0"/>
                <w:color w:val="auto"/>
              </w:rPr>
              <w:t>P2</w:t>
            </w:r>
          </w:p>
        </w:tc>
        <w:tc>
          <w:tcPr>
            <w:tcW w:w="512" w:type="pct"/>
            <w:vAlign w:val="center"/>
          </w:tcPr>
          <w:p w14:paraId="7E34EAB6">
            <w:pPr>
              <w:pStyle w:val="101"/>
              <w:rPr>
                <w:snapToGrid w:val="0"/>
                <w:color w:val="auto"/>
              </w:rPr>
            </w:pPr>
            <w:r>
              <w:rPr>
                <w:rFonts w:hint="eastAsia"/>
                <w:snapToGrid w:val="0"/>
                <w:color w:val="auto"/>
              </w:rPr>
              <w:t>P3</w:t>
            </w:r>
          </w:p>
        </w:tc>
      </w:tr>
      <w:tr w14:paraId="1089B1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53" w:type="pct"/>
            <w:vAlign w:val="center"/>
          </w:tcPr>
          <w:p w14:paraId="2BC6C2F9">
            <w:pPr>
              <w:pStyle w:val="101"/>
              <w:rPr>
                <w:snapToGrid w:val="0"/>
                <w:color w:val="auto"/>
              </w:rPr>
            </w:pPr>
            <w:r>
              <w:rPr>
                <w:color w:val="auto"/>
              </w:rPr>
              <w:t>10≤</w:t>
            </w:r>
            <w:r>
              <w:rPr>
                <w:i/>
                <w:color w:val="auto"/>
              </w:rPr>
              <w:t>Q</w:t>
            </w:r>
            <w:r>
              <w:rPr>
                <w:rFonts w:hint="eastAsia"/>
                <w:color w:val="auto"/>
              </w:rPr>
              <w:t>＜</w:t>
            </w:r>
            <w:r>
              <w:rPr>
                <w:color w:val="auto"/>
              </w:rPr>
              <w:t>100</w:t>
            </w:r>
          </w:p>
        </w:tc>
        <w:tc>
          <w:tcPr>
            <w:tcW w:w="512" w:type="pct"/>
            <w:vAlign w:val="center"/>
          </w:tcPr>
          <w:p w14:paraId="4B107F4F">
            <w:pPr>
              <w:pStyle w:val="101"/>
              <w:rPr>
                <w:snapToGrid w:val="0"/>
                <w:color w:val="auto"/>
              </w:rPr>
            </w:pPr>
            <w:r>
              <w:rPr>
                <w:rFonts w:hint="eastAsia"/>
                <w:snapToGrid w:val="0"/>
                <w:color w:val="auto"/>
              </w:rPr>
              <w:t>P1</w:t>
            </w:r>
          </w:p>
        </w:tc>
        <w:tc>
          <w:tcPr>
            <w:tcW w:w="512" w:type="pct"/>
            <w:vAlign w:val="center"/>
          </w:tcPr>
          <w:p w14:paraId="0D64DD6E">
            <w:pPr>
              <w:pStyle w:val="101"/>
              <w:rPr>
                <w:snapToGrid w:val="0"/>
                <w:color w:val="auto"/>
              </w:rPr>
            </w:pPr>
            <w:r>
              <w:rPr>
                <w:rFonts w:hint="eastAsia"/>
                <w:snapToGrid w:val="0"/>
                <w:color w:val="auto"/>
              </w:rPr>
              <w:t>P2</w:t>
            </w:r>
          </w:p>
        </w:tc>
        <w:tc>
          <w:tcPr>
            <w:tcW w:w="512" w:type="pct"/>
            <w:vAlign w:val="center"/>
          </w:tcPr>
          <w:p w14:paraId="437EDE95">
            <w:pPr>
              <w:pStyle w:val="101"/>
              <w:rPr>
                <w:snapToGrid w:val="0"/>
                <w:color w:val="auto"/>
              </w:rPr>
            </w:pPr>
            <w:r>
              <w:rPr>
                <w:rFonts w:hint="eastAsia"/>
                <w:snapToGrid w:val="0"/>
                <w:color w:val="auto"/>
              </w:rPr>
              <w:t>P3</w:t>
            </w:r>
          </w:p>
        </w:tc>
        <w:tc>
          <w:tcPr>
            <w:tcW w:w="512" w:type="pct"/>
            <w:vAlign w:val="center"/>
          </w:tcPr>
          <w:p w14:paraId="1A7E4BD5">
            <w:pPr>
              <w:pStyle w:val="101"/>
              <w:rPr>
                <w:snapToGrid w:val="0"/>
                <w:color w:val="auto"/>
              </w:rPr>
            </w:pPr>
            <w:r>
              <w:rPr>
                <w:rFonts w:hint="eastAsia"/>
                <w:snapToGrid w:val="0"/>
                <w:color w:val="auto"/>
              </w:rPr>
              <w:t>P4</w:t>
            </w:r>
          </w:p>
        </w:tc>
      </w:tr>
      <w:tr w14:paraId="083713E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953" w:type="pct"/>
            <w:vAlign w:val="center"/>
          </w:tcPr>
          <w:p w14:paraId="6B3201F8">
            <w:pPr>
              <w:pStyle w:val="101"/>
              <w:rPr>
                <w:snapToGrid w:val="0"/>
                <w:color w:val="auto"/>
              </w:rPr>
            </w:pPr>
            <w:r>
              <w:rPr>
                <w:color w:val="auto"/>
              </w:rPr>
              <w:t>1≤</w:t>
            </w:r>
            <w:r>
              <w:rPr>
                <w:i/>
                <w:color w:val="auto"/>
              </w:rPr>
              <w:t>Q</w:t>
            </w:r>
            <w:r>
              <w:rPr>
                <w:rFonts w:hint="eastAsia"/>
                <w:color w:val="auto"/>
              </w:rPr>
              <w:t>＜</w:t>
            </w:r>
            <w:r>
              <w:rPr>
                <w:color w:val="auto"/>
              </w:rPr>
              <w:t>10</w:t>
            </w:r>
          </w:p>
        </w:tc>
        <w:tc>
          <w:tcPr>
            <w:tcW w:w="512" w:type="pct"/>
            <w:vAlign w:val="center"/>
          </w:tcPr>
          <w:p w14:paraId="5944B073">
            <w:pPr>
              <w:pStyle w:val="101"/>
              <w:rPr>
                <w:snapToGrid w:val="0"/>
                <w:color w:val="auto"/>
              </w:rPr>
            </w:pPr>
            <w:r>
              <w:rPr>
                <w:rFonts w:hint="eastAsia"/>
                <w:snapToGrid w:val="0"/>
                <w:color w:val="auto"/>
              </w:rPr>
              <w:t>P2</w:t>
            </w:r>
          </w:p>
        </w:tc>
        <w:tc>
          <w:tcPr>
            <w:tcW w:w="512" w:type="pct"/>
            <w:vAlign w:val="center"/>
          </w:tcPr>
          <w:p w14:paraId="57ACCF55">
            <w:pPr>
              <w:pStyle w:val="101"/>
              <w:rPr>
                <w:snapToGrid w:val="0"/>
                <w:color w:val="auto"/>
              </w:rPr>
            </w:pPr>
            <w:r>
              <w:rPr>
                <w:rFonts w:hint="eastAsia"/>
                <w:snapToGrid w:val="0"/>
                <w:color w:val="auto"/>
              </w:rPr>
              <w:t>P3</w:t>
            </w:r>
          </w:p>
        </w:tc>
        <w:tc>
          <w:tcPr>
            <w:tcW w:w="512" w:type="pct"/>
            <w:vAlign w:val="center"/>
          </w:tcPr>
          <w:p w14:paraId="02001A14">
            <w:pPr>
              <w:pStyle w:val="101"/>
              <w:rPr>
                <w:snapToGrid w:val="0"/>
                <w:color w:val="auto"/>
              </w:rPr>
            </w:pPr>
            <w:r>
              <w:rPr>
                <w:rFonts w:hint="eastAsia"/>
                <w:snapToGrid w:val="0"/>
                <w:color w:val="auto"/>
              </w:rPr>
              <w:t>P4</w:t>
            </w:r>
          </w:p>
        </w:tc>
        <w:tc>
          <w:tcPr>
            <w:tcW w:w="512" w:type="pct"/>
            <w:vAlign w:val="center"/>
          </w:tcPr>
          <w:p w14:paraId="3C7556CC">
            <w:pPr>
              <w:pStyle w:val="101"/>
              <w:rPr>
                <w:snapToGrid w:val="0"/>
                <w:color w:val="auto"/>
              </w:rPr>
            </w:pPr>
            <w:r>
              <w:rPr>
                <w:rFonts w:hint="eastAsia"/>
                <w:snapToGrid w:val="0"/>
                <w:color w:val="auto"/>
              </w:rPr>
              <w:t>P4</w:t>
            </w:r>
          </w:p>
        </w:tc>
      </w:tr>
    </w:tbl>
    <w:p w14:paraId="74ADDEA5">
      <w:pPr>
        <w:pStyle w:val="102"/>
        <w:ind w:firstLine="480"/>
        <w:rPr>
          <w:color w:val="auto"/>
        </w:rPr>
      </w:pPr>
      <w:r>
        <w:rPr>
          <w:color w:val="auto"/>
        </w:rPr>
        <w:t>本项目</w:t>
      </w:r>
      <w:r>
        <w:rPr>
          <w:rFonts w:hint="eastAsia"/>
          <w:snapToGrid w:val="0"/>
          <w:color w:val="auto"/>
        </w:rPr>
        <w:t>行业及生产工艺（M）确定</w:t>
      </w:r>
      <w:r>
        <w:rPr>
          <w:snapToGrid w:val="0"/>
          <w:color w:val="auto"/>
        </w:rPr>
        <w:t>为</w:t>
      </w:r>
      <w:r>
        <w:rPr>
          <w:rFonts w:hint="eastAsia"/>
          <w:snapToGrid w:val="0"/>
          <w:color w:val="auto"/>
        </w:rPr>
        <w:t>M4</w:t>
      </w:r>
      <w:r>
        <w:rPr>
          <w:rFonts w:hint="eastAsia"/>
          <w:snapToGrid w:val="0"/>
          <w:color w:val="auto"/>
          <w:lang w:eastAsia="zh-CN"/>
        </w:rPr>
        <w:t>，</w:t>
      </w:r>
      <w:r>
        <w:rPr>
          <w:rFonts w:hint="eastAsia"/>
          <w:snapToGrid w:val="0"/>
          <w:color w:val="auto"/>
        </w:rPr>
        <w:t>危险物质数量与临界量比值（Q）确定为</w:t>
      </w:r>
      <w:r>
        <w:rPr>
          <w:color w:val="auto"/>
        </w:rPr>
        <w:t>1≤</w:t>
      </w:r>
      <w:r>
        <w:rPr>
          <w:i/>
          <w:color w:val="auto"/>
        </w:rPr>
        <w:t>Q</w:t>
      </w:r>
      <w:r>
        <w:rPr>
          <w:rFonts w:hint="eastAsia"/>
          <w:color w:val="auto"/>
        </w:rPr>
        <w:t>＜</w:t>
      </w:r>
      <w:r>
        <w:rPr>
          <w:color w:val="auto"/>
        </w:rPr>
        <w:t>10</w:t>
      </w:r>
      <w:r>
        <w:rPr>
          <w:rFonts w:hint="eastAsia"/>
          <w:color w:val="auto"/>
          <w:lang w:eastAsia="zh-CN"/>
        </w:rPr>
        <w:t>，</w:t>
      </w:r>
      <w:r>
        <w:rPr>
          <w:rFonts w:hint="eastAsia"/>
          <w:color w:val="auto"/>
        </w:rPr>
        <w:t>根据上表</w:t>
      </w:r>
      <w:r>
        <w:rPr>
          <w:color w:val="auto"/>
        </w:rPr>
        <w:t>可知</w:t>
      </w:r>
      <w:r>
        <w:rPr>
          <w:rFonts w:hint="eastAsia"/>
          <w:color w:val="auto"/>
          <w:lang w:eastAsia="zh-CN"/>
        </w:rPr>
        <w:t>，</w:t>
      </w:r>
      <w:r>
        <w:rPr>
          <w:rFonts w:hint="eastAsia"/>
          <w:color w:val="auto"/>
        </w:rPr>
        <w:t>本项目危险物质及工艺系统危险性等级（P）为P4。</w:t>
      </w:r>
    </w:p>
    <w:p w14:paraId="7FCF7F7C">
      <w:pPr>
        <w:pStyle w:val="2"/>
        <w:spacing w:before="120" w:after="120"/>
        <w:rPr>
          <w:color w:val="auto"/>
        </w:rPr>
      </w:pPr>
      <w:r>
        <w:rPr>
          <w:rFonts w:hint="eastAsia"/>
          <w:color w:val="auto"/>
        </w:rPr>
        <w:t>2</w:t>
      </w:r>
      <w:r>
        <w:rPr>
          <w:color w:val="auto"/>
        </w:rPr>
        <w:t>.3</w:t>
      </w:r>
      <w:r>
        <w:rPr>
          <w:rFonts w:hint="eastAsia"/>
          <w:color w:val="auto"/>
        </w:rPr>
        <w:t>E的分级确定</w:t>
      </w:r>
    </w:p>
    <w:p w14:paraId="6FF9973C">
      <w:pPr>
        <w:pStyle w:val="102"/>
        <w:ind w:firstLine="480"/>
        <w:rPr>
          <w:color w:val="auto"/>
        </w:rPr>
      </w:pPr>
      <w:r>
        <w:rPr>
          <w:rFonts w:hint="eastAsia"/>
          <w:color w:val="auto"/>
        </w:rPr>
        <w:t>根据《建设项目环境风险评价技术导则》（HJ169-2018）中“6.3E的分级确定”可知</w:t>
      </w:r>
      <w:r>
        <w:rPr>
          <w:rFonts w:hint="eastAsia"/>
          <w:color w:val="auto"/>
          <w:lang w:eastAsia="zh-CN"/>
        </w:rPr>
        <w:t>，</w:t>
      </w:r>
      <w:r>
        <w:rPr>
          <w:rFonts w:hint="eastAsia"/>
          <w:color w:val="auto"/>
        </w:rPr>
        <w:t>应分析危险物质在事故情形下的环境影响途径</w:t>
      </w:r>
      <w:r>
        <w:rPr>
          <w:rFonts w:hint="eastAsia"/>
          <w:color w:val="auto"/>
          <w:lang w:eastAsia="zh-CN"/>
        </w:rPr>
        <w:t>，</w:t>
      </w:r>
      <w:r>
        <w:rPr>
          <w:rFonts w:hint="eastAsia"/>
          <w:color w:val="auto"/>
        </w:rPr>
        <w:t>如大气、地表水、地下水等</w:t>
      </w:r>
      <w:r>
        <w:rPr>
          <w:rFonts w:hint="eastAsia"/>
          <w:color w:val="auto"/>
          <w:lang w:eastAsia="zh-CN"/>
        </w:rPr>
        <w:t>，</w:t>
      </w:r>
      <w:r>
        <w:rPr>
          <w:rFonts w:hint="eastAsia"/>
          <w:color w:val="auto"/>
        </w:rPr>
        <w:t>按照导则中附录D建设项目各要素环境敏感程度（E）等级进行判断。</w:t>
      </w:r>
    </w:p>
    <w:p w14:paraId="7F9588A6">
      <w:pPr>
        <w:pStyle w:val="102"/>
        <w:ind w:firstLine="480"/>
        <w:rPr>
          <w:color w:val="auto"/>
        </w:rPr>
      </w:pPr>
      <w:r>
        <w:rPr>
          <w:rFonts w:hint="eastAsia"/>
          <w:color w:val="auto"/>
        </w:rPr>
        <w:t xml:space="preserve">（1）大气环境 </w:t>
      </w:r>
    </w:p>
    <w:p w14:paraId="72EC12E8">
      <w:pPr>
        <w:pStyle w:val="102"/>
        <w:ind w:firstLine="480"/>
        <w:rPr>
          <w:color w:val="auto"/>
        </w:rPr>
      </w:pPr>
      <w:r>
        <w:rPr>
          <w:rFonts w:hint="eastAsia"/>
          <w:color w:val="auto"/>
        </w:rPr>
        <w:t>依据环境敏感目标环境敏感性及人口密度划分环境风险受体的敏感性</w:t>
      </w:r>
      <w:r>
        <w:rPr>
          <w:rFonts w:hint="eastAsia"/>
          <w:color w:val="auto"/>
          <w:lang w:eastAsia="zh-CN"/>
        </w:rPr>
        <w:t>，</w:t>
      </w:r>
      <w:r>
        <w:rPr>
          <w:rFonts w:hint="eastAsia"/>
          <w:color w:val="auto"/>
        </w:rPr>
        <w:t>共分为三种类型</w:t>
      </w:r>
      <w:r>
        <w:rPr>
          <w:rFonts w:hint="eastAsia"/>
          <w:color w:val="auto"/>
          <w:lang w:eastAsia="zh-CN"/>
        </w:rPr>
        <w:t>，</w:t>
      </w:r>
      <w:r>
        <w:rPr>
          <w:rFonts w:hint="eastAsia"/>
          <w:color w:val="auto"/>
        </w:rPr>
        <w:t>E1为环境高度敏感区</w:t>
      </w:r>
      <w:r>
        <w:rPr>
          <w:rFonts w:hint="eastAsia"/>
          <w:color w:val="auto"/>
          <w:lang w:eastAsia="zh-CN"/>
        </w:rPr>
        <w:t>，</w:t>
      </w:r>
      <w:r>
        <w:rPr>
          <w:rFonts w:hint="eastAsia"/>
          <w:color w:val="auto"/>
        </w:rPr>
        <w:t>E2为环境中度敏感区</w:t>
      </w:r>
      <w:r>
        <w:rPr>
          <w:rFonts w:hint="eastAsia"/>
          <w:color w:val="auto"/>
          <w:lang w:eastAsia="zh-CN"/>
        </w:rPr>
        <w:t>，</w:t>
      </w:r>
      <w:r>
        <w:rPr>
          <w:rFonts w:hint="eastAsia"/>
          <w:color w:val="auto"/>
        </w:rPr>
        <w:t>E3为环境低度敏感区</w:t>
      </w:r>
      <w:r>
        <w:rPr>
          <w:rFonts w:hint="eastAsia"/>
          <w:color w:val="auto"/>
          <w:lang w:eastAsia="zh-CN"/>
        </w:rPr>
        <w:t>，</w:t>
      </w:r>
      <w:r>
        <w:rPr>
          <w:rFonts w:hint="eastAsia"/>
          <w:color w:val="auto"/>
        </w:rPr>
        <w:t>分级原则见表</w:t>
      </w:r>
      <w:r>
        <w:rPr>
          <w:color w:val="auto"/>
        </w:rPr>
        <w:t>2-4</w:t>
      </w:r>
      <w:r>
        <w:rPr>
          <w:rFonts w:hint="eastAsia"/>
          <w:color w:val="auto"/>
        </w:rPr>
        <w:t>。</w:t>
      </w:r>
    </w:p>
    <w:p w14:paraId="39A1F36C">
      <w:pPr>
        <w:pStyle w:val="114"/>
        <w:rPr>
          <w:color w:val="auto"/>
        </w:rPr>
      </w:pPr>
      <w:r>
        <w:rPr>
          <w:rFonts w:hint="eastAsia"/>
          <w:color w:val="auto"/>
        </w:rPr>
        <w:t>表</w:t>
      </w:r>
      <w:r>
        <w:rPr>
          <w:color w:val="auto"/>
        </w:rPr>
        <w:t>2-4</w:t>
      </w:r>
      <w:r>
        <w:rPr>
          <w:rFonts w:hint="eastAsia"/>
          <w:color w:val="auto"/>
          <w:lang w:val="en-US" w:eastAsia="zh-CN"/>
        </w:rPr>
        <w:t xml:space="preserve"> </w:t>
      </w:r>
      <w:r>
        <w:rPr>
          <w:rFonts w:hint="eastAsia"/>
          <w:color w:val="auto"/>
        </w:rPr>
        <w:t xml:space="preserve"> 大气环境敏感程度分级</w:t>
      </w:r>
    </w:p>
    <w:tbl>
      <w:tblPr>
        <w:tblStyle w:val="43"/>
        <w:tblW w:w="5000" w:type="pct"/>
        <w:tblInd w:w="108"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23"/>
        <w:gridCol w:w="8237"/>
      </w:tblGrid>
      <w:tr w14:paraId="5715F8F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54" w:type="pct"/>
            <w:vAlign w:val="center"/>
          </w:tcPr>
          <w:p w14:paraId="40ABF46A">
            <w:pPr>
              <w:pStyle w:val="101"/>
              <w:rPr>
                <w:color w:val="auto"/>
              </w:rPr>
            </w:pPr>
            <w:r>
              <w:rPr>
                <w:color w:val="auto"/>
              </w:rPr>
              <w:t>分级</w:t>
            </w:r>
          </w:p>
        </w:tc>
        <w:tc>
          <w:tcPr>
            <w:tcW w:w="4546" w:type="pct"/>
            <w:vAlign w:val="center"/>
          </w:tcPr>
          <w:p w14:paraId="46F1B26D">
            <w:pPr>
              <w:pStyle w:val="101"/>
              <w:rPr>
                <w:color w:val="auto"/>
              </w:rPr>
            </w:pPr>
            <w:r>
              <w:rPr>
                <w:color w:val="auto"/>
              </w:rPr>
              <w:t>大气环境敏感性</w:t>
            </w:r>
          </w:p>
        </w:tc>
      </w:tr>
      <w:tr w14:paraId="241B7D9B">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54" w:type="pct"/>
            <w:vAlign w:val="center"/>
          </w:tcPr>
          <w:p w14:paraId="1D562EFE">
            <w:pPr>
              <w:pStyle w:val="101"/>
              <w:rPr>
                <w:color w:val="auto"/>
              </w:rPr>
            </w:pPr>
            <w:r>
              <w:rPr>
                <w:color w:val="auto"/>
              </w:rPr>
              <w:t>E1</w:t>
            </w:r>
          </w:p>
        </w:tc>
        <w:tc>
          <w:tcPr>
            <w:tcW w:w="4546" w:type="pct"/>
            <w:vAlign w:val="center"/>
          </w:tcPr>
          <w:p w14:paraId="25C6402C">
            <w:pPr>
              <w:pStyle w:val="101"/>
              <w:rPr>
                <w:color w:val="auto"/>
              </w:rPr>
            </w:pPr>
            <w:r>
              <w:rPr>
                <w:color w:val="auto"/>
              </w:rPr>
              <w:t>周边5 km范围内居住区、医疗卫生、文化教育、科研、行政办公等机构人口总数大于5万人</w:t>
            </w:r>
            <w:r>
              <w:rPr>
                <w:rFonts w:hint="eastAsia"/>
                <w:color w:val="auto"/>
                <w:lang w:eastAsia="zh-CN"/>
              </w:rPr>
              <w:t>，</w:t>
            </w:r>
            <w:r>
              <w:rPr>
                <w:color w:val="auto"/>
              </w:rPr>
              <w:t>或其他需要特殊保护区域；或周边500m范围内人口总数大于1000 人；油气、化学品输送管线管段周边 200m范围内</w:t>
            </w:r>
            <w:r>
              <w:rPr>
                <w:rFonts w:hint="eastAsia"/>
                <w:color w:val="auto"/>
                <w:lang w:eastAsia="zh-CN"/>
              </w:rPr>
              <w:t>，</w:t>
            </w:r>
            <w:r>
              <w:rPr>
                <w:color w:val="auto"/>
              </w:rPr>
              <w:t>每千米管段人口数大于</w:t>
            </w:r>
            <w:r>
              <w:rPr>
                <w:rStyle w:val="53"/>
                <w:color w:val="auto"/>
              </w:rPr>
              <w:t>2</w:t>
            </w:r>
            <w:r>
              <w:rPr>
                <w:color w:val="auto"/>
              </w:rPr>
              <w:t>00 人</w:t>
            </w:r>
            <w:r>
              <w:rPr>
                <w:rFonts w:hint="eastAsia"/>
                <w:color w:val="auto"/>
              </w:rPr>
              <w:t>。</w:t>
            </w:r>
          </w:p>
        </w:tc>
      </w:tr>
      <w:tr w14:paraId="6EA67E41">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54" w:type="pct"/>
            <w:vAlign w:val="center"/>
          </w:tcPr>
          <w:p w14:paraId="1B43B815">
            <w:pPr>
              <w:pStyle w:val="101"/>
              <w:rPr>
                <w:color w:val="auto"/>
              </w:rPr>
            </w:pPr>
            <w:r>
              <w:rPr>
                <w:color w:val="auto"/>
              </w:rPr>
              <w:t>E2</w:t>
            </w:r>
          </w:p>
        </w:tc>
        <w:tc>
          <w:tcPr>
            <w:tcW w:w="4546" w:type="pct"/>
            <w:vAlign w:val="center"/>
          </w:tcPr>
          <w:p w14:paraId="387E294B">
            <w:pPr>
              <w:pStyle w:val="101"/>
              <w:rPr>
                <w:color w:val="auto"/>
              </w:rPr>
            </w:pPr>
            <w:r>
              <w:rPr>
                <w:color w:val="auto"/>
              </w:rPr>
              <w:t>周边 5 km 范围内居住区、医疗卫生、文化教育、科研、行政办公等机构人口总数大于1万人</w:t>
            </w:r>
            <w:r>
              <w:rPr>
                <w:rFonts w:hint="eastAsia"/>
                <w:color w:val="auto"/>
                <w:lang w:eastAsia="zh-CN"/>
              </w:rPr>
              <w:t>，</w:t>
            </w:r>
            <w:r>
              <w:rPr>
                <w:color w:val="auto"/>
              </w:rPr>
              <w:t>小于5万人；或周边 500 m 范围内人口总数大于500人</w:t>
            </w:r>
            <w:r>
              <w:rPr>
                <w:rFonts w:hint="eastAsia"/>
                <w:color w:val="auto"/>
                <w:lang w:eastAsia="zh-CN"/>
              </w:rPr>
              <w:t>，</w:t>
            </w:r>
            <w:r>
              <w:rPr>
                <w:color w:val="auto"/>
              </w:rPr>
              <w:t>小于1000 人；油气、化学品输送管</w:t>
            </w:r>
            <w:r>
              <w:rPr>
                <w:color w:val="auto"/>
              </w:rPr>
              <w:cr/>
            </w:r>
            <w:r>
              <w:rPr>
                <w:color w:val="auto"/>
              </w:rPr>
              <w:t>管段周边 200m范围内</w:t>
            </w:r>
            <w:r>
              <w:rPr>
                <w:rFonts w:hint="eastAsia"/>
                <w:color w:val="auto"/>
                <w:lang w:eastAsia="zh-CN"/>
              </w:rPr>
              <w:t>，</w:t>
            </w:r>
            <w:r>
              <w:rPr>
                <w:color w:val="auto"/>
              </w:rPr>
              <w:t>每千米管段人口数大于100 人</w:t>
            </w:r>
            <w:r>
              <w:rPr>
                <w:rFonts w:hint="eastAsia"/>
                <w:color w:val="auto"/>
                <w:lang w:eastAsia="zh-CN"/>
              </w:rPr>
              <w:t>，</w:t>
            </w:r>
            <w:r>
              <w:rPr>
                <w:color w:val="auto"/>
              </w:rPr>
              <w:t>小于200人</w:t>
            </w:r>
            <w:r>
              <w:rPr>
                <w:rFonts w:hint="eastAsia"/>
                <w:color w:val="auto"/>
              </w:rPr>
              <w:t>。</w:t>
            </w:r>
          </w:p>
        </w:tc>
      </w:tr>
      <w:tr w14:paraId="2FCFF2D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54" w:type="pct"/>
            <w:vAlign w:val="center"/>
          </w:tcPr>
          <w:p w14:paraId="14FFEC0E">
            <w:pPr>
              <w:pStyle w:val="101"/>
              <w:rPr>
                <w:color w:val="auto"/>
              </w:rPr>
            </w:pPr>
            <w:r>
              <w:rPr>
                <w:color w:val="auto"/>
              </w:rPr>
              <w:t>E3</w:t>
            </w:r>
          </w:p>
        </w:tc>
        <w:tc>
          <w:tcPr>
            <w:tcW w:w="4546" w:type="pct"/>
            <w:vAlign w:val="center"/>
          </w:tcPr>
          <w:p w14:paraId="6C8E77C5">
            <w:pPr>
              <w:pStyle w:val="101"/>
              <w:rPr>
                <w:color w:val="auto"/>
              </w:rPr>
            </w:pPr>
            <w:r>
              <w:rPr>
                <w:color w:val="auto"/>
              </w:rPr>
              <w:t>周边 5 km 范围内居住区、医疗卫生、文化教育、科研、行政办公等机构人口总数小于1万人；或周边 500 m 范围内人口总数小于500人；油气、化学品输送管线管段周边200m范围内</w:t>
            </w:r>
            <w:r>
              <w:rPr>
                <w:rFonts w:hint="eastAsia"/>
                <w:color w:val="auto"/>
                <w:lang w:eastAsia="zh-CN"/>
              </w:rPr>
              <w:t>，</w:t>
            </w:r>
            <w:r>
              <w:rPr>
                <w:color w:val="auto"/>
              </w:rPr>
              <w:t>每千米管段人口数小于100人</w:t>
            </w:r>
            <w:r>
              <w:rPr>
                <w:rFonts w:hint="eastAsia"/>
                <w:color w:val="auto"/>
              </w:rPr>
              <w:t>。</w:t>
            </w:r>
          </w:p>
        </w:tc>
      </w:tr>
    </w:tbl>
    <w:p w14:paraId="214C0D6A">
      <w:pPr>
        <w:pStyle w:val="102"/>
        <w:ind w:firstLine="480"/>
        <w:rPr>
          <w:color w:val="auto"/>
        </w:rPr>
      </w:pPr>
      <w:r>
        <w:rPr>
          <w:rFonts w:hint="eastAsia"/>
          <w:color w:val="auto"/>
        </w:rPr>
        <w:t>本项目</w:t>
      </w:r>
      <w:r>
        <w:rPr>
          <w:color w:val="auto"/>
        </w:rPr>
        <w:t>周边5 km范围内居住区、医疗卫生、文化教育、科研、行政办公等机构人口总数大于5万人</w:t>
      </w:r>
      <w:r>
        <w:rPr>
          <w:rFonts w:hint="eastAsia"/>
          <w:color w:val="auto"/>
          <w:lang w:eastAsia="zh-CN"/>
        </w:rPr>
        <w:t>，</w:t>
      </w:r>
      <w:r>
        <w:rPr>
          <w:color w:val="auto"/>
        </w:rPr>
        <w:t>因此</w:t>
      </w:r>
      <w:r>
        <w:rPr>
          <w:rFonts w:hint="eastAsia"/>
          <w:color w:val="auto"/>
          <w:lang w:eastAsia="zh-CN"/>
        </w:rPr>
        <w:t>，</w:t>
      </w:r>
      <w:r>
        <w:rPr>
          <w:color w:val="auto"/>
        </w:rPr>
        <w:t>本项目大气环境敏感程度为环境</w:t>
      </w:r>
      <w:r>
        <w:rPr>
          <w:rFonts w:hint="eastAsia"/>
          <w:color w:val="auto"/>
        </w:rPr>
        <w:t>高</w:t>
      </w:r>
      <w:r>
        <w:rPr>
          <w:color w:val="auto"/>
        </w:rPr>
        <w:t>度敏感区E</w:t>
      </w:r>
      <w:r>
        <w:rPr>
          <w:rFonts w:hint="eastAsia"/>
          <w:color w:val="auto"/>
          <w:lang w:val="en-US" w:eastAsia="zh-CN"/>
        </w:rPr>
        <w:t>1</w:t>
      </w:r>
      <w:r>
        <w:rPr>
          <w:color w:val="auto"/>
        </w:rPr>
        <w:t>。</w:t>
      </w:r>
    </w:p>
    <w:p w14:paraId="08D8F0DB">
      <w:pPr>
        <w:pStyle w:val="102"/>
        <w:ind w:firstLine="480"/>
        <w:rPr>
          <w:color w:val="auto"/>
        </w:rPr>
      </w:pPr>
      <w:r>
        <w:rPr>
          <w:rFonts w:hint="eastAsia" w:ascii="宋体" w:hAnsi="宋体" w:cs="宋体"/>
          <w:color w:val="auto"/>
          <w:lang w:eastAsia="ja-JP"/>
        </w:rPr>
        <w:t>②</w:t>
      </w:r>
      <w:r>
        <w:rPr>
          <w:rFonts w:hint="eastAsia"/>
          <w:color w:val="auto"/>
        </w:rPr>
        <w:t xml:space="preserve">地表水环境 </w:t>
      </w:r>
    </w:p>
    <w:p w14:paraId="772049FF">
      <w:pPr>
        <w:pStyle w:val="102"/>
        <w:ind w:firstLine="480"/>
        <w:rPr>
          <w:color w:val="auto"/>
        </w:rPr>
      </w:pPr>
      <w:r>
        <w:rPr>
          <w:rFonts w:hint="eastAsia"/>
          <w:color w:val="auto"/>
        </w:rPr>
        <w:t>本项目废水不直接排入地表水体</w:t>
      </w:r>
      <w:r>
        <w:rPr>
          <w:rFonts w:hint="eastAsia"/>
          <w:color w:val="auto"/>
          <w:lang w:eastAsia="zh-CN"/>
        </w:rPr>
        <w:t>，</w:t>
      </w:r>
      <w:r>
        <w:rPr>
          <w:rFonts w:hint="eastAsia"/>
          <w:color w:val="auto"/>
        </w:rPr>
        <w:t>项目废水不会直接流入地表水体</w:t>
      </w:r>
      <w:r>
        <w:rPr>
          <w:rFonts w:hint="eastAsia"/>
          <w:color w:val="auto"/>
          <w:lang w:eastAsia="zh-CN"/>
        </w:rPr>
        <w:t>，</w:t>
      </w:r>
      <w:r>
        <w:rPr>
          <w:rFonts w:hint="eastAsia"/>
          <w:color w:val="auto"/>
        </w:rPr>
        <w:t>故本项目地表水环境敏感程为环境低度敏感区E</w:t>
      </w:r>
      <w:r>
        <w:rPr>
          <w:color w:val="auto"/>
        </w:rPr>
        <w:t>3</w:t>
      </w:r>
      <w:r>
        <w:rPr>
          <w:rFonts w:hint="eastAsia"/>
          <w:color w:val="auto"/>
        </w:rPr>
        <w:t>。</w:t>
      </w:r>
    </w:p>
    <w:p w14:paraId="297FAA6F">
      <w:pPr>
        <w:pStyle w:val="102"/>
        <w:ind w:firstLine="480"/>
        <w:rPr>
          <w:color w:val="auto"/>
        </w:rPr>
      </w:pPr>
      <w:r>
        <w:rPr>
          <w:rFonts w:hint="eastAsia" w:ascii="宋体" w:hAnsi="宋体" w:cs="宋体"/>
          <w:color w:val="auto"/>
          <w:lang w:eastAsia="ja-JP"/>
        </w:rPr>
        <w:t>③</w:t>
      </w:r>
      <w:r>
        <w:rPr>
          <w:rFonts w:hint="eastAsia"/>
          <w:color w:val="auto"/>
        </w:rPr>
        <w:t xml:space="preserve">地下水环境 </w:t>
      </w:r>
    </w:p>
    <w:p w14:paraId="609A2F90">
      <w:pPr>
        <w:pStyle w:val="102"/>
        <w:ind w:firstLine="480"/>
        <w:rPr>
          <w:color w:val="auto"/>
        </w:rPr>
      </w:pPr>
      <w:r>
        <w:rPr>
          <w:rFonts w:hint="eastAsia"/>
          <w:color w:val="auto"/>
        </w:rPr>
        <w:t>依据地下水功能敏感性与包气带防污性能</w:t>
      </w:r>
      <w:r>
        <w:rPr>
          <w:rFonts w:hint="eastAsia"/>
          <w:color w:val="auto"/>
          <w:lang w:eastAsia="zh-CN"/>
        </w:rPr>
        <w:t>，</w:t>
      </w:r>
      <w:r>
        <w:rPr>
          <w:rFonts w:hint="eastAsia"/>
          <w:color w:val="auto"/>
        </w:rPr>
        <w:t>共分为三种类型</w:t>
      </w:r>
      <w:r>
        <w:rPr>
          <w:rFonts w:hint="eastAsia"/>
          <w:color w:val="auto"/>
          <w:lang w:eastAsia="zh-CN"/>
        </w:rPr>
        <w:t>，</w:t>
      </w:r>
      <w:r>
        <w:rPr>
          <w:rFonts w:hint="eastAsia"/>
          <w:color w:val="auto"/>
        </w:rPr>
        <w:t>E1为环境高度敏感区</w:t>
      </w:r>
      <w:r>
        <w:rPr>
          <w:rFonts w:hint="eastAsia"/>
          <w:color w:val="auto"/>
          <w:lang w:eastAsia="zh-CN"/>
        </w:rPr>
        <w:t>，</w:t>
      </w:r>
      <w:r>
        <w:rPr>
          <w:rFonts w:hint="eastAsia"/>
          <w:color w:val="auto"/>
        </w:rPr>
        <w:t>E2 为环境中度敏感区</w:t>
      </w:r>
      <w:r>
        <w:rPr>
          <w:rFonts w:hint="eastAsia"/>
          <w:color w:val="auto"/>
          <w:lang w:eastAsia="zh-CN"/>
        </w:rPr>
        <w:t>，</w:t>
      </w:r>
      <w:r>
        <w:rPr>
          <w:rFonts w:hint="eastAsia"/>
          <w:color w:val="auto"/>
        </w:rPr>
        <w:t>E3为环境低度敏感区</w:t>
      </w:r>
      <w:r>
        <w:rPr>
          <w:rFonts w:hint="eastAsia"/>
          <w:color w:val="auto"/>
          <w:lang w:eastAsia="zh-CN"/>
        </w:rPr>
        <w:t>，</w:t>
      </w:r>
      <w:r>
        <w:rPr>
          <w:rFonts w:hint="eastAsia"/>
          <w:color w:val="auto"/>
        </w:rPr>
        <w:t>分级原则见表</w:t>
      </w:r>
      <w:r>
        <w:rPr>
          <w:color w:val="auto"/>
        </w:rPr>
        <w:t>2-5</w:t>
      </w:r>
      <w:r>
        <w:rPr>
          <w:rFonts w:hint="eastAsia"/>
          <w:color w:val="auto"/>
        </w:rPr>
        <w:t>。其中地下水功能敏感性分区和包气带防污性能分级分别见表</w:t>
      </w:r>
      <w:r>
        <w:rPr>
          <w:color w:val="auto"/>
        </w:rPr>
        <w:t>2-6</w:t>
      </w:r>
      <w:r>
        <w:rPr>
          <w:rFonts w:hint="eastAsia"/>
          <w:color w:val="auto"/>
        </w:rPr>
        <w:t>和表</w:t>
      </w:r>
      <w:r>
        <w:rPr>
          <w:color w:val="auto"/>
        </w:rPr>
        <w:t>2-7</w:t>
      </w:r>
      <w:r>
        <w:rPr>
          <w:rFonts w:hint="eastAsia"/>
          <w:color w:val="auto"/>
        </w:rPr>
        <w:t>。当同一建设项目涉及两个G分区或D分级及以上时</w:t>
      </w:r>
      <w:r>
        <w:rPr>
          <w:rFonts w:hint="eastAsia"/>
          <w:color w:val="auto"/>
          <w:lang w:eastAsia="zh-CN"/>
        </w:rPr>
        <w:t>，</w:t>
      </w:r>
      <w:r>
        <w:rPr>
          <w:rFonts w:hint="eastAsia"/>
          <w:color w:val="auto"/>
        </w:rPr>
        <w:t>取相对高值。</w:t>
      </w:r>
    </w:p>
    <w:p w14:paraId="1A6FEDC3">
      <w:pPr>
        <w:pStyle w:val="114"/>
        <w:rPr>
          <w:color w:val="auto"/>
        </w:rPr>
      </w:pPr>
      <w:r>
        <w:rPr>
          <w:rFonts w:hint="eastAsia"/>
          <w:color w:val="auto"/>
        </w:rPr>
        <w:t>表</w:t>
      </w:r>
      <w:r>
        <w:rPr>
          <w:color w:val="auto"/>
        </w:rPr>
        <w:t>2-5</w:t>
      </w:r>
      <w:r>
        <w:rPr>
          <w:rFonts w:hint="eastAsia"/>
          <w:color w:val="auto"/>
          <w:lang w:val="en-US" w:eastAsia="zh-CN"/>
        </w:rPr>
        <w:t xml:space="preserve"> </w:t>
      </w:r>
      <w:r>
        <w:rPr>
          <w:rFonts w:hint="eastAsia"/>
          <w:color w:val="auto"/>
        </w:rPr>
        <w:t xml:space="preserve"> 地下水环境敏感程度分级</w:t>
      </w:r>
    </w:p>
    <w:tbl>
      <w:tblPr>
        <w:tblStyle w:val="43"/>
        <w:tblW w:w="5000" w:type="pct"/>
        <w:tblInd w:w="108" w:type="dxa"/>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4264"/>
        <w:gridCol w:w="1598"/>
        <w:gridCol w:w="1598"/>
        <w:gridCol w:w="1600"/>
      </w:tblGrid>
      <w:tr w14:paraId="010881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53" w:type="pct"/>
            <w:vMerge w:val="restart"/>
            <w:vAlign w:val="center"/>
          </w:tcPr>
          <w:p w14:paraId="1A6C9667">
            <w:pPr>
              <w:pStyle w:val="101"/>
              <w:rPr>
                <w:snapToGrid w:val="0"/>
                <w:color w:val="auto"/>
              </w:rPr>
            </w:pPr>
            <w:r>
              <w:rPr>
                <w:rFonts w:hint="eastAsia"/>
                <w:snapToGrid w:val="0"/>
                <w:color w:val="auto"/>
              </w:rPr>
              <w:t>包气带防污性能</w:t>
            </w:r>
          </w:p>
        </w:tc>
        <w:tc>
          <w:tcPr>
            <w:tcW w:w="2647" w:type="pct"/>
            <w:gridSpan w:val="3"/>
            <w:vAlign w:val="center"/>
          </w:tcPr>
          <w:p w14:paraId="32A43128">
            <w:pPr>
              <w:pStyle w:val="101"/>
              <w:rPr>
                <w:snapToGrid w:val="0"/>
                <w:color w:val="auto"/>
              </w:rPr>
            </w:pPr>
            <w:r>
              <w:rPr>
                <w:rFonts w:hint="eastAsia"/>
                <w:snapToGrid w:val="0"/>
                <w:color w:val="auto"/>
              </w:rPr>
              <w:t>地下水功能敏感性</w:t>
            </w:r>
          </w:p>
        </w:tc>
      </w:tr>
      <w:tr w14:paraId="6EAF5A8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53" w:type="pct"/>
            <w:vMerge w:val="continue"/>
            <w:vAlign w:val="center"/>
          </w:tcPr>
          <w:p w14:paraId="0842BEE8">
            <w:pPr>
              <w:pStyle w:val="101"/>
              <w:rPr>
                <w:snapToGrid w:val="0"/>
                <w:color w:val="auto"/>
              </w:rPr>
            </w:pPr>
          </w:p>
        </w:tc>
        <w:tc>
          <w:tcPr>
            <w:tcW w:w="882" w:type="pct"/>
            <w:vAlign w:val="center"/>
          </w:tcPr>
          <w:p w14:paraId="39677A64">
            <w:pPr>
              <w:pStyle w:val="101"/>
              <w:rPr>
                <w:snapToGrid w:val="0"/>
                <w:color w:val="auto"/>
              </w:rPr>
            </w:pPr>
            <w:r>
              <w:rPr>
                <w:rFonts w:hint="eastAsia"/>
                <w:snapToGrid w:val="0"/>
                <w:color w:val="auto"/>
              </w:rPr>
              <w:t>G</w:t>
            </w:r>
            <w:r>
              <w:rPr>
                <w:snapToGrid w:val="0"/>
                <w:color w:val="auto"/>
              </w:rPr>
              <w:t>1</w:t>
            </w:r>
          </w:p>
        </w:tc>
        <w:tc>
          <w:tcPr>
            <w:tcW w:w="882" w:type="pct"/>
            <w:vAlign w:val="center"/>
          </w:tcPr>
          <w:p w14:paraId="1BC248D9">
            <w:pPr>
              <w:pStyle w:val="101"/>
              <w:rPr>
                <w:snapToGrid w:val="0"/>
                <w:color w:val="auto"/>
              </w:rPr>
            </w:pPr>
            <w:r>
              <w:rPr>
                <w:rFonts w:hint="eastAsia"/>
                <w:snapToGrid w:val="0"/>
                <w:color w:val="auto"/>
              </w:rPr>
              <w:t>G</w:t>
            </w:r>
            <w:r>
              <w:rPr>
                <w:snapToGrid w:val="0"/>
                <w:color w:val="auto"/>
              </w:rPr>
              <w:t>2</w:t>
            </w:r>
          </w:p>
        </w:tc>
        <w:tc>
          <w:tcPr>
            <w:tcW w:w="882" w:type="pct"/>
            <w:vAlign w:val="center"/>
          </w:tcPr>
          <w:p w14:paraId="193A2F7A">
            <w:pPr>
              <w:pStyle w:val="101"/>
              <w:rPr>
                <w:snapToGrid w:val="0"/>
                <w:color w:val="auto"/>
              </w:rPr>
            </w:pPr>
            <w:r>
              <w:rPr>
                <w:rFonts w:hint="eastAsia"/>
                <w:snapToGrid w:val="0"/>
                <w:color w:val="auto"/>
              </w:rPr>
              <w:t>G</w:t>
            </w:r>
            <w:r>
              <w:rPr>
                <w:snapToGrid w:val="0"/>
                <w:color w:val="auto"/>
              </w:rPr>
              <w:t>3</w:t>
            </w:r>
          </w:p>
        </w:tc>
      </w:tr>
      <w:tr w14:paraId="6BAD0DD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53" w:type="pct"/>
            <w:vAlign w:val="center"/>
          </w:tcPr>
          <w:p w14:paraId="1408346A">
            <w:pPr>
              <w:pStyle w:val="101"/>
              <w:rPr>
                <w:snapToGrid w:val="0"/>
                <w:color w:val="auto"/>
              </w:rPr>
            </w:pPr>
            <w:r>
              <w:rPr>
                <w:rFonts w:hint="eastAsia"/>
                <w:snapToGrid w:val="0"/>
                <w:color w:val="auto"/>
              </w:rPr>
              <w:t>D</w:t>
            </w:r>
            <w:r>
              <w:rPr>
                <w:snapToGrid w:val="0"/>
                <w:color w:val="auto"/>
              </w:rPr>
              <w:t>1</w:t>
            </w:r>
          </w:p>
        </w:tc>
        <w:tc>
          <w:tcPr>
            <w:tcW w:w="882" w:type="pct"/>
            <w:vAlign w:val="center"/>
          </w:tcPr>
          <w:p w14:paraId="08CEBA0A">
            <w:pPr>
              <w:pStyle w:val="101"/>
              <w:rPr>
                <w:snapToGrid w:val="0"/>
                <w:color w:val="auto"/>
              </w:rPr>
            </w:pPr>
            <w:r>
              <w:rPr>
                <w:snapToGrid w:val="0"/>
                <w:color w:val="auto"/>
              </w:rPr>
              <w:t>E1</w:t>
            </w:r>
          </w:p>
        </w:tc>
        <w:tc>
          <w:tcPr>
            <w:tcW w:w="882" w:type="pct"/>
            <w:vAlign w:val="center"/>
          </w:tcPr>
          <w:p w14:paraId="18414261">
            <w:pPr>
              <w:pStyle w:val="101"/>
              <w:rPr>
                <w:snapToGrid w:val="0"/>
                <w:color w:val="auto"/>
              </w:rPr>
            </w:pPr>
            <w:r>
              <w:rPr>
                <w:rFonts w:hint="eastAsia"/>
                <w:snapToGrid w:val="0"/>
                <w:color w:val="auto"/>
              </w:rPr>
              <w:t>E</w:t>
            </w:r>
            <w:r>
              <w:rPr>
                <w:snapToGrid w:val="0"/>
                <w:color w:val="auto"/>
              </w:rPr>
              <w:t>1</w:t>
            </w:r>
          </w:p>
        </w:tc>
        <w:tc>
          <w:tcPr>
            <w:tcW w:w="882" w:type="pct"/>
            <w:vAlign w:val="center"/>
          </w:tcPr>
          <w:p w14:paraId="15E35A11">
            <w:pPr>
              <w:pStyle w:val="101"/>
              <w:rPr>
                <w:snapToGrid w:val="0"/>
                <w:color w:val="auto"/>
              </w:rPr>
            </w:pPr>
            <w:r>
              <w:rPr>
                <w:rFonts w:hint="eastAsia"/>
                <w:snapToGrid w:val="0"/>
                <w:color w:val="auto"/>
              </w:rPr>
              <w:t>E</w:t>
            </w:r>
            <w:r>
              <w:rPr>
                <w:snapToGrid w:val="0"/>
                <w:color w:val="auto"/>
              </w:rPr>
              <w:t>2</w:t>
            </w:r>
          </w:p>
        </w:tc>
      </w:tr>
      <w:tr w14:paraId="1AEB1A0B">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53" w:type="pct"/>
            <w:vAlign w:val="center"/>
          </w:tcPr>
          <w:p w14:paraId="78ABAD4B">
            <w:pPr>
              <w:pStyle w:val="101"/>
              <w:rPr>
                <w:snapToGrid w:val="0"/>
                <w:color w:val="auto"/>
              </w:rPr>
            </w:pPr>
            <w:r>
              <w:rPr>
                <w:rFonts w:hint="eastAsia"/>
                <w:snapToGrid w:val="0"/>
                <w:color w:val="auto"/>
              </w:rPr>
              <w:t>D</w:t>
            </w:r>
            <w:r>
              <w:rPr>
                <w:snapToGrid w:val="0"/>
                <w:color w:val="auto"/>
              </w:rPr>
              <w:t>2</w:t>
            </w:r>
          </w:p>
        </w:tc>
        <w:tc>
          <w:tcPr>
            <w:tcW w:w="882" w:type="pct"/>
            <w:vAlign w:val="center"/>
          </w:tcPr>
          <w:p w14:paraId="38F76D11">
            <w:pPr>
              <w:pStyle w:val="101"/>
              <w:rPr>
                <w:snapToGrid w:val="0"/>
                <w:color w:val="auto"/>
              </w:rPr>
            </w:pPr>
            <w:r>
              <w:rPr>
                <w:snapToGrid w:val="0"/>
                <w:color w:val="auto"/>
              </w:rPr>
              <w:t>E1</w:t>
            </w:r>
          </w:p>
        </w:tc>
        <w:tc>
          <w:tcPr>
            <w:tcW w:w="882" w:type="pct"/>
            <w:vAlign w:val="center"/>
          </w:tcPr>
          <w:p w14:paraId="184F8E8A">
            <w:pPr>
              <w:pStyle w:val="101"/>
              <w:rPr>
                <w:snapToGrid w:val="0"/>
                <w:color w:val="auto"/>
              </w:rPr>
            </w:pPr>
            <w:r>
              <w:rPr>
                <w:rFonts w:hint="eastAsia"/>
                <w:snapToGrid w:val="0"/>
                <w:color w:val="auto"/>
              </w:rPr>
              <w:t>E</w:t>
            </w:r>
            <w:r>
              <w:rPr>
                <w:snapToGrid w:val="0"/>
                <w:color w:val="auto"/>
              </w:rPr>
              <w:t>2</w:t>
            </w:r>
          </w:p>
        </w:tc>
        <w:tc>
          <w:tcPr>
            <w:tcW w:w="882" w:type="pct"/>
            <w:vAlign w:val="center"/>
          </w:tcPr>
          <w:p w14:paraId="79BE2535">
            <w:pPr>
              <w:pStyle w:val="101"/>
              <w:rPr>
                <w:snapToGrid w:val="0"/>
                <w:color w:val="auto"/>
              </w:rPr>
            </w:pPr>
            <w:r>
              <w:rPr>
                <w:rFonts w:hint="eastAsia"/>
                <w:snapToGrid w:val="0"/>
                <w:color w:val="auto"/>
              </w:rPr>
              <w:t>E</w:t>
            </w:r>
            <w:r>
              <w:rPr>
                <w:snapToGrid w:val="0"/>
                <w:color w:val="auto"/>
              </w:rPr>
              <w:t>3</w:t>
            </w:r>
          </w:p>
        </w:tc>
      </w:tr>
      <w:tr w14:paraId="615ED6A9">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trPr>
        <w:tc>
          <w:tcPr>
            <w:tcW w:w="2353" w:type="pct"/>
            <w:vAlign w:val="center"/>
          </w:tcPr>
          <w:p w14:paraId="3C471829">
            <w:pPr>
              <w:pStyle w:val="101"/>
              <w:rPr>
                <w:snapToGrid w:val="0"/>
                <w:color w:val="auto"/>
              </w:rPr>
            </w:pPr>
            <w:r>
              <w:rPr>
                <w:rFonts w:hint="eastAsia"/>
                <w:snapToGrid w:val="0"/>
                <w:color w:val="auto"/>
              </w:rPr>
              <w:t>D</w:t>
            </w:r>
            <w:r>
              <w:rPr>
                <w:snapToGrid w:val="0"/>
                <w:color w:val="auto"/>
              </w:rPr>
              <w:t>3</w:t>
            </w:r>
          </w:p>
        </w:tc>
        <w:tc>
          <w:tcPr>
            <w:tcW w:w="882" w:type="pct"/>
            <w:vAlign w:val="center"/>
          </w:tcPr>
          <w:p w14:paraId="1FBD6436">
            <w:pPr>
              <w:pStyle w:val="101"/>
              <w:rPr>
                <w:snapToGrid w:val="0"/>
                <w:color w:val="auto"/>
              </w:rPr>
            </w:pPr>
            <w:r>
              <w:rPr>
                <w:rFonts w:hint="eastAsia"/>
                <w:snapToGrid w:val="0"/>
                <w:color w:val="auto"/>
              </w:rPr>
              <w:t>E</w:t>
            </w:r>
            <w:r>
              <w:rPr>
                <w:snapToGrid w:val="0"/>
                <w:color w:val="auto"/>
              </w:rPr>
              <w:t>2</w:t>
            </w:r>
          </w:p>
        </w:tc>
        <w:tc>
          <w:tcPr>
            <w:tcW w:w="882" w:type="pct"/>
            <w:vAlign w:val="center"/>
          </w:tcPr>
          <w:p w14:paraId="7DD54782">
            <w:pPr>
              <w:pStyle w:val="101"/>
              <w:rPr>
                <w:snapToGrid w:val="0"/>
                <w:color w:val="auto"/>
              </w:rPr>
            </w:pPr>
            <w:r>
              <w:rPr>
                <w:snapToGrid w:val="0"/>
                <w:color w:val="auto"/>
              </w:rPr>
              <w:t>E3</w:t>
            </w:r>
          </w:p>
        </w:tc>
        <w:tc>
          <w:tcPr>
            <w:tcW w:w="882" w:type="pct"/>
            <w:vAlign w:val="center"/>
          </w:tcPr>
          <w:p w14:paraId="051BC65A">
            <w:pPr>
              <w:pStyle w:val="101"/>
              <w:rPr>
                <w:snapToGrid w:val="0"/>
                <w:color w:val="auto"/>
              </w:rPr>
            </w:pPr>
            <w:r>
              <w:rPr>
                <w:rFonts w:hint="eastAsia"/>
                <w:snapToGrid w:val="0"/>
                <w:color w:val="auto"/>
              </w:rPr>
              <w:t>E</w:t>
            </w:r>
            <w:r>
              <w:rPr>
                <w:snapToGrid w:val="0"/>
                <w:color w:val="auto"/>
              </w:rPr>
              <w:t>3</w:t>
            </w:r>
          </w:p>
        </w:tc>
      </w:tr>
    </w:tbl>
    <w:p w14:paraId="7A841CEF">
      <w:pPr>
        <w:pStyle w:val="114"/>
        <w:rPr>
          <w:color w:val="auto"/>
        </w:rPr>
      </w:pPr>
      <w:r>
        <w:rPr>
          <w:rFonts w:hint="eastAsia"/>
          <w:color w:val="auto"/>
        </w:rPr>
        <w:t>表</w:t>
      </w:r>
      <w:r>
        <w:rPr>
          <w:color w:val="auto"/>
        </w:rPr>
        <w:t>2-6</w:t>
      </w:r>
      <w:r>
        <w:rPr>
          <w:rFonts w:hint="eastAsia"/>
          <w:color w:val="auto"/>
          <w:lang w:val="en-US" w:eastAsia="zh-CN"/>
        </w:rPr>
        <w:t xml:space="preserve"> </w:t>
      </w:r>
      <w:r>
        <w:rPr>
          <w:rFonts w:hint="eastAsia"/>
          <w:color w:val="auto"/>
        </w:rPr>
        <w:t xml:space="preserve"> 地下水环境敏感分区</w:t>
      </w:r>
    </w:p>
    <w:tbl>
      <w:tblPr>
        <w:tblStyle w:val="43"/>
        <w:tblW w:w="5000" w:type="pct"/>
        <w:tblInd w:w="108"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1127"/>
        <w:gridCol w:w="7933"/>
      </w:tblGrid>
      <w:tr w14:paraId="11EFD0F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2" w:type="pct"/>
            <w:vAlign w:val="center"/>
          </w:tcPr>
          <w:p w14:paraId="026564AA">
            <w:pPr>
              <w:pStyle w:val="101"/>
              <w:rPr>
                <w:color w:val="auto"/>
              </w:rPr>
            </w:pPr>
            <w:r>
              <w:rPr>
                <w:rFonts w:hint="eastAsia"/>
                <w:color w:val="auto"/>
              </w:rPr>
              <w:t>敏感性</w:t>
            </w:r>
          </w:p>
        </w:tc>
        <w:tc>
          <w:tcPr>
            <w:tcW w:w="4378" w:type="pct"/>
            <w:vAlign w:val="center"/>
          </w:tcPr>
          <w:p w14:paraId="605B47FA">
            <w:pPr>
              <w:pStyle w:val="101"/>
              <w:rPr>
                <w:color w:val="auto"/>
              </w:rPr>
            </w:pPr>
            <w:r>
              <w:rPr>
                <w:rFonts w:hint="eastAsia"/>
                <w:color w:val="auto"/>
              </w:rPr>
              <w:t>地下水环境敏感特征</w:t>
            </w:r>
          </w:p>
        </w:tc>
      </w:tr>
      <w:tr w14:paraId="288CBA5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2" w:type="pct"/>
            <w:vAlign w:val="center"/>
          </w:tcPr>
          <w:p w14:paraId="5C81EC9C">
            <w:pPr>
              <w:pStyle w:val="101"/>
              <w:rPr>
                <w:color w:val="auto"/>
              </w:rPr>
            </w:pPr>
            <w:r>
              <w:rPr>
                <w:rFonts w:hint="eastAsia"/>
                <w:color w:val="auto"/>
              </w:rPr>
              <w:t>敏感G</w:t>
            </w:r>
            <w:r>
              <w:rPr>
                <w:color w:val="auto"/>
              </w:rPr>
              <w:t>1</w:t>
            </w:r>
          </w:p>
        </w:tc>
        <w:tc>
          <w:tcPr>
            <w:tcW w:w="4378" w:type="pct"/>
            <w:vAlign w:val="center"/>
          </w:tcPr>
          <w:p w14:paraId="1A60BC36">
            <w:pPr>
              <w:pStyle w:val="101"/>
              <w:rPr>
                <w:color w:val="auto"/>
              </w:rPr>
            </w:pPr>
            <w:r>
              <w:rPr>
                <w:rFonts w:hint="eastAsia"/>
                <w:color w:val="auto"/>
              </w:rPr>
              <w:t>集中式饮用水水源（包括已建成的在用、备用、应急水源</w:t>
            </w:r>
            <w:r>
              <w:rPr>
                <w:rFonts w:hint="eastAsia"/>
                <w:color w:val="auto"/>
                <w:lang w:eastAsia="zh-CN"/>
              </w:rPr>
              <w:t>，</w:t>
            </w:r>
            <w:r>
              <w:rPr>
                <w:rFonts w:hint="eastAsia"/>
                <w:color w:val="auto"/>
              </w:rPr>
              <w:t>在建和规划的饮用水水源）准保护区；除集中式饮用水水源以外的国家或地方政府设定的与地下水环境相关的其他保护区</w:t>
            </w:r>
            <w:r>
              <w:rPr>
                <w:rFonts w:hint="eastAsia"/>
                <w:color w:val="auto"/>
                <w:lang w:eastAsia="zh-CN"/>
              </w:rPr>
              <w:t>，</w:t>
            </w:r>
            <w:r>
              <w:rPr>
                <w:rFonts w:hint="eastAsia"/>
                <w:color w:val="auto"/>
              </w:rPr>
              <w:t>如热水、矿泉水、温泉等特殊地下水资源保护区</w:t>
            </w:r>
          </w:p>
        </w:tc>
      </w:tr>
      <w:tr w14:paraId="6136920F">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2" w:type="pct"/>
            <w:vAlign w:val="center"/>
          </w:tcPr>
          <w:p w14:paraId="56939337">
            <w:pPr>
              <w:pStyle w:val="101"/>
              <w:rPr>
                <w:color w:val="auto"/>
              </w:rPr>
            </w:pPr>
            <w:r>
              <w:rPr>
                <w:rFonts w:hint="eastAsia"/>
                <w:color w:val="auto"/>
              </w:rPr>
              <w:t>较敏感G</w:t>
            </w:r>
            <w:r>
              <w:rPr>
                <w:color w:val="auto"/>
              </w:rPr>
              <w:t>2</w:t>
            </w:r>
          </w:p>
        </w:tc>
        <w:tc>
          <w:tcPr>
            <w:tcW w:w="4378" w:type="pct"/>
            <w:vAlign w:val="center"/>
          </w:tcPr>
          <w:p w14:paraId="51150FE1">
            <w:pPr>
              <w:pStyle w:val="101"/>
              <w:rPr>
                <w:color w:val="auto"/>
              </w:rPr>
            </w:pPr>
            <w:r>
              <w:rPr>
                <w:rFonts w:hint="eastAsia"/>
                <w:color w:val="auto"/>
              </w:rPr>
              <w:t>集中式饮用水水源（包括已建成的在用、备用、应急水源</w:t>
            </w:r>
            <w:r>
              <w:rPr>
                <w:rFonts w:hint="eastAsia"/>
                <w:color w:val="auto"/>
                <w:lang w:eastAsia="zh-CN"/>
              </w:rPr>
              <w:t>，</w:t>
            </w:r>
            <w:r>
              <w:rPr>
                <w:rFonts w:hint="eastAsia"/>
                <w:color w:val="auto"/>
              </w:rPr>
              <w:t>在建和规划的饮用水水源）准保护区以外的补给径流区；未划定准保护区的集中式饮用水水源</w:t>
            </w:r>
            <w:r>
              <w:rPr>
                <w:rFonts w:hint="eastAsia"/>
                <w:color w:val="auto"/>
                <w:lang w:eastAsia="zh-CN"/>
              </w:rPr>
              <w:t>，</w:t>
            </w:r>
            <w:r>
              <w:rPr>
                <w:rFonts w:hint="eastAsia"/>
                <w:color w:val="auto"/>
              </w:rPr>
              <w:t>其保护区以外的补给径流区；分散式饮用水水源地；特殊地下水资源（如热水、矿泉水、温泉等）保护区以外的分布区等其他未列入上述敏感分级的环境敏感区</w:t>
            </w:r>
            <w:r>
              <w:rPr>
                <w:rFonts w:hint="eastAsia"/>
                <w:color w:val="auto"/>
                <w:vertAlign w:val="superscript"/>
              </w:rPr>
              <w:t>a</w:t>
            </w:r>
          </w:p>
        </w:tc>
      </w:tr>
      <w:tr w14:paraId="354429B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622" w:type="pct"/>
            <w:vAlign w:val="center"/>
          </w:tcPr>
          <w:p w14:paraId="1F0920D3">
            <w:pPr>
              <w:pStyle w:val="101"/>
              <w:rPr>
                <w:color w:val="auto"/>
              </w:rPr>
            </w:pPr>
            <w:r>
              <w:rPr>
                <w:rFonts w:hint="eastAsia"/>
                <w:color w:val="auto"/>
              </w:rPr>
              <w:t>不敏感G</w:t>
            </w:r>
            <w:r>
              <w:rPr>
                <w:color w:val="auto"/>
              </w:rPr>
              <w:t>3</w:t>
            </w:r>
          </w:p>
        </w:tc>
        <w:tc>
          <w:tcPr>
            <w:tcW w:w="4378" w:type="pct"/>
            <w:vAlign w:val="center"/>
          </w:tcPr>
          <w:p w14:paraId="26B21EA6">
            <w:pPr>
              <w:pStyle w:val="101"/>
              <w:rPr>
                <w:color w:val="auto"/>
              </w:rPr>
            </w:pPr>
            <w:r>
              <w:rPr>
                <w:rFonts w:hint="eastAsia"/>
                <w:color w:val="auto"/>
              </w:rPr>
              <w:t>上述地区之外的其他地区</w:t>
            </w:r>
          </w:p>
        </w:tc>
      </w:tr>
      <w:tr w14:paraId="77C6B65E">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000" w:type="pct"/>
            <w:gridSpan w:val="2"/>
            <w:vAlign w:val="center"/>
          </w:tcPr>
          <w:p w14:paraId="62F0C7F7">
            <w:pPr>
              <w:pStyle w:val="101"/>
              <w:rPr>
                <w:color w:val="auto"/>
              </w:rPr>
            </w:pPr>
            <w:r>
              <w:rPr>
                <w:rFonts w:hint="eastAsia"/>
                <w:color w:val="auto"/>
              </w:rPr>
              <w:t>a“环境敏感区”是指《建设项目环境影响评价分类管理名录》中所界定的涉及地下水的环境敏感区。</w:t>
            </w:r>
          </w:p>
        </w:tc>
      </w:tr>
    </w:tbl>
    <w:p w14:paraId="1CCCA271">
      <w:pPr>
        <w:pStyle w:val="114"/>
        <w:rPr>
          <w:color w:val="auto"/>
        </w:rPr>
      </w:pPr>
      <w:r>
        <w:rPr>
          <w:rFonts w:hint="eastAsia"/>
          <w:color w:val="auto"/>
        </w:rPr>
        <w:t>表</w:t>
      </w:r>
      <w:r>
        <w:rPr>
          <w:color w:val="auto"/>
        </w:rPr>
        <w:t>2-7</w:t>
      </w:r>
      <w:r>
        <w:rPr>
          <w:rFonts w:hint="eastAsia"/>
          <w:color w:val="auto"/>
          <w:lang w:val="en-US" w:eastAsia="zh-CN"/>
        </w:rPr>
        <w:t xml:space="preserve"> </w:t>
      </w:r>
      <w:r>
        <w:rPr>
          <w:rFonts w:hint="eastAsia"/>
          <w:color w:val="auto"/>
        </w:rPr>
        <w:t xml:space="preserve"> 包气带防污性能分级</w:t>
      </w:r>
    </w:p>
    <w:tbl>
      <w:tblPr>
        <w:tblStyle w:val="43"/>
        <w:tblW w:w="5000" w:type="pct"/>
        <w:tblInd w:w="108" w:type="dxa"/>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Layout w:type="autofit"/>
        <w:tblCellMar>
          <w:top w:w="0" w:type="dxa"/>
          <w:left w:w="108" w:type="dxa"/>
          <w:bottom w:w="0" w:type="dxa"/>
          <w:right w:w="108" w:type="dxa"/>
        </w:tblCellMar>
      </w:tblPr>
      <w:tblGrid>
        <w:gridCol w:w="843"/>
        <w:gridCol w:w="8217"/>
      </w:tblGrid>
      <w:tr w14:paraId="6475DA66">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65" w:type="pct"/>
            <w:vAlign w:val="center"/>
          </w:tcPr>
          <w:p w14:paraId="2F478AF2">
            <w:pPr>
              <w:pStyle w:val="101"/>
              <w:rPr>
                <w:color w:val="auto"/>
              </w:rPr>
            </w:pPr>
            <w:r>
              <w:rPr>
                <w:rFonts w:hint="eastAsia"/>
                <w:color w:val="auto"/>
              </w:rPr>
              <w:t>分级</w:t>
            </w:r>
          </w:p>
        </w:tc>
        <w:tc>
          <w:tcPr>
            <w:tcW w:w="4535" w:type="pct"/>
            <w:vAlign w:val="center"/>
          </w:tcPr>
          <w:p w14:paraId="4F31EF49">
            <w:pPr>
              <w:pStyle w:val="101"/>
              <w:rPr>
                <w:color w:val="auto"/>
              </w:rPr>
            </w:pPr>
            <w:r>
              <w:rPr>
                <w:rFonts w:hint="eastAsia"/>
                <w:color w:val="auto"/>
              </w:rPr>
              <w:t>包气带岩土的渗透性能</w:t>
            </w:r>
          </w:p>
        </w:tc>
      </w:tr>
      <w:tr w14:paraId="1BD70ADA">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65" w:type="pct"/>
            <w:vAlign w:val="center"/>
          </w:tcPr>
          <w:p w14:paraId="7E418121">
            <w:pPr>
              <w:pStyle w:val="101"/>
              <w:rPr>
                <w:color w:val="auto"/>
              </w:rPr>
            </w:pPr>
            <w:r>
              <w:rPr>
                <w:rFonts w:hint="eastAsia"/>
                <w:color w:val="auto"/>
              </w:rPr>
              <w:t>D</w:t>
            </w:r>
            <w:r>
              <w:rPr>
                <w:color w:val="auto"/>
              </w:rPr>
              <w:t>3</w:t>
            </w:r>
          </w:p>
        </w:tc>
        <w:tc>
          <w:tcPr>
            <w:tcW w:w="4535" w:type="pct"/>
            <w:vAlign w:val="center"/>
          </w:tcPr>
          <w:p w14:paraId="68AD1726">
            <w:pPr>
              <w:pStyle w:val="101"/>
              <w:rPr>
                <w:color w:val="auto"/>
              </w:rPr>
            </w:pPr>
            <w:r>
              <w:rPr>
                <w:rFonts w:hint="eastAsia"/>
                <w:color w:val="auto"/>
              </w:rPr>
              <w:t>Mb≥1.0m</w:t>
            </w:r>
            <w:r>
              <w:rPr>
                <w:rFonts w:hint="eastAsia"/>
                <w:color w:val="auto"/>
                <w:lang w:eastAsia="zh-CN"/>
              </w:rPr>
              <w:t>，</w:t>
            </w:r>
            <w:r>
              <w:rPr>
                <w:rFonts w:hint="eastAsia"/>
                <w:color w:val="auto"/>
              </w:rPr>
              <w:t>K≤1.0×10</w:t>
            </w:r>
            <w:r>
              <w:rPr>
                <w:rFonts w:hint="eastAsia"/>
                <w:color w:val="auto"/>
                <w:vertAlign w:val="superscript"/>
              </w:rPr>
              <w:t>-6</w:t>
            </w:r>
            <w:r>
              <w:rPr>
                <w:rFonts w:hint="eastAsia"/>
                <w:color w:val="auto"/>
              </w:rPr>
              <w:t>cm/s</w:t>
            </w:r>
            <w:r>
              <w:rPr>
                <w:rFonts w:hint="eastAsia"/>
                <w:color w:val="auto"/>
                <w:lang w:eastAsia="zh-CN"/>
              </w:rPr>
              <w:t>，</w:t>
            </w:r>
            <w:r>
              <w:rPr>
                <w:rFonts w:hint="eastAsia"/>
                <w:color w:val="auto"/>
              </w:rPr>
              <w:t>且分布连续、稳定</w:t>
            </w:r>
          </w:p>
        </w:tc>
      </w:tr>
      <w:tr w14:paraId="440AA859">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65" w:type="pct"/>
            <w:vAlign w:val="center"/>
          </w:tcPr>
          <w:p w14:paraId="677DB19C">
            <w:pPr>
              <w:pStyle w:val="101"/>
              <w:rPr>
                <w:color w:val="auto"/>
              </w:rPr>
            </w:pPr>
            <w:r>
              <w:rPr>
                <w:rFonts w:hint="eastAsia"/>
                <w:color w:val="auto"/>
              </w:rPr>
              <w:t>D</w:t>
            </w:r>
            <w:r>
              <w:rPr>
                <w:color w:val="auto"/>
              </w:rPr>
              <w:t>2</w:t>
            </w:r>
          </w:p>
        </w:tc>
        <w:tc>
          <w:tcPr>
            <w:tcW w:w="4535" w:type="pct"/>
            <w:vAlign w:val="center"/>
          </w:tcPr>
          <w:p w14:paraId="1A4AF8CB">
            <w:pPr>
              <w:pStyle w:val="101"/>
              <w:rPr>
                <w:color w:val="auto"/>
              </w:rPr>
            </w:pPr>
            <w:r>
              <w:rPr>
                <w:rFonts w:hint="eastAsia"/>
                <w:color w:val="auto"/>
              </w:rPr>
              <w:t>0.5m≤Mb&lt;1.0m</w:t>
            </w:r>
            <w:r>
              <w:rPr>
                <w:rFonts w:hint="eastAsia"/>
                <w:color w:val="auto"/>
                <w:lang w:eastAsia="zh-CN"/>
              </w:rPr>
              <w:t>，</w:t>
            </w:r>
            <w:r>
              <w:rPr>
                <w:rFonts w:hint="eastAsia"/>
                <w:color w:val="auto"/>
              </w:rPr>
              <w:t>K≤1.0×10</w:t>
            </w:r>
            <w:r>
              <w:rPr>
                <w:rFonts w:hint="eastAsia"/>
                <w:color w:val="auto"/>
                <w:vertAlign w:val="superscript"/>
              </w:rPr>
              <w:t>-6</w:t>
            </w:r>
            <w:r>
              <w:rPr>
                <w:rFonts w:hint="eastAsia"/>
                <w:color w:val="auto"/>
              </w:rPr>
              <w:t>cm/s</w:t>
            </w:r>
            <w:r>
              <w:rPr>
                <w:rFonts w:hint="eastAsia"/>
                <w:color w:val="auto"/>
                <w:lang w:eastAsia="zh-CN"/>
              </w:rPr>
              <w:t>，</w:t>
            </w:r>
            <w:r>
              <w:rPr>
                <w:rFonts w:hint="eastAsia"/>
                <w:color w:val="auto"/>
              </w:rPr>
              <w:t>且分布连续、稳定</w:t>
            </w:r>
          </w:p>
          <w:p w14:paraId="11A32773">
            <w:pPr>
              <w:pStyle w:val="101"/>
              <w:rPr>
                <w:color w:val="auto"/>
              </w:rPr>
            </w:pPr>
            <w:r>
              <w:rPr>
                <w:rFonts w:hint="eastAsia"/>
                <w:color w:val="auto"/>
              </w:rPr>
              <w:t>Mb≥1.0m</w:t>
            </w:r>
            <w:r>
              <w:rPr>
                <w:rFonts w:hint="eastAsia"/>
                <w:color w:val="auto"/>
                <w:lang w:eastAsia="zh-CN"/>
              </w:rPr>
              <w:t>，</w:t>
            </w:r>
            <w:r>
              <w:rPr>
                <w:rFonts w:hint="eastAsia"/>
                <w:color w:val="auto"/>
              </w:rPr>
              <w:t>1.0×10</w:t>
            </w:r>
            <w:r>
              <w:rPr>
                <w:rFonts w:hint="eastAsia"/>
                <w:color w:val="auto"/>
                <w:vertAlign w:val="superscript"/>
              </w:rPr>
              <w:t>-6</w:t>
            </w:r>
            <w:r>
              <w:rPr>
                <w:rFonts w:hint="eastAsia"/>
                <w:color w:val="auto"/>
              </w:rPr>
              <w:t>cm/s＜K≤1.0×10</w:t>
            </w:r>
            <w:r>
              <w:rPr>
                <w:rFonts w:hint="eastAsia"/>
                <w:color w:val="auto"/>
                <w:vertAlign w:val="superscript"/>
              </w:rPr>
              <w:t>-4</w:t>
            </w:r>
            <w:r>
              <w:rPr>
                <w:rFonts w:hint="eastAsia"/>
                <w:color w:val="auto"/>
              </w:rPr>
              <w:t>cm/s</w:t>
            </w:r>
            <w:r>
              <w:rPr>
                <w:rFonts w:hint="eastAsia"/>
                <w:color w:val="auto"/>
                <w:lang w:eastAsia="zh-CN"/>
              </w:rPr>
              <w:t>，</w:t>
            </w:r>
            <w:r>
              <w:rPr>
                <w:rFonts w:hint="eastAsia"/>
                <w:color w:val="auto"/>
              </w:rPr>
              <w:t>且分布连续、稳定</w:t>
            </w:r>
          </w:p>
        </w:tc>
      </w:tr>
      <w:tr w14:paraId="148C442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465" w:type="pct"/>
            <w:vAlign w:val="center"/>
          </w:tcPr>
          <w:p w14:paraId="1FD360BE">
            <w:pPr>
              <w:pStyle w:val="101"/>
              <w:rPr>
                <w:color w:val="auto"/>
              </w:rPr>
            </w:pPr>
            <w:r>
              <w:rPr>
                <w:rFonts w:hint="eastAsia"/>
                <w:color w:val="auto"/>
              </w:rPr>
              <w:t>D</w:t>
            </w:r>
            <w:r>
              <w:rPr>
                <w:color w:val="auto"/>
              </w:rPr>
              <w:t>1</w:t>
            </w:r>
          </w:p>
        </w:tc>
        <w:tc>
          <w:tcPr>
            <w:tcW w:w="4535" w:type="pct"/>
            <w:vAlign w:val="center"/>
          </w:tcPr>
          <w:p w14:paraId="0F40DFAC">
            <w:pPr>
              <w:pStyle w:val="101"/>
              <w:rPr>
                <w:color w:val="auto"/>
              </w:rPr>
            </w:pPr>
            <w:r>
              <w:rPr>
                <w:rFonts w:hint="eastAsia"/>
                <w:color w:val="auto"/>
              </w:rPr>
              <w:t>岩（土）层不满足上述“D2”和“D3”条件</w:t>
            </w:r>
          </w:p>
        </w:tc>
      </w:tr>
      <w:tr w14:paraId="78D23EE0">
        <w:tblPrEx>
          <w:tblBorders>
            <w:top w:val="single" w:color="auto" w:sz="12" w:space="0"/>
            <w:left w:val="none" w:color="auto" w:sz="0" w:space="0"/>
            <w:bottom w:val="single" w:color="auto" w:sz="12" w:space="0"/>
            <w:right w:val="none" w:color="auto" w:sz="0" w:space="0"/>
            <w:insideH w:val="single" w:color="auto" w:sz="6" w:space="0"/>
            <w:insideV w:val="single" w:color="auto" w:sz="6" w:space="0"/>
          </w:tblBorders>
          <w:tblCellMar>
            <w:top w:w="0" w:type="dxa"/>
            <w:left w:w="108" w:type="dxa"/>
            <w:bottom w:w="0" w:type="dxa"/>
            <w:right w:w="108" w:type="dxa"/>
          </w:tblCellMar>
        </w:tblPrEx>
        <w:trPr>
          <w:trHeight w:val="397" w:hRule="atLeast"/>
        </w:trPr>
        <w:tc>
          <w:tcPr>
            <w:tcW w:w="5000" w:type="pct"/>
            <w:gridSpan w:val="2"/>
            <w:vAlign w:val="center"/>
          </w:tcPr>
          <w:p w14:paraId="17CAFCBC">
            <w:pPr>
              <w:pStyle w:val="101"/>
              <w:rPr>
                <w:color w:val="auto"/>
              </w:rPr>
            </w:pPr>
            <w:r>
              <w:rPr>
                <w:rFonts w:hint="eastAsia"/>
                <w:color w:val="auto"/>
              </w:rPr>
              <w:t>Mb：岩土层单层厚度。 K：渗透系数。</w:t>
            </w:r>
          </w:p>
        </w:tc>
      </w:tr>
    </w:tbl>
    <w:p w14:paraId="455130D3">
      <w:pPr>
        <w:pStyle w:val="102"/>
        <w:ind w:firstLine="480"/>
        <w:rPr>
          <w:color w:val="auto"/>
        </w:rPr>
      </w:pPr>
      <w:r>
        <w:rPr>
          <w:rFonts w:hint="eastAsia"/>
          <w:color w:val="auto"/>
        </w:rPr>
        <w:t>本项目5</w:t>
      </w:r>
      <w:r>
        <w:rPr>
          <w:color w:val="auto"/>
        </w:rPr>
        <w:t>00</w:t>
      </w:r>
      <w:r>
        <w:rPr>
          <w:rFonts w:hint="eastAsia"/>
          <w:color w:val="auto"/>
        </w:rPr>
        <w:t>范围内无地下水保护目标</w:t>
      </w:r>
      <w:r>
        <w:rPr>
          <w:rFonts w:hint="eastAsia"/>
          <w:color w:val="auto"/>
          <w:lang w:eastAsia="zh-CN"/>
        </w:rPr>
        <w:t>，</w:t>
      </w:r>
      <w:r>
        <w:rPr>
          <w:rFonts w:hint="eastAsia"/>
          <w:color w:val="auto"/>
        </w:rPr>
        <w:t>项目区不涉及地下水敏感区及较敏感区</w:t>
      </w:r>
      <w:r>
        <w:rPr>
          <w:rFonts w:hint="eastAsia"/>
          <w:color w:val="auto"/>
          <w:lang w:eastAsia="zh-CN"/>
        </w:rPr>
        <w:t>，</w:t>
      </w:r>
      <w:r>
        <w:rPr>
          <w:rFonts w:hint="eastAsia"/>
          <w:color w:val="auto"/>
        </w:rPr>
        <w:t>所在区域</w:t>
      </w:r>
      <w:r>
        <w:rPr>
          <w:rFonts w:hint="eastAsia"/>
          <w:color w:val="auto"/>
          <w:kern w:val="24"/>
        </w:rPr>
        <w:t>地下水环境敏感分区确定</w:t>
      </w:r>
      <w:r>
        <w:rPr>
          <w:rFonts w:hint="eastAsia"/>
          <w:color w:val="auto"/>
        </w:rPr>
        <w:t>为不敏感G</w:t>
      </w:r>
      <w:r>
        <w:rPr>
          <w:color w:val="auto"/>
        </w:rPr>
        <w:t>3</w:t>
      </w:r>
      <w:r>
        <w:rPr>
          <w:rFonts w:hint="eastAsia"/>
          <w:color w:val="auto"/>
        </w:rPr>
        <w:t>。根据区域水文地质资料</w:t>
      </w:r>
      <w:r>
        <w:rPr>
          <w:rFonts w:hint="eastAsia"/>
          <w:color w:val="auto"/>
          <w:lang w:eastAsia="zh-CN"/>
        </w:rPr>
        <w:t>，</w:t>
      </w:r>
      <w:r>
        <w:rPr>
          <w:rFonts w:hint="eastAsia"/>
          <w:color w:val="auto"/>
        </w:rPr>
        <w:t>项目区包气带为亚粘土</w:t>
      </w:r>
      <w:r>
        <w:rPr>
          <w:rFonts w:hint="eastAsia"/>
          <w:color w:val="auto"/>
          <w:lang w:eastAsia="zh-CN"/>
        </w:rPr>
        <w:t>，</w:t>
      </w:r>
      <w:r>
        <w:rPr>
          <w:rFonts w:hint="eastAsia"/>
          <w:color w:val="auto"/>
        </w:rPr>
        <w:t>厚度大于1m</w:t>
      </w:r>
      <w:r>
        <w:rPr>
          <w:rFonts w:hint="eastAsia"/>
          <w:color w:val="auto"/>
          <w:lang w:eastAsia="zh-CN"/>
        </w:rPr>
        <w:t>，</w:t>
      </w:r>
      <w:r>
        <w:rPr>
          <w:rFonts w:hint="eastAsia"/>
          <w:color w:val="auto"/>
        </w:rPr>
        <w:t>渗透系数在1.0×10</w:t>
      </w:r>
      <w:r>
        <w:rPr>
          <w:rFonts w:hint="eastAsia"/>
          <w:color w:val="auto"/>
          <w:vertAlign w:val="superscript"/>
        </w:rPr>
        <w:t>-6</w:t>
      </w:r>
      <w:r>
        <w:rPr>
          <w:rFonts w:hint="eastAsia"/>
          <w:color w:val="auto"/>
        </w:rPr>
        <w:t>cm/s＜K≤1.0×10</w:t>
      </w:r>
      <w:r>
        <w:rPr>
          <w:rFonts w:hint="eastAsia"/>
          <w:color w:val="auto"/>
          <w:vertAlign w:val="superscript"/>
        </w:rPr>
        <w:t>-4</w:t>
      </w:r>
      <w:r>
        <w:rPr>
          <w:rFonts w:hint="eastAsia"/>
          <w:color w:val="auto"/>
        </w:rPr>
        <w:t>cm/s</w:t>
      </w:r>
      <w:r>
        <w:rPr>
          <w:rFonts w:hint="eastAsia"/>
          <w:color w:val="auto"/>
          <w:lang w:eastAsia="zh-CN"/>
        </w:rPr>
        <w:t>，</w:t>
      </w:r>
      <w:r>
        <w:rPr>
          <w:rFonts w:hint="eastAsia"/>
          <w:color w:val="auto"/>
        </w:rPr>
        <w:t>分布连续、稳定</w:t>
      </w:r>
      <w:r>
        <w:rPr>
          <w:rFonts w:hint="eastAsia"/>
          <w:color w:val="auto"/>
          <w:lang w:eastAsia="zh-CN"/>
        </w:rPr>
        <w:t>，</w:t>
      </w:r>
      <w:r>
        <w:rPr>
          <w:rFonts w:hint="eastAsia"/>
          <w:color w:val="auto"/>
        </w:rPr>
        <w:t>项目区包气带防污性能为D</w:t>
      </w:r>
      <w:r>
        <w:rPr>
          <w:color w:val="auto"/>
        </w:rPr>
        <w:t>2</w:t>
      </w:r>
      <w:r>
        <w:rPr>
          <w:rFonts w:hint="eastAsia"/>
          <w:color w:val="auto"/>
        </w:rPr>
        <w:t>。根据表</w:t>
      </w:r>
      <w:r>
        <w:rPr>
          <w:color w:val="auto"/>
        </w:rPr>
        <w:t>2-7</w:t>
      </w:r>
      <w:r>
        <w:rPr>
          <w:rFonts w:hint="eastAsia"/>
          <w:color w:val="auto"/>
        </w:rPr>
        <w:t>确定本项目</w:t>
      </w:r>
      <w:r>
        <w:rPr>
          <w:rFonts w:hint="eastAsia"/>
          <w:color w:val="auto"/>
          <w:kern w:val="24"/>
        </w:rPr>
        <w:t>地下水环境敏感程度分级为</w:t>
      </w:r>
      <w:r>
        <w:rPr>
          <w:rFonts w:hint="eastAsia"/>
          <w:color w:val="auto"/>
        </w:rPr>
        <w:t>环境低度敏感区E</w:t>
      </w:r>
      <w:r>
        <w:rPr>
          <w:color w:val="auto"/>
        </w:rPr>
        <w:t>3</w:t>
      </w:r>
      <w:r>
        <w:rPr>
          <w:rFonts w:hint="eastAsia"/>
          <w:color w:val="auto"/>
        </w:rPr>
        <w:t>。</w:t>
      </w:r>
    </w:p>
    <w:p w14:paraId="65C08D47">
      <w:pPr>
        <w:pStyle w:val="2"/>
        <w:spacing w:before="120" w:after="120"/>
        <w:rPr>
          <w:color w:val="auto"/>
        </w:rPr>
      </w:pPr>
      <w:r>
        <w:rPr>
          <w:rFonts w:hint="eastAsia"/>
          <w:color w:val="auto"/>
        </w:rPr>
        <w:t>2</w:t>
      </w:r>
      <w:r>
        <w:rPr>
          <w:color w:val="auto"/>
        </w:rPr>
        <w:t>.4</w:t>
      </w:r>
      <w:r>
        <w:rPr>
          <w:rFonts w:hint="eastAsia"/>
          <w:color w:val="auto"/>
        </w:rPr>
        <w:t xml:space="preserve">建设项目环境风险潜势判断 </w:t>
      </w:r>
    </w:p>
    <w:p w14:paraId="15E94C2C">
      <w:pPr>
        <w:pStyle w:val="102"/>
        <w:ind w:firstLine="480"/>
        <w:rPr>
          <w:color w:val="auto"/>
        </w:rPr>
      </w:pPr>
      <w:r>
        <w:rPr>
          <w:color w:val="auto"/>
        </w:rPr>
        <w:t>根据《建设项目环境风险评价技术导则》（HJ169-2018）中6.4可知建设项目环境风险潜势综合等级取各要素等级的相对高值。根据危险物质数量与临界量比值计算可知</w:t>
      </w:r>
      <w:r>
        <w:rPr>
          <w:rFonts w:hint="eastAsia"/>
          <w:color w:val="auto"/>
          <w:lang w:eastAsia="zh-CN"/>
        </w:rPr>
        <w:t>，</w:t>
      </w:r>
      <w:r>
        <w:rPr>
          <w:color w:val="auto"/>
        </w:rPr>
        <w:t>本项目危险物质及工艺系统危险性等级（P）为P4</w:t>
      </w:r>
      <w:r>
        <w:rPr>
          <w:rFonts w:hint="eastAsia"/>
          <w:color w:val="auto"/>
          <w:lang w:eastAsia="zh-CN"/>
        </w:rPr>
        <w:t>，</w:t>
      </w:r>
      <w:r>
        <w:rPr>
          <w:color w:val="auto"/>
        </w:rPr>
        <w:t>大气环境敏感程度为环境高度敏感区E1</w:t>
      </w:r>
      <w:r>
        <w:rPr>
          <w:rFonts w:hint="eastAsia"/>
          <w:color w:val="auto"/>
          <w:lang w:eastAsia="zh-CN"/>
        </w:rPr>
        <w:t>，</w:t>
      </w:r>
      <w:r>
        <w:rPr>
          <w:color w:val="auto"/>
        </w:rPr>
        <w:t>地下水环境敏感程度为环境低度敏感区E3</w:t>
      </w:r>
      <w:r>
        <w:rPr>
          <w:rFonts w:hint="eastAsia"/>
          <w:color w:val="auto"/>
          <w:lang w:eastAsia="zh-CN"/>
        </w:rPr>
        <w:t>，</w:t>
      </w:r>
      <w:r>
        <w:rPr>
          <w:color w:val="auto"/>
        </w:rPr>
        <w:t>地表水环境敏感程度为环境低度敏感区E3。根据建设项目环境风险潜势划分表</w:t>
      </w:r>
      <w:r>
        <w:rPr>
          <w:rFonts w:hint="eastAsia"/>
          <w:color w:val="auto"/>
          <w:lang w:eastAsia="zh-CN"/>
        </w:rPr>
        <w:t>，</w:t>
      </w:r>
      <w:r>
        <w:rPr>
          <w:color w:val="auto"/>
        </w:rPr>
        <w:t>拟建项目大气环境风险潜势为</w:t>
      </w:r>
      <w:r>
        <w:rPr>
          <w:rFonts w:hint="eastAsia"/>
          <w:color w:val="auto"/>
        </w:rPr>
        <w:t>Ⅱ</w:t>
      </w:r>
      <w:r>
        <w:rPr>
          <w:rFonts w:hint="eastAsia"/>
          <w:color w:val="auto"/>
          <w:lang w:eastAsia="zh-CN"/>
        </w:rPr>
        <w:t>，</w:t>
      </w:r>
      <w:r>
        <w:rPr>
          <w:color w:val="auto"/>
        </w:rPr>
        <w:t>地下水环境风险潜势为</w:t>
      </w:r>
      <w:r>
        <w:rPr>
          <w:rFonts w:hint="eastAsia" w:ascii="宋体" w:hAnsi="宋体" w:cs="宋体"/>
          <w:color w:val="auto"/>
        </w:rPr>
        <w:t>Ⅰ</w:t>
      </w:r>
      <w:r>
        <w:rPr>
          <w:rFonts w:hint="eastAsia"/>
          <w:color w:val="auto"/>
          <w:lang w:eastAsia="zh-CN"/>
        </w:rPr>
        <w:t>，</w:t>
      </w:r>
      <w:r>
        <w:rPr>
          <w:color w:val="auto"/>
        </w:rPr>
        <w:t>地表水环境风险潜势为</w:t>
      </w:r>
      <w:r>
        <w:rPr>
          <w:rFonts w:hint="eastAsia" w:ascii="宋体" w:hAnsi="宋体" w:cs="宋体"/>
          <w:color w:val="auto"/>
        </w:rPr>
        <w:t>Ⅰ</w:t>
      </w:r>
      <w:r>
        <w:rPr>
          <w:color w:val="auto"/>
        </w:rPr>
        <w:t>。根据《建设项目环境风险评价技术导则》（HJ/T169-2018）</w:t>
      </w:r>
      <w:r>
        <w:rPr>
          <w:rFonts w:hint="eastAsia"/>
          <w:color w:val="auto"/>
          <w:lang w:eastAsia="zh-CN"/>
        </w:rPr>
        <w:t>，</w:t>
      </w:r>
      <w:r>
        <w:rPr>
          <w:color w:val="auto"/>
        </w:rPr>
        <w:t>拟建项目环境风险潜势综合等级为</w:t>
      </w:r>
      <w:r>
        <w:rPr>
          <w:rFonts w:hint="eastAsia"/>
          <w:color w:val="auto"/>
        </w:rPr>
        <w:t>Ⅱ</w:t>
      </w:r>
      <w:r>
        <w:rPr>
          <w:color w:val="auto"/>
        </w:rPr>
        <w:t>。</w:t>
      </w:r>
    </w:p>
    <w:p w14:paraId="4316E9AD">
      <w:pPr>
        <w:pStyle w:val="2"/>
        <w:spacing w:before="120" w:after="120"/>
        <w:rPr>
          <w:color w:val="auto"/>
        </w:rPr>
      </w:pPr>
      <w:r>
        <w:rPr>
          <w:rFonts w:hint="eastAsia"/>
          <w:color w:val="auto"/>
        </w:rPr>
        <w:t>2</w:t>
      </w:r>
      <w:r>
        <w:rPr>
          <w:color w:val="auto"/>
        </w:rPr>
        <w:t>.5评价等级判定</w:t>
      </w:r>
    </w:p>
    <w:p w14:paraId="2196A5B4">
      <w:pPr>
        <w:pStyle w:val="102"/>
        <w:ind w:firstLine="480"/>
        <w:rPr>
          <w:color w:val="auto"/>
        </w:rPr>
      </w:pPr>
      <w:r>
        <w:rPr>
          <w:rFonts w:hint="eastAsia"/>
          <w:color w:val="auto"/>
        </w:rPr>
        <w:t>根据《建设项目环境风险评价技术导则》（HJ169-2018）的规定</w:t>
      </w:r>
      <w:r>
        <w:rPr>
          <w:rFonts w:hint="eastAsia"/>
          <w:color w:val="auto"/>
          <w:lang w:eastAsia="zh-CN"/>
        </w:rPr>
        <w:t>，</w:t>
      </w:r>
      <w:r>
        <w:rPr>
          <w:rFonts w:hint="eastAsia"/>
          <w:color w:val="auto"/>
        </w:rPr>
        <w:t>确定本项目环境风险评价等级为三级</w:t>
      </w:r>
      <w:r>
        <w:rPr>
          <w:rFonts w:hint="eastAsia"/>
          <w:color w:val="auto"/>
          <w:lang w:eastAsia="zh-CN"/>
        </w:rPr>
        <w:t>，</w:t>
      </w:r>
      <w:r>
        <w:rPr>
          <w:rFonts w:hint="eastAsia"/>
          <w:color w:val="auto"/>
        </w:rPr>
        <w:t>三级评价定性说明大气环境影响后果</w:t>
      </w:r>
      <w:r>
        <w:rPr>
          <w:rFonts w:hint="eastAsia"/>
          <w:color w:val="auto"/>
          <w:lang w:eastAsia="zh-CN"/>
        </w:rPr>
        <w:t>，</w:t>
      </w:r>
      <w:r>
        <w:rPr>
          <w:rFonts w:hint="eastAsia"/>
          <w:color w:val="auto"/>
        </w:rPr>
        <w:t>地表水环境、地下水环境风险评价等级均为简单分析</w:t>
      </w:r>
      <w:r>
        <w:rPr>
          <w:color w:val="auto"/>
        </w:rPr>
        <w:t>。</w:t>
      </w:r>
    </w:p>
    <w:p w14:paraId="29D11285">
      <w:pPr>
        <w:pStyle w:val="2"/>
        <w:spacing w:before="120" w:after="120"/>
        <w:rPr>
          <w:color w:val="auto"/>
        </w:rPr>
      </w:pPr>
      <w:r>
        <w:rPr>
          <w:rFonts w:hint="eastAsia"/>
          <w:color w:val="auto"/>
        </w:rPr>
        <w:t>2</w:t>
      </w:r>
      <w:r>
        <w:rPr>
          <w:color w:val="auto"/>
        </w:rPr>
        <w:t>.6</w:t>
      </w:r>
      <w:r>
        <w:rPr>
          <w:rFonts w:hint="eastAsia"/>
          <w:color w:val="auto"/>
        </w:rPr>
        <w:t>评价范围</w:t>
      </w:r>
    </w:p>
    <w:p w14:paraId="07A63242">
      <w:pPr>
        <w:pStyle w:val="102"/>
        <w:ind w:firstLine="480"/>
        <w:rPr>
          <w:color w:val="auto"/>
        </w:rPr>
      </w:pPr>
      <w:r>
        <w:rPr>
          <w:rFonts w:hint="eastAsia"/>
          <w:color w:val="auto"/>
        </w:rPr>
        <w:t>根据《建设项目环境风险评价技术导则》（HJ/T169-2018）</w:t>
      </w:r>
      <w:r>
        <w:rPr>
          <w:rFonts w:hint="eastAsia"/>
          <w:color w:val="auto"/>
          <w:lang w:eastAsia="zh-CN"/>
        </w:rPr>
        <w:t>，</w:t>
      </w:r>
      <w:r>
        <w:rPr>
          <w:rFonts w:hint="eastAsia"/>
          <w:color w:val="auto"/>
        </w:rPr>
        <w:t>本项目大气环境风险评价范围为以项目边界外扩</w:t>
      </w:r>
      <w:r>
        <w:rPr>
          <w:color w:val="auto"/>
        </w:rPr>
        <w:t>3</w:t>
      </w:r>
      <w:r>
        <w:rPr>
          <w:rFonts w:hint="eastAsia"/>
          <w:color w:val="auto"/>
        </w:rPr>
        <w:t>km所形成的范围。项目地表水、地下水</w:t>
      </w:r>
      <w:r>
        <w:rPr>
          <w:color w:val="auto"/>
        </w:rPr>
        <w:t>环境风险潜势为</w:t>
      </w:r>
      <w:r>
        <w:rPr>
          <w:rFonts w:hint="eastAsia"/>
          <w:color w:val="auto"/>
        </w:rPr>
        <w:t>Ⅰ</w:t>
      </w:r>
      <w:r>
        <w:rPr>
          <w:rFonts w:hint="eastAsia"/>
          <w:color w:val="auto"/>
          <w:lang w:eastAsia="zh-CN"/>
        </w:rPr>
        <w:t>，</w:t>
      </w:r>
      <w:r>
        <w:rPr>
          <w:rFonts w:hint="eastAsia"/>
          <w:color w:val="auto"/>
        </w:rPr>
        <w:t>本项目风险评价中无需对地表水环境、地下水环境设定评价范围。</w:t>
      </w:r>
    </w:p>
    <w:p w14:paraId="71DCC9BE">
      <w:pPr>
        <w:pStyle w:val="3"/>
        <w:rPr>
          <w:color w:val="auto"/>
        </w:rPr>
      </w:pPr>
      <w:r>
        <w:rPr>
          <w:color w:val="auto"/>
        </w:rPr>
        <w:t>3</w:t>
      </w:r>
      <w:r>
        <w:rPr>
          <w:rFonts w:hint="eastAsia"/>
          <w:color w:val="auto"/>
        </w:rPr>
        <w:t>环境</w:t>
      </w:r>
      <w:r>
        <w:rPr>
          <w:color w:val="auto"/>
        </w:rPr>
        <w:t>风险识别</w:t>
      </w:r>
    </w:p>
    <w:p w14:paraId="19936A2B">
      <w:pPr>
        <w:pStyle w:val="2"/>
        <w:spacing w:before="120" w:after="120"/>
        <w:rPr>
          <w:color w:val="auto"/>
        </w:rPr>
      </w:pPr>
      <w:r>
        <w:rPr>
          <w:rFonts w:hint="eastAsia"/>
          <w:color w:val="auto"/>
        </w:rPr>
        <w:t>3</w:t>
      </w:r>
      <w:r>
        <w:rPr>
          <w:color w:val="auto"/>
        </w:rPr>
        <w:t>.1</w:t>
      </w:r>
      <w:r>
        <w:rPr>
          <w:rFonts w:hint="eastAsia"/>
          <w:color w:val="auto"/>
        </w:rPr>
        <w:t>风险</w:t>
      </w:r>
      <w:r>
        <w:rPr>
          <w:color w:val="auto"/>
        </w:rPr>
        <w:t>物质识别</w:t>
      </w:r>
    </w:p>
    <w:p w14:paraId="319FE032">
      <w:pPr>
        <w:spacing w:line="520" w:lineRule="exact"/>
        <w:ind w:firstLine="480" w:firstLineChars="200"/>
        <w:rPr>
          <w:color w:val="auto"/>
          <w:sz w:val="24"/>
        </w:rPr>
      </w:pPr>
      <w:r>
        <w:rPr>
          <w:rFonts w:hint="eastAsia"/>
          <w:color w:val="auto"/>
          <w:sz w:val="24"/>
        </w:rPr>
        <w:t>项目涉及的主要物料及在工程中的储存、分布情况见表</w:t>
      </w:r>
      <w:r>
        <w:rPr>
          <w:color w:val="auto"/>
          <w:sz w:val="24"/>
        </w:rPr>
        <w:t>3-1</w:t>
      </w:r>
      <w:r>
        <w:rPr>
          <w:rFonts w:hint="eastAsia"/>
          <w:color w:val="auto"/>
          <w:sz w:val="24"/>
        </w:rPr>
        <w:t>。</w:t>
      </w:r>
    </w:p>
    <w:p w14:paraId="55BC742D">
      <w:pPr>
        <w:pStyle w:val="114"/>
        <w:rPr>
          <w:color w:val="auto"/>
        </w:rPr>
      </w:pPr>
      <w:r>
        <w:rPr>
          <w:color w:val="auto"/>
        </w:rPr>
        <w:t xml:space="preserve">表3-1 </w:t>
      </w:r>
      <w:r>
        <w:rPr>
          <w:rFonts w:hint="eastAsia"/>
          <w:color w:val="auto"/>
        </w:rPr>
        <w:t>本项目涉及的主要危险物料及分布情况表</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1498"/>
        <w:gridCol w:w="2586"/>
        <w:gridCol w:w="2488"/>
        <w:gridCol w:w="2488"/>
      </w:tblGrid>
      <w:tr w14:paraId="0D45EBCC">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7" w:type="pct"/>
            <w:vAlign w:val="center"/>
          </w:tcPr>
          <w:p w14:paraId="67401B6E">
            <w:pPr>
              <w:pStyle w:val="101"/>
              <w:rPr>
                <w:color w:val="auto"/>
              </w:rPr>
            </w:pPr>
            <w:r>
              <w:rPr>
                <w:color w:val="auto"/>
              </w:rPr>
              <w:t>序号</w:t>
            </w:r>
          </w:p>
        </w:tc>
        <w:tc>
          <w:tcPr>
            <w:tcW w:w="1427" w:type="pct"/>
            <w:vAlign w:val="center"/>
          </w:tcPr>
          <w:p w14:paraId="13F92211">
            <w:pPr>
              <w:pStyle w:val="101"/>
              <w:rPr>
                <w:color w:val="auto"/>
              </w:rPr>
            </w:pPr>
            <w:r>
              <w:rPr>
                <w:color w:val="auto"/>
              </w:rPr>
              <w:t>名称</w:t>
            </w:r>
          </w:p>
        </w:tc>
        <w:tc>
          <w:tcPr>
            <w:tcW w:w="1373" w:type="pct"/>
            <w:vAlign w:val="center"/>
          </w:tcPr>
          <w:p w14:paraId="083B9F27">
            <w:pPr>
              <w:pStyle w:val="101"/>
              <w:rPr>
                <w:color w:val="auto"/>
              </w:rPr>
            </w:pPr>
            <w:r>
              <w:rPr>
                <w:rFonts w:hint="eastAsia"/>
                <w:color w:val="auto"/>
              </w:rPr>
              <w:t>包装方式</w:t>
            </w:r>
          </w:p>
        </w:tc>
        <w:tc>
          <w:tcPr>
            <w:tcW w:w="1373" w:type="pct"/>
            <w:vAlign w:val="center"/>
          </w:tcPr>
          <w:p w14:paraId="2943B862">
            <w:pPr>
              <w:pStyle w:val="101"/>
              <w:rPr>
                <w:color w:val="auto"/>
              </w:rPr>
            </w:pPr>
            <w:r>
              <w:rPr>
                <w:rFonts w:hint="eastAsia"/>
                <w:color w:val="auto"/>
              </w:rPr>
              <w:t>储存地点</w:t>
            </w:r>
          </w:p>
        </w:tc>
      </w:tr>
      <w:tr w14:paraId="4139DC3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7" w:type="pct"/>
            <w:vAlign w:val="center"/>
          </w:tcPr>
          <w:p w14:paraId="4F6C95EA">
            <w:pPr>
              <w:pStyle w:val="101"/>
              <w:rPr>
                <w:color w:val="auto"/>
              </w:rPr>
            </w:pPr>
            <w:r>
              <w:rPr>
                <w:rFonts w:hint="eastAsia"/>
                <w:color w:val="auto"/>
              </w:rPr>
              <w:t>1</w:t>
            </w:r>
          </w:p>
        </w:tc>
        <w:tc>
          <w:tcPr>
            <w:tcW w:w="1427" w:type="pct"/>
            <w:vAlign w:val="center"/>
          </w:tcPr>
          <w:p w14:paraId="4B5C5CC3">
            <w:pPr>
              <w:pStyle w:val="101"/>
              <w:rPr>
                <w:color w:val="auto"/>
              </w:rPr>
            </w:pPr>
            <w:r>
              <w:rPr>
                <w:rFonts w:hint="eastAsia"/>
                <w:color w:val="auto"/>
              </w:rPr>
              <w:t>聚合M</w:t>
            </w:r>
            <w:r>
              <w:rPr>
                <w:color w:val="auto"/>
              </w:rPr>
              <w:t>DI</w:t>
            </w:r>
          </w:p>
        </w:tc>
        <w:tc>
          <w:tcPr>
            <w:tcW w:w="1373" w:type="pct"/>
            <w:vAlign w:val="center"/>
          </w:tcPr>
          <w:p w14:paraId="06B6C431">
            <w:pPr>
              <w:pStyle w:val="101"/>
              <w:rPr>
                <w:color w:val="auto"/>
              </w:rPr>
            </w:pPr>
            <w:r>
              <w:rPr>
                <w:color w:val="auto"/>
              </w:rPr>
              <w:t>罐装</w:t>
            </w:r>
          </w:p>
        </w:tc>
        <w:tc>
          <w:tcPr>
            <w:tcW w:w="1373" w:type="pct"/>
            <w:vAlign w:val="center"/>
          </w:tcPr>
          <w:p w14:paraId="6A208AE7">
            <w:pPr>
              <w:pStyle w:val="101"/>
              <w:rPr>
                <w:color w:val="auto"/>
              </w:rPr>
            </w:pPr>
            <w:r>
              <w:rPr>
                <w:rFonts w:hint="eastAsia"/>
                <w:color w:val="auto"/>
              </w:rPr>
              <w:t>车间内</w:t>
            </w:r>
          </w:p>
        </w:tc>
      </w:tr>
      <w:tr w14:paraId="737B8CC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827" w:type="pct"/>
            <w:vAlign w:val="center"/>
          </w:tcPr>
          <w:p w14:paraId="437A33E9">
            <w:pPr>
              <w:pStyle w:val="101"/>
              <w:rPr>
                <w:color w:val="auto"/>
              </w:rPr>
            </w:pPr>
            <w:r>
              <w:rPr>
                <w:rFonts w:hint="eastAsia"/>
                <w:color w:val="auto"/>
              </w:rPr>
              <w:t>2</w:t>
            </w:r>
          </w:p>
        </w:tc>
        <w:tc>
          <w:tcPr>
            <w:tcW w:w="1427" w:type="pct"/>
            <w:vAlign w:val="center"/>
          </w:tcPr>
          <w:p w14:paraId="52394AAD">
            <w:pPr>
              <w:pStyle w:val="101"/>
              <w:rPr>
                <w:rFonts w:hint="eastAsia" w:eastAsia="宋体"/>
                <w:color w:val="auto"/>
                <w:lang w:eastAsia="zh-CN"/>
              </w:rPr>
            </w:pPr>
            <w:r>
              <w:rPr>
                <w:rFonts w:hint="eastAsia"/>
                <w:color w:val="auto"/>
              </w:rPr>
              <w:t>二丁酯</w:t>
            </w:r>
            <w:r>
              <w:rPr>
                <w:rFonts w:hint="eastAsia"/>
                <w:color w:val="auto"/>
                <w:lang w:eastAsia="zh-CN"/>
              </w:rPr>
              <w:t>（增塑剂）</w:t>
            </w:r>
          </w:p>
        </w:tc>
        <w:tc>
          <w:tcPr>
            <w:tcW w:w="1373" w:type="pct"/>
            <w:vAlign w:val="center"/>
          </w:tcPr>
          <w:p w14:paraId="5CE6D5EC">
            <w:pPr>
              <w:pStyle w:val="101"/>
              <w:rPr>
                <w:color w:val="auto"/>
              </w:rPr>
            </w:pPr>
            <w:r>
              <w:rPr>
                <w:color w:val="auto"/>
              </w:rPr>
              <w:t>罐装</w:t>
            </w:r>
          </w:p>
        </w:tc>
        <w:tc>
          <w:tcPr>
            <w:tcW w:w="1373" w:type="pct"/>
            <w:vAlign w:val="center"/>
          </w:tcPr>
          <w:p w14:paraId="55AB02DF">
            <w:pPr>
              <w:pStyle w:val="101"/>
              <w:rPr>
                <w:color w:val="auto"/>
              </w:rPr>
            </w:pPr>
            <w:r>
              <w:rPr>
                <w:rFonts w:hint="eastAsia"/>
                <w:color w:val="auto"/>
              </w:rPr>
              <w:t>车间内</w:t>
            </w:r>
          </w:p>
        </w:tc>
      </w:tr>
    </w:tbl>
    <w:p w14:paraId="59C038CC">
      <w:pPr>
        <w:pStyle w:val="2"/>
        <w:spacing w:before="120" w:after="120"/>
        <w:rPr>
          <w:color w:val="auto"/>
        </w:rPr>
      </w:pPr>
      <w:r>
        <w:rPr>
          <w:rFonts w:hint="eastAsia"/>
          <w:color w:val="auto"/>
        </w:rPr>
        <w:t>3</w:t>
      </w:r>
      <w:r>
        <w:rPr>
          <w:color w:val="auto"/>
        </w:rPr>
        <w:t>.2</w:t>
      </w:r>
      <w:r>
        <w:rPr>
          <w:rFonts w:hint="eastAsia"/>
          <w:color w:val="auto"/>
        </w:rPr>
        <w:t>生产</w:t>
      </w:r>
      <w:r>
        <w:rPr>
          <w:color w:val="auto"/>
        </w:rPr>
        <w:t>系统危险性识别</w:t>
      </w:r>
    </w:p>
    <w:p w14:paraId="52D10647">
      <w:pPr>
        <w:pStyle w:val="102"/>
        <w:ind w:firstLine="480"/>
        <w:rPr>
          <w:color w:val="auto"/>
        </w:rPr>
      </w:pPr>
      <w:r>
        <w:rPr>
          <w:rFonts w:hint="eastAsia"/>
          <w:color w:val="auto"/>
        </w:rPr>
        <w:t>通过对本项目</w:t>
      </w:r>
      <w:r>
        <w:rPr>
          <w:color w:val="auto"/>
        </w:rPr>
        <w:t>设备和工艺</w:t>
      </w:r>
      <w:r>
        <w:rPr>
          <w:rFonts w:hint="eastAsia"/>
          <w:color w:val="auto"/>
        </w:rPr>
        <w:t>分析</w:t>
      </w:r>
      <w:r>
        <w:rPr>
          <w:rFonts w:hint="eastAsia"/>
          <w:color w:val="auto"/>
          <w:lang w:eastAsia="zh-CN"/>
        </w:rPr>
        <w:t>，</w:t>
      </w:r>
      <w:r>
        <w:rPr>
          <w:rFonts w:hint="eastAsia"/>
          <w:color w:val="auto"/>
        </w:rPr>
        <w:t>本项目设置储罐、搅拌</w:t>
      </w:r>
      <w:r>
        <w:rPr>
          <w:rFonts w:hint="eastAsia"/>
          <w:color w:val="auto"/>
          <w:lang w:eastAsia="zh-CN"/>
        </w:rPr>
        <w:t>罐，</w:t>
      </w:r>
      <w:r>
        <w:rPr>
          <w:rFonts w:hint="eastAsia"/>
          <w:color w:val="auto"/>
        </w:rPr>
        <w:t>可能发生的环境风险环节为储存、搅拌和输送过程。主要风险因素包括：</w:t>
      </w:r>
    </w:p>
    <w:p w14:paraId="11922038">
      <w:pPr>
        <w:pStyle w:val="102"/>
        <w:ind w:firstLine="480"/>
        <w:rPr>
          <w:color w:val="auto"/>
        </w:rPr>
      </w:pPr>
      <w:r>
        <w:rPr>
          <w:rFonts w:hint="eastAsia"/>
          <w:color w:val="auto"/>
        </w:rPr>
        <w:t>（1）</w:t>
      </w:r>
      <w:r>
        <w:rPr>
          <w:color w:val="auto"/>
        </w:rPr>
        <w:t>泄漏</w:t>
      </w:r>
      <w:r>
        <w:rPr>
          <w:rFonts w:hint="eastAsia"/>
          <w:color w:val="auto"/>
        </w:rPr>
        <w:t>：</w:t>
      </w:r>
      <w:r>
        <w:rPr>
          <w:color w:val="auto"/>
        </w:rPr>
        <w:t>主要由阀门、设备破损、违章操作</w:t>
      </w:r>
      <w:r>
        <w:rPr>
          <w:rFonts w:hint="eastAsia"/>
          <w:color w:val="auto"/>
          <w:lang w:eastAsia="zh-CN"/>
        </w:rPr>
        <w:t>，</w:t>
      </w:r>
      <w:r>
        <w:rPr>
          <w:color w:val="auto"/>
        </w:rPr>
        <w:t>安全阀及控制系统失灵等引起；</w:t>
      </w:r>
    </w:p>
    <w:p w14:paraId="1A74949D">
      <w:pPr>
        <w:pStyle w:val="102"/>
        <w:ind w:firstLine="480"/>
        <w:rPr>
          <w:color w:val="auto"/>
        </w:rPr>
      </w:pPr>
      <w:r>
        <w:rPr>
          <w:rFonts w:hint="eastAsia"/>
          <w:color w:val="auto"/>
        </w:rPr>
        <w:t>（2）</w:t>
      </w:r>
      <w:r>
        <w:rPr>
          <w:color w:val="auto"/>
        </w:rPr>
        <w:t>中毒</w:t>
      </w:r>
      <w:r>
        <w:rPr>
          <w:rFonts w:hint="eastAsia"/>
          <w:color w:val="auto"/>
        </w:rPr>
        <w:t>：</w:t>
      </w:r>
      <w:r>
        <w:rPr>
          <w:color w:val="auto"/>
        </w:rPr>
        <w:t>由于泄漏导致现场危险品浓度超标；</w:t>
      </w:r>
    </w:p>
    <w:p w14:paraId="71C2F76E">
      <w:pPr>
        <w:pStyle w:val="102"/>
        <w:ind w:firstLine="480"/>
        <w:rPr>
          <w:color w:val="auto"/>
        </w:rPr>
      </w:pPr>
      <w:r>
        <w:rPr>
          <w:rFonts w:hint="eastAsia"/>
          <w:color w:val="auto"/>
        </w:rPr>
        <w:t>（3）</w:t>
      </w:r>
      <w:r>
        <w:rPr>
          <w:color w:val="auto"/>
        </w:rPr>
        <w:t>火灾或爆炸</w:t>
      </w:r>
      <w:r>
        <w:rPr>
          <w:rFonts w:hint="eastAsia"/>
          <w:color w:val="auto"/>
        </w:rPr>
        <w:t>：有机溶剂</w:t>
      </w:r>
      <w:r>
        <w:rPr>
          <w:color w:val="auto"/>
        </w:rPr>
        <w:t>挥发的轻组分与空气混合能形成爆炸性混合物；遇明火、高热能引起燃烧爆炸。</w:t>
      </w:r>
    </w:p>
    <w:p w14:paraId="62806727">
      <w:pPr>
        <w:pStyle w:val="2"/>
        <w:spacing w:before="120" w:after="120"/>
        <w:rPr>
          <w:color w:val="auto"/>
        </w:rPr>
      </w:pPr>
      <w:r>
        <w:rPr>
          <w:rFonts w:hint="eastAsia"/>
          <w:color w:val="auto"/>
        </w:rPr>
        <w:t>3</w:t>
      </w:r>
      <w:r>
        <w:rPr>
          <w:color w:val="auto"/>
        </w:rPr>
        <w:t>.3</w:t>
      </w:r>
      <w:r>
        <w:rPr>
          <w:rFonts w:hint="eastAsia"/>
          <w:color w:val="auto"/>
        </w:rPr>
        <w:t>风险</w:t>
      </w:r>
      <w:r>
        <w:rPr>
          <w:color w:val="auto"/>
        </w:rPr>
        <w:t>类型识别</w:t>
      </w:r>
    </w:p>
    <w:p w14:paraId="26CACB65">
      <w:pPr>
        <w:pStyle w:val="102"/>
        <w:ind w:firstLine="480"/>
        <w:rPr>
          <w:color w:val="auto"/>
        </w:rPr>
      </w:pPr>
      <w:r>
        <w:rPr>
          <w:rFonts w:hint="eastAsia"/>
          <w:color w:val="auto"/>
        </w:rPr>
        <w:t>由</w:t>
      </w:r>
      <w:r>
        <w:rPr>
          <w:color w:val="auto"/>
        </w:rPr>
        <w:t>前述分析可知</w:t>
      </w:r>
      <w:r>
        <w:rPr>
          <w:rFonts w:hint="eastAsia"/>
          <w:color w:val="auto"/>
          <w:lang w:eastAsia="zh-CN"/>
        </w:rPr>
        <w:t>，</w:t>
      </w:r>
      <w:r>
        <w:rPr>
          <w:color w:val="auto"/>
        </w:rPr>
        <w:t>本项目危险物质</w:t>
      </w:r>
      <w:r>
        <w:rPr>
          <w:rFonts w:hint="eastAsia"/>
          <w:color w:val="auto"/>
        </w:rPr>
        <w:t>存在</w:t>
      </w:r>
      <w:r>
        <w:rPr>
          <w:color w:val="auto"/>
        </w:rPr>
        <w:t>泄漏事故</w:t>
      </w:r>
      <w:r>
        <w:rPr>
          <w:rFonts w:hint="eastAsia"/>
          <w:color w:val="auto"/>
        </w:rPr>
        <w:t>、火灾爆炸事故</w:t>
      </w:r>
      <w:r>
        <w:rPr>
          <w:color w:val="auto"/>
        </w:rPr>
        <w:t>。</w:t>
      </w:r>
    </w:p>
    <w:p w14:paraId="6496ADDD">
      <w:pPr>
        <w:pStyle w:val="2"/>
        <w:spacing w:before="120" w:after="120"/>
        <w:rPr>
          <w:color w:val="auto"/>
        </w:rPr>
      </w:pPr>
      <w:r>
        <w:rPr>
          <w:rFonts w:hint="eastAsia"/>
          <w:color w:val="auto"/>
        </w:rPr>
        <w:t>3</w:t>
      </w:r>
      <w:r>
        <w:rPr>
          <w:color w:val="auto"/>
        </w:rPr>
        <w:t>.4</w:t>
      </w:r>
      <w:r>
        <w:rPr>
          <w:rFonts w:hint="eastAsia"/>
          <w:color w:val="auto"/>
        </w:rPr>
        <w:t>影响途径</w:t>
      </w:r>
      <w:r>
        <w:rPr>
          <w:color w:val="auto"/>
        </w:rPr>
        <w:t>识别</w:t>
      </w:r>
    </w:p>
    <w:p w14:paraId="0E9C5D59">
      <w:pPr>
        <w:pStyle w:val="102"/>
        <w:ind w:firstLine="480"/>
        <w:rPr>
          <w:color w:val="auto"/>
        </w:rPr>
      </w:pPr>
      <w:r>
        <w:rPr>
          <w:rFonts w:hint="eastAsia"/>
          <w:color w:val="auto"/>
        </w:rPr>
        <w:t>①大气污染途径与风险识别</w:t>
      </w:r>
    </w:p>
    <w:p w14:paraId="2F2C65B0">
      <w:pPr>
        <w:pStyle w:val="102"/>
        <w:ind w:firstLine="480"/>
        <w:rPr>
          <w:color w:val="auto"/>
        </w:rPr>
      </w:pPr>
      <w:r>
        <w:rPr>
          <w:rFonts w:hint="eastAsia"/>
          <w:color w:val="auto"/>
        </w:rPr>
        <w:t>危险物质泄漏通过大气影响周围环境</w:t>
      </w:r>
      <w:r>
        <w:rPr>
          <w:rFonts w:hint="eastAsia"/>
          <w:color w:val="auto"/>
          <w:lang w:eastAsia="zh-CN"/>
        </w:rPr>
        <w:t>，</w:t>
      </w:r>
      <w:r>
        <w:rPr>
          <w:rFonts w:hint="eastAsia"/>
          <w:color w:val="auto"/>
        </w:rPr>
        <w:t>与区域气象条件密切相关</w:t>
      </w:r>
      <w:r>
        <w:rPr>
          <w:rFonts w:hint="eastAsia"/>
          <w:color w:val="auto"/>
          <w:lang w:eastAsia="zh-CN"/>
        </w:rPr>
        <w:t>，</w:t>
      </w:r>
      <w:r>
        <w:rPr>
          <w:rFonts w:hint="eastAsia"/>
          <w:color w:val="auto"/>
        </w:rPr>
        <w:t>直接受风向、风速影响。小风和静风条件是事故下最不利天气</w:t>
      </w:r>
      <w:r>
        <w:rPr>
          <w:rFonts w:hint="eastAsia"/>
          <w:color w:val="auto"/>
          <w:lang w:eastAsia="zh-CN"/>
        </w:rPr>
        <w:t>，</w:t>
      </w:r>
      <w:r>
        <w:rPr>
          <w:rFonts w:hint="eastAsia"/>
          <w:color w:val="auto"/>
        </w:rPr>
        <w:t>对大气污染物的扩散较为不利。同时</w:t>
      </w:r>
      <w:r>
        <w:rPr>
          <w:rFonts w:hint="eastAsia"/>
          <w:color w:val="auto"/>
          <w:lang w:eastAsia="zh-CN"/>
        </w:rPr>
        <w:t>，</w:t>
      </w:r>
      <w:r>
        <w:rPr>
          <w:rFonts w:hint="eastAsia"/>
          <w:color w:val="auto"/>
        </w:rPr>
        <w:t>由于危险物质燃烧后产生的伴生/次生污染物也会对大气环境产生影响。</w:t>
      </w:r>
    </w:p>
    <w:p w14:paraId="682E5FD7">
      <w:pPr>
        <w:pStyle w:val="102"/>
        <w:ind w:firstLine="480"/>
        <w:rPr>
          <w:color w:val="auto"/>
        </w:rPr>
      </w:pPr>
      <w:r>
        <w:rPr>
          <w:rFonts w:hint="eastAsia"/>
          <w:color w:val="auto"/>
        </w:rPr>
        <w:t>②水体污染途径与风险识别</w:t>
      </w:r>
    </w:p>
    <w:p w14:paraId="2090A894">
      <w:pPr>
        <w:pStyle w:val="102"/>
        <w:ind w:firstLine="480"/>
        <w:rPr>
          <w:color w:val="auto"/>
        </w:rPr>
      </w:pPr>
      <w:r>
        <w:rPr>
          <w:rFonts w:hint="eastAsia"/>
          <w:color w:val="auto"/>
        </w:rPr>
        <w:t>本项目储罐区</w:t>
      </w:r>
      <w:r>
        <w:rPr>
          <w:color w:val="auto"/>
        </w:rPr>
        <w:t>无</w:t>
      </w:r>
      <w:r>
        <w:rPr>
          <w:rFonts w:hint="eastAsia"/>
          <w:color w:val="auto"/>
        </w:rPr>
        <w:t>下水</w:t>
      </w:r>
      <w:r>
        <w:rPr>
          <w:color w:val="auto"/>
        </w:rPr>
        <w:t>装置</w:t>
      </w:r>
      <w:r>
        <w:rPr>
          <w:rFonts w:hint="eastAsia"/>
          <w:color w:val="auto"/>
          <w:lang w:eastAsia="zh-CN"/>
        </w:rPr>
        <w:t>，</w:t>
      </w:r>
      <w:r>
        <w:rPr>
          <w:rFonts w:hint="eastAsia"/>
          <w:color w:val="auto"/>
        </w:rPr>
        <w:t>区域</w:t>
      </w:r>
      <w:r>
        <w:rPr>
          <w:color w:val="auto"/>
        </w:rPr>
        <w:t>废水</w:t>
      </w:r>
      <w:r>
        <w:rPr>
          <w:rFonts w:hint="eastAsia"/>
          <w:color w:val="auto"/>
        </w:rPr>
        <w:t>均</w:t>
      </w:r>
      <w:r>
        <w:rPr>
          <w:color w:val="auto"/>
        </w:rPr>
        <w:t>不直接进入地表水体</w:t>
      </w:r>
      <w:r>
        <w:rPr>
          <w:rFonts w:hint="eastAsia"/>
          <w:color w:val="auto"/>
          <w:lang w:eastAsia="zh-CN"/>
        </w:rPr>
        <w:t>，</w:t>
      </w:r>
      <w:r>
        <w:rPr>
          <w:color w:val="auto"/>
        </w:rPr>
        <w:t>废水</w:t>
      </w:r>
      <w:r>
        <w:rPr>
          <w:rFonts w:hint="eastAsia"/>
          <w:color w:val="auto"/>
        </w:rPr>
        <w:t>均</w:t>
      </w:r>
      <w:r>
        <w:rPr>
          <w:color w:val="auto"/>
        </w:rPr>
        <w:t>排入市政</w:t>
      </w:r>
      <w:r>
        <w:rPr>
          <w:rFonts w:hint="eastAsia"/>
          <w:color w:val="auto"/>
        </w:rPr>
        <w:t>管网</w:t>
      </w:r>
      <w:r>
        <w:rPr>
          <w:rFonts w:hint="eastAsia"/>
          <w:color w:val="auto"/>
          <w:lang w:eastAsia="zh-CN"/>
        </w:rPr>
        <w:t>，</w:t>
      </w:r>
      <w:r>
        <w:rPr>
          <w:color w:val="auto"/>
        </w:rPr>
        <w:t>故本项目</w:t>
      </w:r>
      <w:r>
        <w:rPr>
          <w:rFonts w:hint="eastAsia"/>
          <w:color w:val="auto"/>
        </w:rPr>
        <w:t>危险</w:t>
      </w:r>
      <w:r>
        <w:rPr>
          <w:color w:val="auto"/>
        </w:rPr>
        <w:t>物质</w:t>
      </w:r>
      <w:r>
        <w:rPr>
          <w:rFonts w:hint="eastAsia"/>
          <w:color w:val="auto"/>
        </w:rPr>
        <w:t>基本</w:t>
      </w:r>
      <w:r>
        <w:rPr>
          <w:color w:val="auto"/>
        </w:rPr>
        <w:t>不会对地表水造成污染。</w:t>
      </w:r>
    </w:p>
    <w:p w14:paraId="589F6AD1">
      <w:pPr>
        <w:pStyle w:val="102"/>
        <w:ind w:firstLine="480"/>
        <w:rPr>
          <w:color w:val="auto"/>
        </w:rPr>
      </w:pPr>
      <w:r>
        <w:rPr>
          <w:rFonts w:hint="eastAsia"/>
          <w:color w:val="auto"/>
        </w:rPr>
        <w:t>③地下水污染途径与风险识别</w:t>
      </w:r>
    </w:p>
    <w:p w14:paraId="6E267ABC">
      <w:pPr>
        <w:pStyle w:val="102"/>
        <w:ind w:firstLine="480"/>
        <w:rPr>
          <w:color w:val="auto"/>
        </w:rPr>
      </w:pPr>
      <w:r>
        <w:rPr>
          <w:rFonts w:hint="eastAsia"/>
          <w:color w:val="auto"/>
        </w:rPr>
        <w:t>拟建项目发生泄漏事故时</w:t>
      </w:r>
      <w:r>
        <w:rPr>
          <w:rFonts w:hint="eastAsia"/>
          <w:color w:val="auto"/>
          <w:lang w:eastAsia="zh-CN"/>
        </w:rPr>
        <w:t>，</w:t>
      </w:r>
      <w:r>
        <w:rPr>
          <w:rFonts w:hint="eastAsia"/>
          <w:color w:val="auto"/>
        </w:rPr>
        <w:t>泄漏物料一旦进入土壤可能对周围土壤造成污染</w:t>
      </w:r>
      <w:r>
        <w:rPr>
          <w:rFonts w:hint="eastAsia"/>
          <w:color w:val="auto"/>
          <w:lang w:eastAsia="zh-CN"/>
        </w:rPr>
        <w:t>，</w:t>
      </w:r>
      <w:r>
        <w:rPr>
          <w:rFonts w:hint="eastAsia"/>
          <w:color w:val="auto"/>
        </w:rPr>
        <w:t>如果泄漏的有毒有害液体物料冲出装置未被及时收集情况下</w:t>
      </w:r>
      <w:r>
        <w:rPr>
          <w:rFonts w:hint="eastAsia"/>
          <w:color w:val="auto"/>
          <w:lang w:eastAsia="zh-CN"/>
        </w:rPr>
        <w:t>，</w:t>
      </w:r>
      <w:r>
        <w:rPr>
          <w:rFonts w:hint="eastAsia"/>
          <w:color w:val="auto"/>
        </w:rPr>
        <w:t>将通过土壤渗入至地下水层</w:t>
      </w:r>
      <w:r>
        <w:rPr>
          <w:rFonts w:hint="eastAsia"/>
          <w:color w:val="auto"/>
          <w:lang w:eastAsia="zh-CN"/>
        </w:rPr>
        <w:t>，</w:t>
      </w:r>
      <w:r>
        <w:rPr>
          <w:rFonts w:hint="eastAsia"/>
          <w:color w:val="auto"/>
        </w:rPr>
        <w:t>影响地下水水质。</w:t>
      </w:r>
    </w:p>
    <w:p w14:paraId="03F78F86">
      <w:pPr>
        <w:pStyle w:val="3"/>
        <w:rPr>
          <w:color w:val="auto"/>
        </w:rPr>
      </w:pPr>
      <w:r>
        <w:rPr>
          <w:rFonts w:hint="eastAsia"/>
          <w:color w:val="auto"/>
        </w:rPr>
        <w:t>4风险事故情形分析及源项分析</w:t>
      </w:r>
    </w:p>
    <w:p w14:paraId="3792C257">
      <w:pPr>
        <w:pStyle w:val="2"/>
        <w:spacing w:before="120" w:after="120"/>
        <w:rPr>
          <w:color w:val="auto"/>
        </w:rPr>
      </w:pPr>
      <w:r>
        <w:rPr>
          <w:rFonts w:hint="eastAsia"/>
          <w:color w:val="auto"/>
        </w:rPr>
        <w:t>4</w:t>
      </w:r>
      <w:r>
        <w:rPr>
          <w:color w:val="auto"/>
        </w:rPr>
        <w:t>.1可能发生的最大可信事故</w:t>
      </w:r>
    </w:p>
    <w:p w14:paraId="183D390D">
      <w:pPr>
        <w:pStyle w:val="102"/>
        <w:ind w:firstLine="480"/>
        <w:rPr>
          <w:color w:val="auto"/>
        </w:rPr>
      </w:pPr>
      <w:r>
        <w:rPr>
          <w:rFonts w:hint="eastAsia"/>
          <w:color w:val="auto"/>
        </w:rPr>
        <w:t>本项目危险物质采用不锈钢储罐存储</w:t>
      </w:r>
      <w:r>
        <w:rPr>
          <w:rFonts w:hint="eastAsia"/>
          <w:color w:val="auto"/>
          <w:lang w:eastAsia="zh-CN"/>
        </w:rPr>
        <w:t>，</w:t>
      </w:r>
      <w:r>
        <w:rPr>
          <w:rFonts w:hint="eastAsia"/>
          <w:color w:val="auto"/>
        </w:rPr>
        <w:t>管线均为地上结构</w:t>
      </w:r>
      <w:r>
        <w:rPr>
          <w:rFonts w:hint="eastAsia"/>
          <w:color w:val="auto"/>
          <w:lang w:eastAsia="zh-CN"/>
        </w:rPr>
        <w:t>，</w:t>
      </w:r>
      <w:r>
        <w:rPr>
          <w:color w:val="auto"/>
        </w:rPr>
        <w:t>根据工程的特点并调研同类型项目的事故类型</w:t>
      </w:r>
      <w:r>
        <w:rPr>
          <w:rFonts w:hint="eastAsia"/>
          <w:color w:val="auto"/>
          <w:lang w:eastAsia="zh-CN"/>
        </w:rPr>
        <w:t>，</w:t>
      </w:r>
      <w:r>
        <w:rPr>
          <w:color w:val="auto"/>
        </w:rPr>
        <w:t>本项目最大可信事故为</w:t>
      </w:r>
      <w:r>
        <w:rPr>
          <w:rFonts w:hint="eastAsia"/>
          <w:color w:val="auto"/>
        </w:rPr>
        <w:t>化学品管线（锅炉房内地上管线）</w:t>
      </w:r>
      <w:r>
        <w:rPr>
          <w:rFonts w:hint="eastAsia" w:cs="宋体"/>
          <w:color w:val="auto"/>
        </w:rPr>
        <w:t>泄漏发生火灾事故。</w:t>
      </w:r>
      <w:r>
        <w:rPr>
          <w:rFonts w:hint="eastAsia"/>
          <w:color w:val="auto"/>
        </w:rPr>
        <w:t>参照《建设项目环境风险评价技术导则</w:t>
      </w:r>
      <w:r>
        <w:rPr>
          <w:color w:val="auto"/>
        </w:rPr>
        <w:t>》</w:t>
      </w:r>
      <w:r>
        <w:rPr>
          <w:rFonts w:hint="eastAsia"/>
          <w:color w:val="auto"/>
        </w:rPr>
        <w:t>（HJ169-2018</w:t>
      </w:r>
      <w:r>
        <w:rPr>
          <w:color w:val="auto"/>
        </w:rPr>
        <w:t>）</w:t>
      </w:r>
      <w:r>
        <w:rPr>
          <w:rFonts w:hint="eastAsia"/>
          <w:color w:val="auto"/>
        </w:rPr>
        <w:t>附录E</w:t>
      </w:r>
      <w:r>
        <w:rPr>
          <w:rFonts w:hint="eastAsia" w:cs="宋体"/>
          <w:color w:val="auto"/>
          <w:lang w:eastAsia="zh-CN"/>
        </w:rPr>
        <w:t>，</w:t>
      </w:r>
      <w:r>
        <w:rPr>
          <w:rFonts w:hint="eastAsia" w:cs="宋体"/>
          <w:color w:val="auto"/>
        </w:rPr>
        <w:t>最大可信事故的概率为</w:t>
      </w:r>
      <w:r>
        <w:rPr>
          <w:rFonts w:cs="宋体"/>
          <w:color w:val="auto"/>
        </w:rPr>
        <w:t>5.00×10</w:t>
      </w:r>
      <w:r>
        <w:rPr>
          <w:rFonts w:cs="宋体"/>
          <w:color w:val="auto"/>
          <w:vertAlign w:val="superscript"/>
        </w:rPr>
        <w:t>-6</w:t>
      </w:r>
      <w:r>
        <w:rPr>
          <w:rFonts w:cs="宋体"/>
          <w:color w:val="auto"/>
        </w:rPr>
        <w:t>次/年。</w:t>
      </w:r>
    </w:p>
    <w:p w14:paraId="0795AB02">
      <w:pPr>
        <w:pStyle w:val="2"/>
        <w:spacing w:before="120" w:after="120"/>
        <w:rPr>
          <w:color w:val="auto"/>
        </w:rPr>
      </w:pPr>
      <w:r>
        <w:rPr>
          <w:rFonts w:hint="eastAsia"/>
          <w:color w:val="auto"/>
        </w:rPr>
        <w:t>4</w:t>
      </w:r>
      <w:r>
        <w:rPr>
          <w:color w:val="auto"/>
        </w:rPr>
        <w:t>.2</w:t>
      </w:r>
      <w:r>
        <w:rPr>
          <w:rFonts w:hint="eastAsia"/>
          <w:color w:val="auto"/>
        </w:rPr>
        <w:t>源项分析</w:t>
      </w:r>
    </w:p>
    <w:p w14:paraId="57B15FBA">
      <w:pPr>
        <w:spacing w:line="520" w:lineRule="exact"/>
        <w:ind w:firstLine="480" w:firstLineChars="200"/>
        <w:rPr>
          <w:color w:val="auto"/>
          <w:sz w:val="24"/>
        </w:rPr>
      </w:pPr>
      <w:r>
        <w:rPr>
          <w:rFonts w:hint="eastAsia"/>
          <w:color w:val="auto"/>
          <w:sz w:val="24"/>
        </w:rPr>
        <w:t>根据《建设项目环境风险评价技术导则》（HJ169-2018）</w:t>
      </w:r>
      <w:r>
        <w:rPr>
          <w:rFonts w:hint="eastAsia"/>
          <w:color w:val="auto"/>
          <w:sz w:val="24"/>
          <w:lang w:eastAsia="zh-CN"/>
        </w:rPr>
        <w:t>，</w:t>
      </w:r>
      <w:r>
        <w:rPr>
          <w:rFonts w:hint="eastAsia"/>
          <w:color w:val="auto"/>
          <w:sz w:val="24"/>
        </w:rPr>
        <w:t>物料泄漏时间应结合建设项目探测和隔离系统的设计原则确定。一般情况下</w:t>
      </w:r>
      <w:r>
        <w:rPr>
          <w:rFonts w:hint="eastAsia"/>
          <w:color w:val="auto"/>
          <w:sz w:val="24"/>
          <w:lang w:eastAsia="zh-CN"/>
        </w:rPr>
        <w:t>，</w:t>
      </w:r>
      <w:r>
        <w:rPr>
          <w:rFonts w:hint="eastAsia"/>
          <w:color w:val="auto"/>
          <w:sz w:val="24"/>
        </w:rPr>
        <w:t>设置紧急隔离系统的单元</w:t>
      </w:r>
      <w:r>
        <w:rPr>
          <w:rFonts w:hint="eastAsia"/>
          <w:color w:val="auto"/>
          <w:sz w:val="24"/>
          <w:lang w:eastAsia="zh-CN"/>
        </w:rPr>
        <w:t>，</w:t>
      </w:r>
      <w:r>
        <w:rPr>
          <w:rFonts w:hint="eastAsia"/>
          <w:color w:val="auto"/>
          <w:sz w:val="24"/>
        </w:rPr>
        <w:t>泄漏时间可设定为10min；未设置紧急隔离系统的单元</w:t>
      </w:r>
      <w:r>
        <w:rPr>
          <w:rFonts w:hint="eastAsia"/>
          <w:color w:val="auto"/>
          <w:sz w:val="24"/>
          <w:lang w:eastAsia="zh-CN"/>
        </w:rPr>
        <w:t>，</w:t>
      </w:r>
      <w:r>
        <w:rPr>
          <w:rFonts w:hint="eastAsia"/>
          <w:color w:val="auto"/>
          <w:sz w:val="24"/>
        </w:rPr>
        <w:t>泄漏时间可设定为30min。</w:t>
      </w:r>
    </w:p>
    <w:p w14:paraId="41F0B982">
      <w:pPr>
        <w:spacing w:line="520" w:lineRule="exact"/>
        <w:ind w:firstLine="480" w:firstLineChars="200"/>
        <w:rPr>
          <w:color w:val="auto"/>
          <w:sz w:val="24"/>
        </w:rPr>
      </w:pPr>
      <w:r>
        <w:rPr>
          <w:rFonts w:hint="eastAsia"/>
          <w:color w:val="auto"/>
          <w:sz w:val="24"/>
        </w:rPr>
        <w:t>本项目以储罐泄漏为例进行分析。</w:t>
      </w:r>
    </w:p>
    <w:p w14:paraId="6F49B592">
      <w:pPr>
        <w:spacing w:line="520" w:lineRule="exact"/>
        <w:ind w:firstLine="480" w:firstLineChars="200"/>
        <w:rPr>
          <w:color w:val="auto"/>
          <w:sz w:val="24"/>
        </w:rPr>
      </w:pPr>
      <w:r>
        <w:rPr>
          <w:rFonts w:hint="eastAsia"/>
          <w:color w:val="auto"/>
          <w:sz w:val="24"/>
        </w:rPr>
        <w:t>根据项目事故应急响应时间设定</w:t>
      </w:r>
      <w:r>
        <w:rPr>
          <w:rFonts w:hint="eastAsia"/>
          <w:color w:val="auto"/>
          <w:sz w:val="24"/>
          <w:lang w:eastAsia="zh-CN"/>
        </w:rPr>
        <w:t>，</w:t>
      </w:r>
      <w:r>
        <w:rPr>
          <w:rFonts w:hint="eastAsia"/>
          <w:color w:val="auto"/>
          <w:sz w:val="24"/>
        </w:rPr>
        <w:t>事故发生后系统报警</w:t>
      </w:r>
      <w:r>
        <w:rPr>
          <w:rFonts w:hint="eastAsia"/>
          <w:color w:val="auto"/>
          <w:sz w:val="24"/>
          <w:lang w:eastAsia="zh-CN"/>
        </w:rPr>
        <w:t>，</w:t>
      </w:r>
      <w:r>
        <w:rPr>
          <w:rFonts w:hint="eastAsia"/>
          <w:color w:val="auto"/>
          <w:sz w:val="24"/>
        </w:rPr>
        <w:t>迅速采取堵漏措施</w:t>
      </w:r>
      <w:r>
        <w:rPr>
          <w:rFonts w:hint="eastAsia"/>
          <w:color w:val="auto"/>
          <w:sz w:val="24"/>
          <w:lang w:eastAsia="zh-CN"/>
        </w:rPr>
        <w:t>，</w:t>
      </w:r>
      <w:r>
        <w:rPr>
          <w:rFonts w:hint="eastAsia"/>
          <w:color w:val="auto"/>
          <w:sz w:val="24"/>
        </w:rPr>
        <w:t>在10min内泄漏得到控制。</w:t>
      </w:r>
      <w:r>
        <w:rPr>
          <w:rStyle w:val="103"/>
          <w:rFonts w:hint="eastAsia"/>
          <w:color w:val="auto"/>
        </w:rPr>
        <w:t>储罐内的原料聚合M</w:t>
      </w:r>
      <w:r>
        <w:rPr>
          <w:rStyle w:val="103"/>
          <w:color w:val="auto"/>
        </w:rPr>
        <w:t>DI、</w:t>
      </w:r>
      <w:r>
        <w:rPr>
          <w:rStyle w:val="103"/>
          <w:rFonts w:hint="eastAsia"/>
          <w:color w:val="auto"/>
        </w:rPr>
        <w:t>二丁酯发</w:t>
      </w:r>
      <w:r>
        <w:rPr>
          <w:rFonts w:hint="eastAsia"/>
          <w:color w:val="auto"/>
          <w:sz w:val="24"/>
        </w:rPr>
        <w:t>生泄漏后</w:t>
      </w:r>
      <w:r>
        <w:rPr>
          <w:rFonts w:hint="eastAsia"/>
          <w:color w:val="auto"/>
          <w:sz w:val="24"/>
          <w:lang w:eastAsia="zh-CN"/>
        </w:rPr>
        <w:t>，</w:t>
      </w:r>
      <w:r>
        <w:rPr>
          <w:rFonts w:hint="eastAsia"/>
          <w:color w:val="auto"/>
          <w:sz w:val="24"/>
        </w:rPr>
        <w:t>泄漏物会控制在装置四周的围堰内</w:t>
      </w:r>
      <w:r>
        <w:rPr>
          <w:rFonts w:hint="eastAsia"/>
          <w:color w:val="auto"/>
          <w:sz w:val="24"/>
          <w:lang w:eastAsia="zh-CN"/>
        </w:rPr>
        <w:t>，</w:t>
      </w:r>
      <w:r>
        <w:rPr>
          <w:rFonts w:hint="eastAsia"/>
          <w:color w:val="auto"/>
          <w:sz w:val="24"/>
        </w:rPr>
        <w:t>在围堰形成液池。发生泄漏事故后</w:t>
      </w:r>
      <w:r>
        <w:rPr>
          <w:rFonts w:hint="eastAsia"/>
          <w:color w:val="auto"/>
          <w:sz w:val="24"/>
          <w:lang w:eastAsia="zh-CN"/>
        </w:rPr>
        <w:t>，</w:t>
      </w:r>
      <w:r>
        <w:rPr>
          <w:rFonts w:hint="eastAsia"/>
          <w:color w:val="auto"/>
          <w:sz w:val="24"/>
        </w:rPr>
        <w:t>在10min时间间隔内启动紧急切断装置</w:t>
      </w:r>
      <w:r>
        <w:rPr>
          <w:rFonts w:hint="eastAsia"/>
          <w:color w:val="auto"/>
          <w:sz w:val="24"/>
          <w:lang w:eastAsia="zh-CN"/>
        </w:rPr>
        <w:t>，</w:t>
      </w:r>
      <w:r>
        <w:rPr>
          <w:rFonts w:hint="eastAsia"/>
          <w:color w:val="auto"/>
          <w:sz w:val="24"/>
        </w:rPr>
        <w:t>防止继续泄漏</w:t>
      </w:r>
      <w:r>
        <w:rPr>
          <w:rFonts w:hint="eastAsia"/>
          <w:color w:val="auto"/>
          <w:sz w:val="24"/>
          <w:lang w:eastAsia="zh-CN"/>
        </w:rPr>
        <w:t>，</w:t>
      </w:r>
      <w:r>
        <w:rPr>
          <w:rFonts w:hint="eastAsia"/>
          <w:color w:val="auto"/>
          <w:sz w:val="24"/>
        </w:rPr>
        <w:t>3</w:t>
      </w:r>
      <w:r>
        <w:rPr>
          <w:color w:val="auto"/>
          <w:sz w:val="24"/>
        </w:rPr>
        <w:t>0</w:t>
      </w:r>
      <w:r>
        <w:rPr>
          <w:rFonts w:hint="eastAsia"/>
          <w:color w:val="auto"/>
          <w:sz w:val="24"/>
        </w:rPr>
        <w:t>min清除泄漏物质。</w:t>
      </w:r>
    </w:p>
    <w:p w14:paraId="0525781B">
      <w:pPr>
        <w:spacing w:line="520" w:lineRule="exact"/>
        <w:ind w:firstLine="480" w:firstLineChars="200"/>
        <w:rPr>
          <w:color w:val="auto"/>
          <w:sz w:val="24"/>
        </w:rPr>
      </w:pPr>
      <w:r>
        <w:rPr>
          <w:rFonts w:hint="eastAsia"/>
          <w:color w:val="auto"/>
          <w:sz w:val="24"/>
        </w:rPr>
        <w:t>根据《建设项目环境风险评价技术导则</w:t>
      </w:r>
      <w:r>
        <w:rPr>
          <w:color w:val="auto"/>
          <w:sz w:val="24"/>
        </w:rPr>
        <w:t>》</w:t>
      </w:r>
      <w:r>
        <w:rPr>
          <w:rFonts w:hint="eastAsia"/>
          <w:color w:val="auto"/>
          <w:sz w:val="24"/>
        </w:rPr>
        <w:t>（HJ169-2018</w:t>
      </w:r>
      <w:r>
        <w:rPr>
          <w:color w:val="auto"/>
          <w:sz w:val="24"/>
        </w:rPr>
        <w:t>）</w:t>
      </w:r>
      <w:r>
        <w:rPr>
          <w:rFonts w:hint="eastAsia"/>
          <w:color w:val="auto"/>
          <w:sz w:val="24"/>
        </w:rPr>
        <w:t>附录F中</w:t>
      </w:r>
      <w:r>
        <w:rPr>
          <w:color w:val="auto"/>
          <w:sz w:val="24"/>
        </w:rPr>
        <w:t>液体泄漏模式</w:t>
      </w:r>
      <w:r>
        <w:rPr>
          <w:rFonts w:hint="eastAsia"/>
          <w:color w:val="auto"/>
          <w:sz w:val="24"/>
        </w:rPr>
        <w:t>伯努利方程</w:t>
      </w:r>
      <w:r>
        <w:rPr>
          <w:color w:val="auto"/>
          <w:sz w:val="24"/>
        </w:rPr>
        <w:t>进行计算</w:t>
      </w:r>
      <w:r>
        <w:rPr>
          <w:rFonts w:hint="eastAsia"/>
          <w:color w:val="auto"/>
          <w:sz w:val="24"/>
          <w:lang w:eastAsia="zh-CN"/>
        </w:rPr>
        <w:t>，</w:t>
      </w:r>
      <w:r>
        <w:rPr>
          <w:rFonts w:hint="eastAsia"/>
          <w:color w:val="auto"/>
          <w:sz w:val="24"/>
        </w:rPr>
        <w:t>计算公式</w:t>
      </w:r>
      <w:r>
        <w:rPr>
          <w:color w:val="auto"/>
          <w:sz w:val="24"/>
        </w:rPr>
        <w:t>如下：</w:t>
      </w:r>
    </w:p>
    <w:p w14:paraId="0C7E789A">
      <w:pPr>
        <w:ind w:firstLine="420" w:firstLineChars="200"/>
        <w:jc w:val="center"/>
        <w:rPr>
          <w:color w:val="auto"/>
          <w:sz w:val="24"/>
        </w:rPr>
      </w:pPr>
      <w:r>
        <w:rPr>
          <w:color w:val="auto"/>
        </w:rPr>
        <w:drawing>
          <wp:inline distT="0" distB="0" distL="0" distR="0">
            <wp:extent cx="2552700" cy="552450"/>
            <wp:effectExtent l="0" t="0" r="0" b="0"/>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2552700" cy="552450"/>
                    </a:xfrm>
                    <a:prstGeom prst="rect">
                      <a:avLst/>
                    </a:prstGeom>
                    <a:noFill/>
                    <a:ln>
                      <a:noFill/>
                    </a:ln>
                  </pic:spPr>
                </pic:pic>
              </a:graphicData>
            </a:graphic>
          </wp:inline>
        </w:drawing>
      </w:r>
    </w:p>
    <w:p w14:paraId="712B916E">
      <w:pPr>
        <w:spacing w:line="520" w:lineRule="exact"/>
        <w:ind w:firstLine="480" w:firstLineChars="200"/>
        <w:rPr>
          <w:color w:val="auto"/>
          <w:sz w:val="24"/>
        </w:rPr>
      </w:pPr>
      <w:r>
        <w:rPr>
          <w:rFonts w:hint="eastAsia"/>
          <w:color w:val="auto"/>
          <w:sz w:val="24"/>
        </w:rPr>
        <w:t>式中：Q</w:t>
      </w:r>
      <w:r>
        <w:rPr>
          <w:rFonts w:hint="eastAsia"/>
          <w:color w:val="auto"/>
          <w:sz w:val="24"/>
          <w:vertAlign w:val="subscript"/>
        </w:rPr>
        <w:t>L</w:t>
      </w:r>
      <w:r>
        <w:rPr>
          <w:rFonts w:hint="eastAsia"/>
          <w:color w:val="auto"/>
          <w:sz w:val="24"/>
        </w:rPr>
        <w:t>——液体泄漏速率</w:t>
      </w:r>
      <w:r>
        <w:rPr>
          <w:rFonts w:hint="eastAsia"/>
          <w:color w:val="auto"/>
          <w:sz w:val="24"/>
          <w:lang w:eastAsia="zh-CN"/>
        </w:rPr>
        <w:t>，</w:t>
      </w:r>
      <w:r>
        <w:rPr>
          <w:rFonts w:hint="eastAsia"/>
          <w:color w:val="auto"/>
          <w:sz w:val="24"/>
        </w:rPr>
        <w:t>kg/s；</w:t>
      </w:r>
    </w:p>
    <w:p w14:paraId="5ACE2856">
      <w:pPr>
        <w:spacing w:line="520" w:lineRule="exact"/>
        <w:ind w:firstLine="1192" w:firstLineChars="497"/>
        <w:rPr>
          <w:color w:val="auto"/>
          <w:sz w:val="24"/>
        </w:rPr>
      </w:pPr>
      <w:r>
        <w:rPr>
          <w:rFonts w:hint="eastAsia"/>
          <w:color w:val="auto"/>
          <w:sz w:val="24"/>
        </w:rPr>
        <w:t>P ——容器内介质压力</w:t>
      </w:r>
      <w:r>
        <w:rPr>
          <w:rFonts w:hint="eastAsia"/>
          <w:color w:val="auto"/>
          <w:sz w:val="24"/>
          <w:lang w:eastAsia="zh-CN"/>
        </w:rPr>
        <w:t>，</w:t>
      </w:r>
      <w:r>
        <w:rPr>
          <w:rFonts w:hint="eastAsia"/>
          <w:color w:val="auto"/>
          <w:sz w:val="24"/>
        </w:rPr>
        <w:t>Pa</w:t>
      </w:r>
      <w:r>
        <w:rPr>
          <w:rFonts w:hint="eastAsia"/>
          <w:color w:val="auto"/>
          <w:sz w:val="24"/>
          <w:lang w:eastAsia="zh-CN"/>
        </w:rPr>
        <w:t>，</w:t>
      </w:r>
      <w:r>
        <w:rPr>
          <w:rFonts w:hint="eastAsia"/>
          <w:color w:val="auto"/>
          <w:sz w:val="24"/>
        </w:rPr>
        <w:t>常压；</w:t>
      </w:r>
    </w:p>
    <w:p w14:paraId="39F8CADC">
      <w:pPr>
        <w:spacing w:line="520" w:lineRule="exact"/>
        <w:ind w:firstLine="1192" w:firstLineChars="497"/>
        <w:rPr>
          <w:color w:val="auto"/>
          <w:sz w:val="24"/>
        </w:rPr>
      </w:pPr>
      <w:r>
        <w:rPr>
          <w:rFonts w:hint="eastAsia"/>
          <w:color w:val="auto"/>
          <w:sz w:val="24"/>
        </w:rPr>
        <w:t>P</w:t>
      </w:r>
      <w:r>
        <w:rPr>
          <w:rFonts w:hint="eastAsia"/>
          <w:color w:val="auto"/>
          <w:sz w:val="24"/>
          <w:vertAlign w:val="subscript"/>
        </w:rPr>
        <w:t>0</w:t>
      </w:r>
      <w:r>
        <w:rPr>
          <w:rFonts w:hint="eastAsia"/>
          <w:color w:val="auto"/>
          <w:sz w:val="24"/>
        </w:rPr>
        <w:t>——环境压力</w:t>
      </w:r>
      <w:r>
        <w:rPr>
          <w:rFonts w:hint="eastAsia"/>
          <w:color w:val="auto"/>
          <w:sz w:val="24"/>
          <w:lang w:eastAsia="zh-CN"/>
        </w:rPr>
        <w:t>，</w:t>
      </w:r>
      <w:r>
        <w:rPr>
          <w:rFonts w:hint="eastAsia"/>
          <w:color w:val="auto"/>
          <w:sz w:val="24"/>
        </w:rPr>
        <w:t>Pa；</w:t>
      </w:r>
    </w:p>
    <w:p w14:paraId="020EADD6">
      <w:pPr>
        <w:spacing w:line="520" w:lineRule="exact"/>
        <w:ind w:firstLine="1192" w:firstLineChars="497"/>
        <w:rPr>
          <w:color w:val="auto"/>
          <w:sz w:val="24"/>
        </w:rPr>
      </w:pPr>
      <w:r>
        <w:rPr>
          <w:rFonts w:hint="eastAsia"/>
          <w:color w:val="auto"/>
          <w:sz w:val="24"/>
        </w:rPr>
        <w:t>ρ——泄漏液体密度</w:t>
      </w:r>
      <w:r>
        <w:rPr>
          <w:rFonts w:hint="eastAsia"/>
          <w:color w:val="auto"/>
          <w:sz w:val="24"/>
          <w:lang w:eastAsia="zh-CN"/>
        </w:rPr>
        <w:t>，</w:t>
      </w:r>
      <w:r>
        <w:rPr>
          <w:rFonts w:hint="eastAsia"/>
          <w:color w:val="auto"/>
          <w:sz w:val="24"/>
        </w:rPr>
        <w:t>kg/m</w:t>
      </w:r>
      <w:r>
        <w:rPr>
          <w:rFonts w:hint="eastAsia"/>
          <w:color w:val="auto"/>
          <w:sz w:val="24"/>
          <w:vertAlign w:val="superscript"/>
        </w:rPr>
        <w:t>3</w:t>
      </w:r>
      <w:r>
        <w:rPr>
          <w:rFonts w:hint="eastAsia"/>
          <w:color w:val="auto"/>
          <w:sz w:val="24"/>
          <w:lang w:eastAsia="zh-CN"/>
        </w:rPr>
        <w:t>，</w:t>
      </w:r>
      <w:r>
        <w:rPr>
          <w:rFonts w:hint="eastAsia"/>
          <w:color w:val="auto"/>
          <w:sz w:val="24"/>
        </w:rPr>
        <w:t>聚合M</w:t>
      </w:r>
      <w:r>
        <w:rPr>
          <w:color w:val="auto"/>
          <w:sz w:val="24"/>
        </w:rPr>
        <w:t>DI取1180</w:t>
      </w:r>
      <w:r>
        <w:rPr>
          <w:rFonts w:hint="eastAsia"/>
          <w:color w:val="auto"/>
          <w:sz w:val="24"/>
        </w:rPr>
        <w:t>、二丁酯取1</w:t>
      </w:r>
      <w:r>
        <w:rPr>
          <w:color w:val="auto"/>
          <w:sz w:val="24"/>
        </w:rPr>
        <w:t>050</w:t>
      </w:r>
      <w:r>
        <w:rPr>
          <w:rFonts w:hint="eastAsia"/>
          <w:color w:val="auto"/>
          <w:sz w:val="24"/>
        </w:rPr>
        <w:t>；</w:t>
      </w:r>
    </w:p>
    <w:p w14:paraId="00BECAD3">
      <w:pPr>
        <w:spacing w:line="520" w:lineRule="exact"/>
        <w:ind w:firstLine="1192" w:firstLineChars="497"/>
        <w:rPr>
          <w:color w:val="auto"/>
          <w:sz w:val="24"/>
        </w:rPr>
      </w:pPr>
      <w:r>
        <w:rPr>
          <w:rFonts w:hint="eastAsia"/>
          <w:color w:val="auto"/>
          <w:sz w:val="24"/>
        </w:rPr>
        <w:t>g ——重力加速度</w:t>
      </w:r>
      <w:r>
        <w:rPr>
          <w:rFonts w:hint="eastAsia"/>
          <w:color w:val="auto"/>
          <w:sz w:val="24"/>
          <w:lang w:eastAsia="zh-CN"/>
        </w:rPr>
        <w:t>，</w:t>
      </w:r>
      <w:r>
        <w:rPr>
          <w:rFonts w:hint="eastAsia"/>
          <w:color w:val="auto"/>
          <w:sz w:val="24"/>
        </w:rPr>
        <w:t>9.81m/s</w:t>
      </w:r>
      <w:r>
        <w:rPr>
          <w:rFonts w:hint="eastAsia"/>
          <w:color w:val="auto"/>
          <w:sz w:val="24"/>
          <w:vertAlign w:val="superscript"/>
        </w:rPr>
        <w:t>2</w:t>
      </w:r>
      <w:r>
        <w:rPr>
          <w:rFonts w:hint="eastAsia"/>
          <w:color w:val="auto"/>
          <w:sz w:val="24"/>
        </w:rPr>
        <w:t>；</w:t>
      </w:r>
    </w:p>
    <w:p w14:paraId="3127DFCE">
      <w:pPr>
        <w:spacing w:line="520" w:lineRule="exact"/>
        <w:ind w:firstLine="1192" w:firstLineChars="497"/>
        <w:rPr>
          <w:color w:val="auto"/>
          <w:sz w:val="24"/>
        </w:rPr>
      </w:pPr>
      <w:r>
        <w:rPr>
          <w:rFonts w:hint="eastAsia"/>
          <w:color w:val="auto"/>
          <w:sz w:val="24"/>
        </w:rPr>
        <w:t>h ——裂口之上液位高度</w:t>
      </w:r>
      <w:r>
        <w:rPr>
          <w:rFonts w:hint="eastAsia"/>
          <w:color w:val="auto"/>
          <w:sz w:val="24"/>
          <w:lang w:eastAsia="zh-CN"/>
        </w:rPr>
        <w:t>，</w:t>
      </w:r>
      <w:r>
        <w:rPr>
          <w:rFonts w:hint="eastAsia"/>
          <w:color w:val="auto"/>
          <w:sz w:val="24"/>
        </w:rPr>
        <w:t>m</w:t>
      </w:r>
      <w:r>
        <w:rPr>
          <w:rFonts w:hint="eastAsia"/>
          <w:color w:val="auto"/>
          <w:sz w:val="24"/>
          <w:lang w:eastAsia="zh-CN"/>
        </w:rPr>
        <w:t>，</w:t>
      </w:r>
      <w:r>
        <w:rPr>
          <w:color w:val="auto"/>
          <w:sz w:val="24"/>
        </w:rPr>
        <w:t>取1.5m</w:t>
      </w:r>
      <w:r>
        <w:rPr>
          <w:rFonts w:hint="eastAsia"/>
          <w:color w:val="auto"/>
          <w:sz w:val="24"/>
        </w:rPr>
        <w:t>；</w:t>
      </w:r>
    </w:p>
    <w:p w14:paraId="1B5B2E48">
      <w:pPr>
        <w:spacing w:line="520" w:lineRule="exact"/>
        <w:ind w:firstLine="1192" w:firstLineChars="497"/>
        <w:rPr>
          <w:color w:val="auto"/>
          <w:sz w:val="24"/>
        </w:rPr>
      </w:pPr>
      <w:r>
        <w:rPr>
          <w:rFonts w:hint="eastAsia"/>
          <w:color w:val="auto"/>
          <w:sz w:val="24"/>
        </w:rPr>
        <w:t>C</w:t>
      </w:r>
      <w:r>
        <w:rPr>
          <w:rFonts w:hint="eastAsia"/>
          <w:color w:val="auto"/>
          <w:sz w:val="24"/>
          <w:vertAlign w:val="subscript"/>
        </w:rPr>
        <w:t>d</w:t>
      </w:r>
      <w:r>
        <w:rPr>
          <w:rFonts w:hint="eastAsia"/>
          <w:color w:val="auto"/>
          <w:sz w:val="24"/>
        </w:rPr>
        <w:t xml:space="preserve"> ——液体泄漏系数</w:t>
      </w:r>
      <w:r>
        <w:rPr>
          <w:rFonts w:hint="eastAsia"/>
          <w:color w:val="auto"/>
          <w:sz w:val="24"/>
          <w:lang w:eastAsia="zh-CN"/>
        </w:rPr>
        <w:t>，</w:t>
      </w:r>
      <w:r>
        <w:rPr>
          <w:rFonts w:hint="eastAsia"/>
          <w:color w:val="auto"/>
          <w:sz w:val="24"/>
        </w:rPr>
        <w:t>取0.65；</w:t>
      </w:r>
    </w:p>
    <w:p w14:paraId="72A91DA5">
      <w:pPr>
        <w:spacing w:line="520" w:lineRule="exact"/>
        <w:ind w:firstLine="1192" w:firstLineChars="497"/>
        <w:rPr>
          <w:color w:val="auto"/>
          <w:sz w:val="24"/>
        </w:rPr>
      </w:pPr>
      <w:r>
        <w:rPr>
          <w:rFonts w:hint="eastAsia"/>
          <w:color w:val="auto"/>
          <w:sz w:val="24"/>
        </w:rPr>
        <w:t>A ——裂口面积</w:t>
      </w:r>
      <w:r>
        <w:rPr>
          <w:rFonts w:hint="eastAsia"/>
          <w:color w:val="auto"/>
          <w:sz w:val="24"/>
          <w:lang w:eastAsia="zh-CN"/>
        </w:rPr>
        <w:t>，</w:t>
      </w:r>
      <w:r>
        <w:rPr>
          <w:rFonts w:hint="eastAsia"/>
          <w:color w:val="auto"/>
          <w:sz w:val="24"/>
        </w:rPr>
        <w:t>0.000</w:t>
      </w:r>
      <w:r>
        <w:rPr>
          <w:color w:val="auto"/>
          <w:sz w:val="24"/>
        </w:rPr>
        <w:t>314</w:t>
      </w:r>
      <w:r>
        <w:rPr>
          <w:rFonts w:hint="eastAsia"/>
          <w:color w:val="auto"/>
          <w:sz w:val="24"/>
        </w:rPr>
        <w:t>m</w:t>
      </w:r>
      <w:r>
        <w:rPr>
          <w:rFonts w:hint="eastAsia"/>
          <w:color w:val="auto"/>
          <w:sz w:val="24"/>
          <w:vertAlign w:val="superscript"/>
        </w:rPr>
        <w:t>2</w:t>
      </w:r>
      <w:r>
        <w:rPr>
          <w:rFonts w:hint="eastAsia"/>
          <w:color w:val="auto"/>
          <w:sz w:val="24"/>
        </w:rPr>
        <w:t>。</w:t>
      </w:r>
    </w:p>
    <w:p w14:paraId="7D0A50D9">
      <w:pPr>
        <w:spacing w:line="520" w:lineRule="exact"/>
        <w:ind w:firstLine="480" w:firstLineChars="200"/>
        <w:rPr>
          <w:color w:val="auto"/>
          <w:sz w:val="24"/>
        </w:rPr>
      </w:pPr>
      <w:r>
        <w:rPr>
          <w:rFonts w:hint="eastAsia"/>
          <w:color w:val="auto"/>
          <w:sz w:val="24"/>
        </w:rPr>
        <w:t>经计算</w:t>
      </w:r>
      <w:r>
        <w:rPr>
          <w:rFonts w:hint="eastAsia"/>
          <w:color w:val="auto"/>
          <w:sz w:val="24"/>
          <w:lang w:eastAsia="zh-CN"/>
        </w:rPr>
        <w:t>，</w:t>
      </w:r>
      <w:r>
        <w:rPr>
          <w:color w:val="auto"/>
          <w:sz w:val="24"/>
        </w:rPr>
        <w:t>本项目</w:t>
      </w:r>
      <w:r>
        <w:rPr>
          <w:rFonts w:hint="eastAsia"/>
          <w:color w:val="auto"/>
          <w:sz w:val="24"/>
        </w:rPr>
        <w:t>聚合M</w:t>
      </w:r>
      <w:r>
        <w:rPr>
          <w:color w:val="auto"/>
          <w:sz w:val="24"/>
        </w:rPr>
        <w:t>DI泄漏速率为1.3065</w:t>
      </w:r>
      <w:r>
        <w:rPr>
          <w:rFonts w:hint="eastAsia"/>
          <w:color w:val="auto"/>
          <w:sz w:val="24"/>
        </w:rPr>
        <w:t>kg/s</w:t>
      </w:r>
      <w:r>
        <w:rPr>
          <w:rFonts w:hint="eastAsia"/>
          <w:color w:val="auto"/>
          <w:sz w:val="24"/>
          <w:lang w:eastAsia="zh-CN"/>
        </w:rPr>
        <w:t>，</w:t>
      </w:r>
      <w:r>
        <w:rPr>
          <w:rFonts w:hint="eastAsia"/>
          <w:color w:val="auto"/>
          <w:sz w:val="24"/>
        </w:rPr>
        <w:t>二丁酯</w:t>
      </w:r>
      <w:r>
        <w:rPr>
          <w:color w:val="auto"/>
          <w:sz w:val="24"/>
        </w:rPr>
        <w:t>泄漏速率为1.1626</w:t>
      </w:r>
      <w:r>
        <w:rPr>
          <w:rFonts w:hint="eastAsia"/>
          <w:color w:val="auto"/>
          <w:sz w:val="24"/>
        </w:rPr>
        <w:t>kg/s</w:t>
      </w:r>
      <w:r>
        <w:rPr>
          <w:rFonts w:hint="eastAsia"/>
          <w:color w:val="auto"/>
          <w:sz w:val="24"/>
          <w:lang w:eastAsia="zh-CN"/>
        </w:rPr>
        <w:t>，</w:t>
      </w:r>
      <w:r>
        <w:rPr>
          <w:rFonts w:hint="eastAsia"/>
          <w:color w:val="auto"/>
          <w:sz w:val="24"/>
        </w:rPr>
        <w:t>泄漏时间</w:t>
      </w:r>
      <w:r>
        <w:rPr>
          <w:color w:val="auto"/>
          <w:sz w:val="24"/>
        </w:rPr>
        <w:t>10</w:t>
      </w:r>
      <w:r>
        <w:rPr>
          <w:rFonts w:hint="eastAsia"/>
          <w:color w:val="auto"/>
          <w:sz w:val="24"/>
        </w:rPr>
        <w:t>min</w:t>
      </w:r>
      <w:r>
        <w:rPr>
          <w:rFonts w:hint="eastAsia"/>
          <w:color w:val="auto"/>
          <w:sz w:val="24"/>
          <w:lang w:eastAsia="zh-CN"/>
        </w:rPr>
        <w:t>，</w:t>
      </w:r>
      <w:r>
        <w:rPr>
          <w:rFonts w:hint="eastAsia"/>
          <w:color w:val="auto"/>
          <w:sz w:val="24"/>
        </w:rPr>
        <w:t>则聚合M</w:t>
      </w:r>
      <w:r>
        <w:rPr>
          <w:color w:val="auto"/>
          <w:sz w:val="24"/>
        </w:rPr>
        <w:t>DI</w:t>
      </w:r>
      <w:r>
        <w:rPr>
          <w:rFonts w:hint="eastAsia"/>
          <w:color w:val="auto"/>
          <w:sz w:val="24"/>
        </w:rPr>
        <w:t>最大泄漏量为</w:t>
      </w:r>
      <w:r>
        <w:rPr>
          <w:color w:val="auto"/>
          <w:sz w:val="24"/>
        </w:rPr>
        <w:t>783.9</w:t>
      </w:r>
      <w:r>
        <w:rPr>
          <w:rFonts w:hint="eastAsia"/>
          <w:color w:val="auto"/>
          <w:sz w:val="24"/>
        </w:rPr>
        <w:t>kg</w:t>
      </w:r>
      <w:r>
        <w:rPr>
          <w:rFonts w:hint="eastAsia"/>
          <w:color w:val="auto"/>
          <w:sz w:val="24"/>
          <w:lang w:eastAsia="zh-CN"/>
        </w:rPr>
        <w:t>，</w:t>
      </w:r>
      <w:r>
        <w:rPr>
          <w:rFonts w:hint="eastAsia"/>
          <w:color w:val="auto"/>
          <w:sz w:val="24"/>
        </w:rPr>
        <w:t>二丁酯最大泄漏量为</w:t>
      </w:r>
      <w:r>
        <w:rPr>
          <w:color w:val="auto"/>
          <w:sz w:val="24"/>
        </w:rPr>
        <w:t>697.56</w:t>
      </w:r>
      <w:r>
        <w:rPr>
          <w:rFonts w:hint="eastAsia"/>
          <w:color w:val="auto"/>
          <w:sz w:val="24"/>
        </w:rPr>
        <w:t>kg。</w:t>
      </w:r>
    </w:p>
    <w:p w14:paraId="0F379FEA">
      <w:pPr>
        <w:pStyle w:val="102"/>
        <w:ind w:firstLine="480"/>
        <w:rPr>
          <w:color w:val="auto"/>
        </w:rPr>
      </w:pPr>
      <w:r>
        <w:rPr>
          <w:rFonts w:hint="eastAsia"/>
          <w:color w:val="auto"/>
        </w:rPr>
        <w:t>（2）蒸发量计算</w:t>
      </w:r>
    </w:p>
    <w:p w14:paraId="169909C5">
      <w:pPr>
        <w:pStyle w:val="102"/>
        <w:ind w:firstLine="480"/>
        <w:rPr>
          <w:color w:val="auto"/>
        </w:rPr>
      </w:pPr>
      <w:r>
        <w:rPr>
          <w:rFonts w:hint="eastAsia"/>
          <w:color w:val="auto"/>
        </w:rPr>
        <w:t>由于本项目风险物质沸点较高</w:t>
      </w:r>
      <w:r>
        <w:rPr>
          <w:rFonts w:hint="eastAsia"/>
          <w:color w:val="auto"/>
          <w:lang w:eastAsia="zh-CN"/>
        </w:rPr>
        <w:t>，</w:t>
      </w:r>
      <w:r>
        <w:rPr>
          <w:rFonts w:hint="eastAsia"/>
          <w:color w:val="auto"/>
        </w:rPr>
        <w:t>故在常温环境下</w:t>
      </w:r>
      <w:r>
        <w:rPr>
          <w:rFonts w:hint="eastAsia"/>
          <w:color w:val="auto"/>
          <w:lang w:eastAsia="zh-CN"/>
        </w:rPr>
        <w:t>，</w:t>
      </w:r>
      <w:r>
        <w:rPr>
          <w:rFonts w:hint="eastAsia"/>
          <w:color w:val="auto"/>
        </w:rPr>
        <w:t>泄漏后不会出现闪蒸蒸发、热量蒸发</w:t>
      </w:r>
      <w:r>
        <w:rPr>
          <w:rFonts w:hint="eastAsia"/>
          <w:color w:val="auto"/>
          <w:lang w:eastAsia="zh-CN"/>
        </w:rPr>
        <w:t>，</w:t>
      </w:r>
      <w:r>
        <w:rPr>
          <w:rFonts w:hint="eastAsia"/>
          <w:color w:val="auto"/>
        </w:rPr>
        <w:t>本项目仅考虑质量蒸发</w:t>
      </w:r>
      <w:r>
        <w:rPr>
          <w:rFonts w:hint="eastAsia"/>
          <w:color w:val="auto"/>
          <w:lang w:eastAsia="zh-CN"/>
        </w:rPr>
        <w:t>，</w:t>
      </w:r>
      <w:r>
        <w:rPr>
          <w:rFonts w:hint="eastAsia"/>
          <w:color w:val="auto"/>
        </w:rPr>
        <w:t>质量蒸发的估算公式如下：</w:t>
      </w:r>
    </w:p>
    <w:p w14:paraId="45BBBAA6">
      <w:pPr>
        <w:pStyle w:val="42"/>
        <w:ind w:firstLine="420"/>
        <w:jc w:val="center"/>
        <w:rPr>
          <w:color w:val="auto"/>
        </w:rPr>
      </w:pPr>
      <w:r>
        <w:rPr>
          <w:color w:val="auto"/>
        </w:rPr>
        <w:drawing>
          <wp:inline distT="0" distB="0" distL="0" distR="0">
            <wp:extent cx="1914525" cy="695325"/>
            <wp:effectExtent l="0" t="0" r="9525" b="9525"/>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914525" cy="695325"/>
                    </a:xfrm>
                    <a:prstGeom prst="rect">
                      <a:avLst/>
                    </a:prstGeom>
                    <a:noFill/>
                    <a:ln>
                      <a:noFill/>
                    </a:ln>
                  </pic:spPr>
                </pic:pic>
              </a:graphicData>
            </a:graphic>
          </wp:inline>
        </w:drawing>
      </w:r>
    </w:p>
    <w:p w14:paraId="04B03FB2">
      <w:pPr>
        <w:pStyle w:val="102"/>
        <w:ind w:firstLine="480"/>
        <w:rPr>
          <w:color w:val="auto"/>
        </w:rPr>
      </w:pPr>
      <w:r>
        <w:rPr>
          <w:rFonts w:hint="eastAsia"/>
          <w:color w:val="auto"/>
        </w:rPr>
        <w:t>式中：</w:t>
      </w:r>
    </w:p>
    <w:p w14:paraId="196CBA6A">
      <w:pPr>
        <w:pStyle w:val="102"/>
        <w:ind w:firstLine="480"/>
        <w:rPr>
          <w:color w:val="auto"/>
        </w:rPr>
      </w:pPr>
      <w:r>
        <w:rPr>
          <w:rFonts w:hint="eastAsia"/>
          <w:color w:val="auto"/>
        </w:rPr>
        <w:t>Q</w:t>
      </w:r>
      <w:r>
        <w:rPr>
          <w:rFonts w:hint="eastAsia"/>
          <w:color w:val="auto"/>
          <w:vertAlign w:val="subscript"/>
        </w:rPr>
        <w:t>3</w:t>
      </w:r>
      <w:r>
        <w:rPr>
          <w:rFonts w:hint="eastAsia"/>
          <w:color w:val="auto"/>
        </w:rPr>
        <w:t>——质量蒸发速度</w:t>
      </w:r>
      <w:r>
        <w:rPr>
          <w:rFonts w:hint="eastAsia"/>
          <w:color w:val="auto"/>
          <w:lang w:eastAsia="zh-CN"/>
        </w:rPr>
        <w:t>，</w:t>
      </w:r>
      <w:r>
        <w:rPr>
          <w:rFonts w:hint="eastAsia"/>
          <w:color w:val="auto"/>
        </w:rPr>
        <w:t>kg/s；</w:t>
      </w:r>
    </w:p>
    <w:p w14:paraId="0F7A5DF2">
      <w:pPr>
        <w:pStyle w:val="102"/>
        <w:ind w:firstLine="480"/>
        <w:rPr>
          <w:color w:val="auto"/>
        </w:rPr>
      </w:pPr>
      <w:r>
        <w:rPr>
          <w:rFonts w:hint="eastAsia"/>
          <w:color w:val="auto"/>
        </w:rPr>
        <w:t>a</w:t>
      </w:r>
      <w:r>
        <w:rPr>
          <w:rFonts w:hint="eastAsia"/>
          <w:color w:val="auto"/>
          <w:lang w:eastAsia="zh-CN"/>
        </w:rPr>
        <w:t>，</w:t>
      </w:r>
      <w:r>
        <w:rPr>
          <w:rFonts w:hint="eastAsia"/>
          <w:color w:val="auto"/>
        </w:rPr>
        <w:t>n——大气稳定度系数</w:t>
      </w:r>
      <w:r>
        <w:rPr>
          <w:rFonts w:hint="eastAsia"/>
          <w:color w:val="auto"/>
          <w:lang w:eastAsia="zh-CN"/>
        </w:rPr>
        <w:t>，</w:t>
      </w:r>
      <w:r>
        <w:rPr>
          <w:rFonts w:hint="eastAsia"/>
          <w:color w:val="auto"/>
        </w:rPr>
        <w:t>取中性D</w:t>
      </w:r>
      <w:r>
        <w:rPr>
          <w:rFonts w:hint="eastAsia"/>
          <w:color w:val="auto"/>
          <w:lang w:eastAsia="zh-CN"/>
        </w:rPr>
        <w:t>，</w:t>
      </w:r>
      <w:r>
        <w:rPr>
          <w:rFonts w:hint="eastAsia"/>
          <w:color w:val="auto"/>
        </w:rPr>
        <w:t>n=0.25</w:t>
      </w:r>
      <w:r>
        <w:rPr>
          <w:rFonts w:hint="eastAsia"/>
          <w:color w:val="auto"/>
          <w:lang w:eastAsia="zh-CN"/>
        </w:rPr>
        <w:t>，</w:t>
      </w:r>
      <w:r>
        <w:rPr>
          <w:rFonts w:hint="eastAsia"/>
          <w:color w:val="auto"/>
        </w:rPr>
        <w:t>a=4.685</w:t>
      </w:r>
      <w:r>
        <w:rPr>
          <w:color w:val="auto"/>
        </w:rPr>
        <w:t>×10</w:t>
      </w:r>
      <w:r>
        <w:rPr>
          <w:color w:val="auto"/>
          <w:vertAlign w:val="superscript"/>
        </w:rPr>
        <w:t>-</w:t>
      </w:r>
      <w:r>
        <w:rPr>
          <w:rFonts w:hint="eastAsia"/>
          <w:color w:val="auto"/>
          <w:vertAlign w:val="superscript"/>
        </w:rPr>
        <w:t>3</w:t>
      </w:r>
      <w:r>
        <w:rPr>
          <w:rFonts w:hint="eastAsia"/>
          <w:color w:val="auto"/>
        </w:rPr>
        <w:t>；</w:t>
      </w:r>
    </w:p>
    <w:p w14:paraId="67261382">
      <w:pPr>
        <w:pStyle w:val="102"/>
        <w:ind w:firstLine="480"/>
        <w:rPr>
          <w:color w:val="auto"/>
        </w:rPr>
      </w:pPr>
      <w:r>
        <w:rPr>
          <w:rFonts w:hint="eastAsia"/>
          <w:color w:val="auto"/>
        </w:rPr>
        <w:t>P——液体表面蒸汽压</w:t>
      </w:r>
      <w:r>
        <w:rPr>
          <w:rFonts w:hint="eastAsia"/>
          <w:color w:val="auto"/>
          <w:lang w:eastAsia="zh-CN"/>
        </w:rPr>
        <w:t>，</w:t>
      </w:r>
      <w:r>
        <w:rPr>
          <w:rFonts w:hint="eastAsia"/>
          <w:color w:val="auto"/>
        </w:rPr>
        <w:t>Pa；</w:t>
      </w:r>
    </w:p>
    <w:p w14:paraId="51072E55">
      <w:pPr>
        <w:pStyle w:val="102"/>
        <w:ind w:firstLine="480"/>
        <w:rPr>
          <w:color w:val="auto"/>
        </w:rPr>
      </w:pPr>
      <w:r>
        <w:rPr>
          <w:rFonts w:hint="eastAsia"/>
          <w:color w:val="auto"/>
        </w:rPr>
        <w:t>M——物质的摩尔质量</w:t>
      </w:r>
      <w:r>
        <w:rPr>
          <w:rFonts w:hint="eastAsia"/>
          <w:color w:val="auto"/>
          <w:lang w:eastAsia="zh-CN"/>
        </w:rPr>
        <w:t>，</w:t>
      </w:r>
      <w:r>
        <w:rPr>
          <w:rFonts w:hint="eastAsia"/>
          <w:color w:val="auto"/>
        </w:rPr>
        <w:t>kg/mol；</w:t>
      </w:r>
      <w:r>
        <w:rPr>
          <w:rFonts w:hint="eastAsia"/>
          <w:color w:val="auto"/>
          <w:szCs w:val="24"/>
        </w:rPr>
        <w:t>聚合M</w:t>
      </w:r>
      <w:r>
        <w:rPr>
          <w:color w:val="auto"/>
          <w:szCs w:val="24"/>
        </w:rPr>
        <w:t>DI</w:t>
      </w:r>
      <w:r>
        <w:rPr>
          <w:rFonts w:hint="eastAsia"/>
          <w:color w:val="auto"/>
          <w:szCs w:val="24"/>
        </w:rPr>
        <w:t>为</w:t>
      </w:r>
      <w:r>
        <w:rPr>
          <w:color w:val="auto"/>
          <w:szCs w:val="24"/>
        </w:rPr>
        <w:t>360</w:t>
      </w:r>
      <w:r>
        <w:rPr>
          <w:rFonts w:hint="eastAsia"/>
          <w:color w:val="auto"/>
          <w:szCs w:val="24"/>
        </w:rPr>
        <w:t>、二丁酯为</w:t>
      </w:r>
      <w:r>
        <w:rPr>
          <w:color w:val="auto"/>
          <w:szCs w:val="24"/>
        </w:rPr>
        <w:t>278.344</w:t>
      </w:r>
      <w:r>
        <w:rPr>
          <w:rFonts w:hint="eastAsia"/>
          <w:color w:val="auto"/>
        </w:rPr>
        <w:t>；</w:t>
      </w:r>
    </w:p>
    <w:p w14:paraId="0551C9C0">
      <w:pPr>
        <w:pStyle w:val="102"/>
        <w:ind w:firstLine="480"/>
        <w:rPr>
          <w:color w:val="auto"/>
        </w:rPr>
      </w:pPr>
      <w:r>
        <w:rPr>
          <w:rFonts w:hint="eastAsia"/>
          <w:color w:val="auto"/>
        </w:rPr>
        <w:t>R——气体常数</w:t>
      </w:r>
      <w:r>
        <w:rPr>
          <w:rFonts w:hint="eastAsia"/>
          <w:color w:val="auto"/>
          <w:lang w:eastAsia="zh-CN"/>
        </w:rPr>
        <w:t>，</w:t>
      </w:r>
      <w:r>
        <w:rPr>
          <w:rFonts w:hint="eastAsia"/>
          <w:color w:val="auto"/>
        </w:rPr>
        <w:t>J/（mol.K）；8.314J/（mol.K）；</w:t>
      </w:r>
    </w:p>
    <w:p w14:paraId="1E61CA3E">
      <w:pPr>
        <w:pStyle w:val="102"/>
        <w:ind w:firstLine="480"/>
        <w:rPr>
          <w:color w:val="auto"/>
        </w:rPr>
      </w:pPr>
      <w:r>
        <w:rPr>
          <w:rFonts w:hint="eastAsia"/>
          <w:color w:val="auto"/>
        </w:rPr>
        <w:t>T</w:t>
      </w:r>
      <w:r>
        <w:rPr>
          <w:rFonts w:hint="eastAsia"/>
          <w:color w:val="auto"/>
          <w:vertAlign w:val="subscript"/>
        </w:rPr>
        <w:t>0</w:t>
      </w:r>
      <w:r>
        <w:rPr>
          <w:rFonts w:hint="eastAsia"/>
          <w:color w:val="auto"/>
        </w:rPr>
        <w:t>——环境温度</w:t>
      </w:r>
      <w:r>
        <w:rPr>
          <w:rFonts w:hint="eastAsia"/>
          <w:color w:val="auto"/>
          <w:lang w:eastAsia="zh-CN"/>
        </w:rPr>
        <w:t>，</w:t>
      </w:r>
      <w:r>
        <w:rPr>
          <w:rFonts w:hint="eastAsia"/>
          <w:color w:val="auto"/>
        </w:rPr>
        <w:t>K；298.15K；</w:t>
      </w:r>
    </w:p>
    <w:p w14:paraId="087C5340">
      <w:pPr>
        <w:pStyle w:val="102"/>
        <w:ind w:firstLine="480"/>
        <w:rPr>
          <w:color w:val="auto"/>
        </w:rPr>
      </w:pPr>
      <w:r>
        <w:rPr>
          <w:rFonts w:hint="eastAsia"/>
          <w:color w:val="auto"/>
        </w:rPr>
        <w:t>u——风速</w:t>
      </w:r>
      <w:r>
        <w:rPr>
          <w:rFonts w:hint="eastAsia"/>
          <w:color w:val="auto"/>
          <w:lang w:eastAsia="zh-CN"/>
        </w:rPr>
        <w:t>，</w:t>
      </w:r>
      <w:r>
        <w:rPr>
          <w:color w:val="auto"/>
        </w:rPr>
        <w:t>2.5</w:t>
      </w:r>
      <w:r>
        <w:rPr>
          <w:rFonts w:hint="eastAsia"/>
          <w:color w:val="auto"/>
        </w:rPr>
        <w:t>m/s；</w:t>
      </w:r>
    </w:p>
    <w:p w14:paraId="2E4C28A1">
      <w:pPr>
        <w:pStyle w:val="102"/>
        <w:ind w:firstLine="480"/>
        <w:rPr>
          <w:color w:val="auto"/>
        </w:rPr>
      </w:pPr>
      <w:r>
        <w:rPr>
          <w:rFonts w:hint="eastAsia"/>
          <w:color w:val="auto"/>
        </w:rPr>
        <w:t>r——液池半径</w:t>
      </w:r>
      <w:r>
        <w:rPr>
          <w:rFonts w:hint="eastAsia"/>
          <w:color w:val="auto"/>
          <w:lang w:eastAsia="zh-CN"/>
        </w:rPr>
        <w:t>，</w:t>
      </w:r>
      <w:r>
        <w:rPr>
          <w:rFonts w:hint="eastAsia"/>
          <w:color w:val="auto"/>
        </w:rPr>
        <w:t>m</w:t>
      </w:r>
      <w:r>
        <w:rPr>
          <w:rFonts w:hint="eastAsia"/>
          <w:color w:val="auto"/>
          <w:lang w:eastAsia="zh-CN"/>
        </w:rPr>
        <w:t>，</w:t>
      </w:r>
      <w:r>
        <w:rPr>
          <w:color w:val="auto"/>
        </w:rPr>
        <w:t>5</w:t>
      </w:r>
      <w:r>
        <w:rPr>
          <w:rFonts w:hint="eastAsia"/>
          <w:color w:val="auto"/>
        </w:rPr>
        <w:t>m。</w:t>
      </w:r>
    </w:p>
    <w:p w14:paraId="179F6832">
      <w:pPr>
        <w:pStyle w:val="102"/>
        <w:ind w:firstLine="480"/>
        <w:rPr>
          <w:color w:val="auto"/>
        </w:rPr>
      </w:pPr>
      <w:r>
        <w:rPr>
          <w:rFonts w:hint="eastAsia"/>
          <w:color w:val="auto"/>
        </w:rPr>
        <w:t>经计算</w:t>
      </w:r>
      <w:r>
        <w:rPr>
          <w:rFonts w:hint="eastAsia"/>
          <w:color w:val="auto"/>
          <w:lang w:eastAsia="zh-CN"/>
        </w:rPr>
        <w:t>，</w:t>
      </w:r>
      <w:r>
        <w:rPr>
          <w:rFonts w:hint="eastAsia"/>
          <w:color w:val="auto"/>
        </w:rPr>
        <w:t>Q</w:t>
      </w:r>
      <w:r>
        <w:rPr>
          <w:rFonts w:hint="eastAsia"/>
          <w:color w:val="auto"/>
          <w:szCs w:val="24"/>
          <w:vertAlign w:val="subscript"/>
        </w:rPr>
        <w:t>聚合M</w:t>
      </w:r>
      <w:r>
        <w:rPr>
          <w:color w:val="auto"/>
          <w:szCs w:val="24"/>
          <w:vertAlign w:val="subscript"/>
        </w:rPr>
        <w:t>DI</w:t>
      </w:r>
      <w:r>
        <w:rPr>
          <w:rFonts w:hint="eastAsia"/>
          <w:color w:val="auto"/>
        </w:rPr>
        <w:t>=</w:t>
      </w:r>
      <w:r>
        <w:rPr>
          <w:color w:val="auto"/>
        </w:rPr>
        <w:t>0.00003</w:t>
      </w:r>
      <w:r>
        <w:rPr>
          <w:rFonts w:hint="eastAsia"/>
          <w:color w:val="auto"/>
        </w:rPr>
        <w:t>kg/s</w:t>
      </w:r>
      <w:r>
        <w:rPr>
          <w:rFonts w:hint="eastAsia"/>
          <w:color w:val="auto"/>
          <w:lang w:eastAsia="zh-CN"/>
        </w:rPr>
        <w:t>，</w:t>
      </w:r>
      <w:r>
        <w:rPr>
          <w:rFonts w:hint="eastAsia"/>
          <w:color w:val="auto"/>
        </w:rPr>
        <w:t>Q</w:t>
      </w:r>
      <w:r>
        <w:rPr>
          <w:rFonts w:hint="eastAsia"/>
          <w:color w:val="auto"/>
          <w:vertAlign w:val="subscript"/>
        </w:rPr>
        <w:t>二丁酯</w:t>
      </w:r>
      <w:r>
        <w:rPr>
          <w:rFonts w:hint="eastAsia"/>
          <w:color w:val="auto"/>
        </w:rPr>
        <w:t>=</w:t>
      </w:r>
      <w:r>
        <w:rPr>
          <w:color w:val="auto"/>
        </w:rPr>
        <w:t>0.001</w:t>
      </w:r>
      <w:r>
        <w:rPr>
          <w:rFonts w:hint="eastAsia"/>
          <w:color w:val="auto"/>
        </w:rPr>
        <w:t>kg/s。</w:t>
      </w:r>
    </w:p>
    <w:p w14:paraId="36142F2D">
      <w:pPr>
        <w:pStyle w:val="102"/>
        <w:ind w:firstLine="480"/>
        <w:rPr>
          <w:color w:val="auto"/>
        </w:rPr>
      </w:pPr>
      <w:r>
        <w:rPr>
          <w:rFonts w:hint="eastAsia"/>
          <w:color w:val="auto"/>
        </w:rPr>
        <w:t>蒸发时间取3</w:t>
      </w:r>
      <w:r>
        <w:rPr>
          <w:color w:val="auto"/>
        </w:rPr>
        <w:t>0</w:t>
      </w:r>
      <w:r>
        <w:rPr>
          <w:rFonts w:hint="eastAsia"/>
          <w:color w:val="auto"/>
        </w:rPr>
        <w:t>min</w:t>
      </w:r>
      <w:r>
        <w:rPr>
          <w:rFonts w:hint="eastAsia"/>
          <w:color w:val="auto"/>
          <w:lang w:eastAsia="zh-CN"/>
        </w:rPr>
        <w:t>，</w:t>
      </w:r>
      <w:r>
        <w:rPr>
          <w:rFonts w:hint="eastAsia"/>
          <w:color w:val="auto"/>
        </w:rPr>
        <w:t>经计算</w:t>
      </w:r>
      <w:r>
        <w:rPr>
          <w:rFonts w:hint="eastAsia"/>
          <w:color w:val="auto"/>
          <w:lang w:eastAsia="zh-CN"/>
        </w:rPr>
        <w:t>，</w:t>
      </w:r>
      <w:r>
        <w:rPr>
          <w:rFonts w:hint="eastAsia"/>
          <w:color w:val="auto"/>
          <w:szCs w:val="24"/>
        </w:rPr>
        <w:t>聚合M</w:t>
      </w:r>
      <w:r>
        <w:rPr>
          <w:color w:val="auto"/>
          <w:szCs w:val="24"/>
        </w:rPr>
        <w:t>DI</w:t>
      </w:r>
      <w:r>
        <w:rPr>
          <w:rFonts w:hint="eastAsia"/>
          <w:color w:val="auto"/>
          <w:szCs w:val="24"/>
        </w:rPr>
        <w:t>蒸发量为</w:t>
      </w:r>
      <w:r>
        <w:rPr>
          <w:rFonts w:hint="eastAsia"/>
          <w:color w:val="auto"/>
        </w:rPr>
        <w:t>=</w:t>
      </w:r>
      <w:r>
        <w:rPr>
          <w:color w:val="auto"/>
        </w:rPr>
        <w:t>0.054</w:t>
      </w:r>
      <w:r>
        <w:rPr>
          <w:rFonts w:hint="eastAsia"/>
          <w:color w:val="auto"/>
        </w:rPr>
        <w:t>kg</w:t>
      </w:r>
      <w:r>
        <w:rPr>
          <w:rFonts w:hint="eastAsia"/>
          <w:color w:val="auto"/>
          <w:lang w:eastAsia="zh-CN"/>
        </w:rPr>
        <w:t>，</w:t>
      </w:r>
      <w:r>
        <w:rPr>
          <w:rFonts w:hint="eastAsia"/>
          <w:color w:val="auto"/>
          <w:szCs w:val="24"/>
        </w:rPr>
        <w:t>二丁酯蒸发量为</w:t>
      </w:r>
      <w:r>
        <w:rPr>
          <w:rFonts w:hint="eastAsia"/>
          <w:color w:val="auto"/>
        </w:rPr>
        <w:t>=</w:t>
      </w:r>
      <w:r>
        <w:rPr>
          <w:color w:val="auto"/>
        </w:rPr>
        <w:t>1.8</w:t>
      </w:r>
      <w:r>
        <w:rPr>
          <w:rFonts w:hint="eastAsia"/>
          <w:color w:val="auto"/>
        </w:rPr>
        <w:t>kg。</w:t>
      </w:r>
    </w:p>
    <w:p w14:paraId="5824F19D">
      <w:pPr>
        <w:pStyle w:val="3"/>
        <w:ind w:left="0" w:firstLine="0"/>
        <w:rPr>
          <w:color w:val="auto"/>
        </w:rPr>
      </w:pPr>
      <w:r>
        <w:rPr>
          <w:color w:val="auto"/>
        </w:rPr>
        <w:t>5</w:t>
      </w:r>
      <w:r>
        <w:rPr>
          <w:rFonts w:hint="eastAsia"/>
          <w:color w:val="auto"/>
        </w:rPr>
        <w:t>风险</w:t>
      </w:r>
      <w:r>
        <w:rPr>
          <w:color w:val="auto"/>
        </w:rPr>
        <w:t>评价</w:t>
      </w:r>
    </w:p>
    <w:p w14:paraId="6CA76E08">
      <w:pPr>
        <w:pStyle w:val="2"/>
        <w:spacing w:before="120" w:after="120"/>
        <w:rPr>
          <w:color w:val="auto"/>
        </w:rPr>
      </w:pPr>
      <w:r>
        <w:rPr>
          <w:rFonts w:hint="eastAsia"/>
          <w:color w:val="auto"/>
        </w:rPr>
        <w:t>5</w:t>
      </w:r>
      <w:r>
        <w:rPr>
          <w:color w:val="auto"/>
        </w:rPr>
        <w:t>.1</w:t>
      </w:r>
      <w:r>
        <w:rPr>
          <w:rFonts w:hint="eastAsia"/>
          <w:color w:val="auto"/>
        </w:rPr>
        <w:t>对大气</w:t>
      </w:r>
      <w:r>
        <w:rPr>
          <w:color w:val="auto"/>
        </w:rPr>
        <w:t>环境</w:t>
      </w:r>
      <w:r>
        <w:rPr>
          <w:rFonts w:hint="eastAsia"/>
          <w:color w:val="auto"/>
        </w:rPr>
        <w:t>的影响</w:t>
      </w:r>
    </w:p>
    <w:p w14:paraId="0940BED6">
      <w:pPr>
        <w:pStyle w:val="102"/>
        <w:ind w:firstLine="480"/>
        <w:rPr>
          <w:color w:val="auto"/>
        </w:rPr>
      </w:pPr>
      <w:r>
        <w:rPr>
          <w:rFonts w:hint="eastAsia"/>
          <w:color w:val="auto"/>
        </w:rPr>
        <w:t>本项目风险物质泄漏量较少</w:t>
      </w:r>
      <w:r>
        <w:rPr>
          <w:rFonts w:hint="eastAsia"/>
          <w:color w:val="auto"/>
          <w:lang w:eastAsia="zh-CN"/>
        </w:rPr>
        <w:t>，</w:t>
      </w:r>
      <w:r>
        <w:rPr>
          <w:rFonts w:hint="eastAsia"/>
          <w:color w:val="auto"/>
        </w:rPr>
        <w:t>生产区和存储区四周设置0</w:t>
      </w:r>
      <w:r>
        <w:rPr>
          <w:color w:val="auto"/>
        </w:rPr>
        <w:t>.</w:t>
      </w:r>
      <w:r>
        <w:rPr>
          <w:rFonts w:hint="eastAsia"/>
          <w:color w:val="auto"/>
          <w:lang w:val="en-US" w:eastAsia="zh-CN"/>
        </w:rPr>
        <w:t>5</w:t>
      </w:r>
      <w:r>
        <w:rPr>
          <w:rFonts w:hint="eastAsia"/>
          <w:color w:val="auto"/>
        </w:rPr>
        <w:t>m高防渗围堰</w:t>
      </w:r>
      <w:r>
        <w:rPr>
          <w:rFonts w:hint="eastAsia"/>
          <w:color w:val="auto"/>
          <w:lang w:eastAsia="zh-CN"/>
        </w:rPr>
        <w:t>，</w:t>
      </w:r>
      <w:r>
        <w:rPr>
          <w:rFonts w:hint="eastAsia"/>
          <w:color w:val="auto"/>
        </w:rPr>
        <w:t>采用防渗混凝土结构</w:t>
      </w:r>
      <w:r>
        <w:rPr>
          <w:rFonts w:hint="eastAsia"/>
          <w:color w:val="auto"/>
          <w:lang w:eastAsia="zh-CN"/>
        </w:rPr>
        <w:t>，</w:t>
      </w:r>
      <w:r>
        <w:rPr>
          <w:color w:val="auto"/>
        </w:rPr>
        <w:t>渗透系数≤10</w:t>
      </w:r>
      <w:r>
        <w:rPr>
          <w:color w:val="auto"/>
          <w:vertAlign w:val="superscript"/>
        </w:rPr>
        <w:t>-10</w:t>
      </w:r>
      <w:r>
        <w:rPr>
          <w:color w:val="auto"/>
        </w:rPr>
        <w:t>cm/s</w:t>
      </w:r>
      <w:r>
        <w:rPr>
          <w:rFonts w:hint="eastAsia"/>
          <w:color w:val="auto"/>
          <w:lang w:eastAsia="zh-CN"/>
        </w:rPr>
        <w:t>，</w:t>
      </w:r>
      <w:r>
        <w:rPr>
          <w:rFonts w:hint="eastAsia"/>
          <w:color w:val="auto"/>
        </w:rPr>
        <w:t>围堰内有效容积</w:t>
      </w:r>
      <w:r>
        <w:rPr>
          <w:color w:val="auto"/>
        </w:rPr>
        <w:t>48</w:t>
      </w:r>
      <w:r>
        <w:rPr>
          <w:rFonts w:hint="eastAsia"/>
          <w:color w:val="auto"/>
        </w:rPr>
        <w:t>m</w:t>
      </w:r>
      <w:r>
        <w:rPr>
          <w:color w:val="auto"/>
          <w:vertAlign w:val="superscript"/>
        </w:rPr>
        <w:t>3</w:t>
      </w:r>
      <w:r>
        <w:rPr>
          <w:rFonts w:hint="eastAsia"/>
          <w:color w:val="auto"/>
        </w:rPr>
        <w:t>（大于车间总的物料存在量）；车间设置泄漏报警及监控装置</w:t>
      </w:r>
      <w:r>
        <w:rPr>
          <w:rFonts w:hint="eastAsia"/>
          <w:color w:val="auto"/>
          <w:lang w:eastAsia="zh-CN"/>
        </w:rPr>
        <w:t>，</w:t>
      </w:r>
      <w:r>
        <w:rPr>
          <w:rFonts w:hint="eastAsia"/>
          <w:color w:val="auto"/>
        </w:rPr>
        <w:t>一旦泄漏能够对</w:t>
      </w:r>
      <w:r>
        <w:rPr>
          <w:color w:val="auto"/>
        </w:rPr>
        <w:t>发生事故及时发现并解决</w:t>
      </w:r>
      <w:r>
        <w:rPr>
          <w:rFonts w:hint="eastAsia"/>
          <w:color w:val="auto"/>
          <w:lang w:eastAsia="zh-CN"/>
        </w:rPr>
        <w:t>，</w:t>
      </w:r>
      <w:r>
        <w:rPr>
          <w:rFonts w:hint="eastAsia"/>
          <w:color w:val="auto"/>
        </w:rPr>
        <w:t>在加强管理和规范操作的情况下</w:t>
      </w:r>
      <w:r>
        <w:rPr>
          <w:rFonts w:hint="eastAsia"/>
          <w:color w:val="auto"/>
          <w:lang w:eastAsia="zh-CN"/>
        </w:rPr>
        <w:t>，</w:t>
      </w:r>
      <w:r>
        <w:rPr>
          <w:rFonts w:hint="eastAsia"/>
          <w:color w:val="auto"/>
        </w:rPr>
        <w:t>可避免风险事故的发生</w:t>
      </w:r>
      <w:r>
        <w:rPr>
          <w:rFonts w:hint="eastAsia"/>
          <w:color w:val="auto"/>
          <w:lang w:eastAsia="zh-CN"/>
        </w:rPr>
        <w:t>，</w:t>
      </w:r>
      <w:r>
        <w:rPr>
          <w:rFonts w:hint="eastAsia"/>
          <w:color w:val="auto"/>
        </w:rPr>
        <w:t>且项目周围5</w:t>
      </w:r>
      <w:r>
        <w:rPr>
          <w:color w:val="auto"/>
        </w:rPr>
        <w:t>00</w:t>
      </w:r>
      <w:r>
        <w:rPr>
          <w:rFonts w:hint="eastAsia"/>
          <w:color w:val="auto"/>
        </w:rPr>
        <w:t>m范围无大气环境保护目标</w:t>
      </w:r>
      <w:r>
        <w:rPr>
          <w:rFonts w:hint="eastAsia"/>
          <w:color w:val="auto"/>
          <w:lang w:eastAsia="zh-CN"/>
        </w:rPr>
        <w:t>，</w:t>
      </w:r>
      <w:r>
        <w:rPr>
          <w:rFonts w:hint="eastAsia"/>
          <w:color w:val="auto"/>
        </w:rPr>
        <w:t>故</w:t>
      </w:r>
      <w:r>
        <w:rPr>
          <w:color w:val="auto"/>
        </w:rPr>
        <w:t>本项目</w:t>
      </w:r>
      <w:r>
        <w:rPr>
          <w:rFonts w:hint="eastAsia"/>
          <w:color w:val="auto"/>
        </w:rPr>
        <w:t>危险物质泄漏对周围大气环境影响较小。聚合M</w:t>
      </w:r>
      <w:r>
        <w:rPr>
          <w:color w:val="auto"/>
        </w:rPr>
        <w:t>DI</w:t>
      </w:r>
      <w:r>
        <w:rPr>
          <w:rFonts w:hint="eastAsia"/>
          <w:color w:val="auto"/>
        </w:rPr>
        <w:t>、二丁酯因化学品燃烧产生的次生/伴次生污染物对大气环境影响较小。</w:t>
      </w:r>
    </w:p>
    <w:p w14:paraId="2FFEE488">
      <w:pPr>
        <w:pStyle w:val="2"/>
        <w:spacing w:before="120" w:after="120"/>
        <w:rPr>
          <w:color w:val="auto"/>
        </w:rPr>
      </w:pPr>
      <w:r>
        <w:rPr>
          <w:rFonts w:hint="eastAsia"/>
          <w:color w:val="auto"/>
        </w:rPr>
        <w:t>5</w:t>
      </w:r>
      <w:r>
        <w:rPr>
          <w:color w:val="auto"/>
        </w:rPr>
        <w:t>.2对</w:t>
      </w:r>
      <w:r>
        <w:rPr>
          <w:rFonts w:hint="eastAsia"/>
          <w:color w:val="auto"/>
        </w:rPr>
        <w:t>地表</w:t>
      </w:r>
      <w:r>
        <w:rPr>
          <w:color w:val="auto"/>
        </w:rPr>
        <w:t>水环境的影响</w:t>
      </w:r>
    </w:p>
    <w:p w14:paraId="0CA8720E">
      <w:pPr>
        <w:pStyle w:val="102"/>
        <w:ind w:firstLine="480"/>
        <w:rPr>
          <w:color w:val="auto"/>
        </w:rPr>
      </w:pPr>
      <w:r>
        <w:rPr>
          <w:rFonts w:hint="eastAsia"/>
          <w:color w:val="auto"/>
        </w:rPr>
        <w:t>本</w:t>
      </w:r>
      <w:r>
        <w:rPr>
          <w:color w:val="auto"/>
        </w:rPr>
        <w:t>项目废水不直接排入地表水水体</w:t>
      </w:r>
      <w:r>
        <w:rPr>
          <w:rFonts w:hint="eastAsia"/>
          <w:color w:val="auto"/>
          <w:lang w:eastAsia="zh-CN"/>
        </w:rPr>
        <w:t>，</w:t>
      </w:r>
      <w:r>
        <w:rPr>
          <w:rFonts w:hint="eastAsia"/>
          <w:color w:val="auto"/>
        </w:rPr>
        <w:t>项目周边无地表水体</w:t>
      </w:r>
      <w:r>
        <w:rPr>
          <w:rFonts w:hint="eastAsia"/>
          <w:color w:val="auto"/>
          <w:lang w:eastAsia="zh-CN"/>
        </w:rPr>
        <w:t>，</w:t>
      </w:r>
      <w:r>
        <w:rPr>
          <w:rFonts w:hint="eastAsia"/>
          <w:color w:val="auto"/>
        </w:rPr>
        <w:t>即使发生火灾事故</w:t>
      </w:r>
      <w:r>
        <w:rPr>
          <w:rFonts w:hint="eastAsia"/>
          <w:color w:val="auto"/>
          <w:lang w:eastAsia="zh-CN"/>
        </w:rPr>
        <w:t>，</w:t>
      </w:r>
      <w:r>
        <w:rPr>
          <w:rFonts w:hint="eastAsia"/>
          <w:color w:val="auto"/>
        </w:rPr>
        <w:t>也可将消防液体物质全部收集在车间范围内</w:t>
      </w:r>
      <w:r>
        <w:rPr>
          <w:rFonts w:hint="eastAsia"/>
          <w:color w:val="auto"/>
          <w:lang w:eastAsia="zh-CN"/>
        </w:rPr>
        <w:t>，</w:t>
      </w:r>
      <w:r>
        <w:rPr>
          <w:color w:val="auto"/>
        </w:rPr>
        <w:t>故风险事故</w:t>
      </w:r>
      <w:r>
        <w:rPr>
          <w:rFonts w:hint="eastAsia"/>
          <w:color w:val="auto"/>
        </w:rPr>
        <w:t>发生后</w:t>
      </w:r>
      <w:r>
        <w:rPr>
          <w:color w:val="auto"/>
        </w:rPr>
        <w:t>不会对地表水环境造成影响。</w:t>
      </w:r>
    </w:p>
    <w:p w14:paraId="550512B3">
      <w:pPr>
        <w:pStyle w:val="2"/>
        <w:spacing w:before="120" w:after="120"/>
        <w:rPr>
          <w:color w:val="auto"/>
        </w:rPr>
      </w:pPr>
      <w:r>
        <w:rPr>
          <w:rFonts w:hint="eastAsia"/>
          <w:color w:val="auto"/>
        </w:rPr>
        <w:t>5</w:t>
      </w:r>
      <w:r>
        <w:rPr>
          <w:color w:val="auto"/>
        </w:rPr>
        <w:t>.3</w:t>
      </w:r>
      <w:r>
        <w:rPr>
          <w:rFonts w:hint="eastAsia"/>
          <w:color w:val="auto"/>
        </w:rPr>
        <w:t>对土壤、地下水环境的影响</w:t>
      </w:r>
    </w:p>
    <w:p w14:paraId="56247C5F">
      <w:pPr>
        <w:pStyle w:val="102"/>
        <w:ind w:firstLine="480"/>
        <w:rPr>
          <w:color w:val="auto"/>
        </w:rPr>
      </w:pPr>
      <w:r>
        <w:rPr>
          <w:rFonts w:hint="eastAsia"/>
          <w:color w:val="auto"/>
        </w:rPr>
        <w:t>土壤及地下水事故污染其主要原因为物料泄漏或火灾爆炸产生的新污染物进入土壤和地下水</w:t>
      </w:r>
      <w:r>
        <w:rPr>
          <w:rFonts w:hint="eastAsia"/>
          <w:color w:val="auto"/>
          <w:lang w:eastAsia="zh-CN"/>
        </w:rPr>
        <w:t>，</w:t>
      </w:r>
      <w:r>
        <w:rPr>
          <w:rFonts w:hint="eastAsia"/>
          <w:color w:val="auto"/>
        </w:rPr>
        <w:t>此类事故发生的概率在现有的统计数据中很小。因此</w:t>
      </w:r>
      <w:r>
        <w:rPr>
          <w:rFonts w:hint="eastAsia"/>
          <w:color w:val="auto"/>
          <w:lang w:eastAsia="zh-CN"/>
        </w:rPr>
        <w:t>，</w:t>
      </w:r>
      <w:r>
        <w:rPr>
          <w:rFonts w:hint="eastAsia"/>
          <w:color w:val="auto"/>
        </w:rPr>
        <w:t>一方面可以通过加强管理和引进先进设备避免类似泄漏事故发生；另一方面可以通过对厂区内可能发生事故区的地面进行硬化处理</w:t>
      </w:r>
      <w:r>
        <w:rPr>
          <w:rFonts w:hint="eastAsia"/>
          <w:color w:val="auto"/>
          <w:lang w:eastAsia="zh-CN"/>
        </w:rPr>
        <w:t>，</w:t>
      </w:r>
      <w:r>
        <w:rPr>
          <w:rFonts w:hint="eastAsia"/>
          <w:color w:val="auto"/>
        </w:rPr>
        <w:t>并拟设物料倒流管道</w:t>
      </w:r>
      <w:r>
        <w:rPr>
          <w:rFonts w:hint="eastAsia"/>
          <w:color w:val="auto"/>
          <w:lang w:eastAsia="zh-CN"/>
        </w:rPr>
        <w:t>，</w:t>
      </w:r>
      <w:r>
        <w:rPr>
          <w:rFonts w:hint="eastAsia"/>
          <w:color w:val="auto"/>
        </w:rPr>
        <w:t>避免物料和含有有毒有害的污染物泄漏进入地表土壤及地下水。</w:t>
      </w:r>
    </w:p>
    <w:p w14:paraId="138767E2">
      <w:pPr>
        <w:pStyle w:val="3"/>
        <w:rPr>
          <w:color w:val="auto"/>
        </w:rPr>
      </w:pPr>
      <w:r>
        <w:rPr>
          <w:color w:val="auto"/>
        </w:rPr>
        <w:t>6环境风险</w:t>
      </w:r>
      <w:r>
        <w:rPr>
          <w:rFonts w:hint="eastAsia"/>
          <w:color w:val="auto"/>
        </w:rPr>
        <w:t>管理</w:t>
      </w:r>
    </w:p>
    <w:p w14:paraId="19F7510D">
      <w:pPr>
        <w:pStyle w:val="2"/>
        <w:spacing w:before="120" w:after="120"/>
        <w:rPr>
          <w:color w:val="auto"/>
        </w:rPr>
      </w:pPr>
      <w:r>
        <w:rPr>
          <w:rFonts w:hint="eastAsia"/>
          <w:color w:val="auto"/>
        </w:rPr>
        <w:t>6</w:t>
      </w:r>
      <w:r>
        <w:rPr>
          <w:color w:val="auto"/>
        </w:rPr>
        <w:t>.1</w:t>
      </w:r>
      <w:r>
        <w:rPr>
          <w:rFonts w:hint="eastAsia"/>
          <w:color w:val="auto"/>
        </w:rPr>
        <w:t>风险防范措施</w:t>
      </w:r>
    </w:p>
    <w:p w14:paraId="167A91E1">
      <w:pPr>
        <w:pStyle w:val="398"/>
        <w:spacing w:line="520" w:lineRule="exact"/>
        <w:rPr>
          <w:rFonts w:ascii="Times New Roman" w:hAnsi="Times New Roman"/>
          <w:bCs/>
          <w:color w:val="auto"/>
        </w:rPr>
      </w:pPr>
      <w:r>
        <w:rPr>
          <w:rFonts w:ascii="Times New Roman" w:hAnsi="Times New Roman"/>
          <w:bCs/>
          <w:color w:val="auto"/>
        </w:rPr>
        <w:t>尽管</w:t>
      </w:r>
      <w:r>
        <w:rPr>
          <w:rFonts w:hint="eastAsia" w:ascii="Times New Roman" w:hAnsi="Times New Roman"/>
          <w:bCs/>
          <w:color w:val="auto"/>
        </w:rPr>
        <w:t>项目</w:t>
      </w:r>
      <w:r>
        <w:rPr>
          <w:rFonts w:ascii="Times New Roman" w:hAnsi="Times New Roman"/>
          <w:bCs/>
          <w:color w:val="auto"/>
        </w:rPr>
        <w:t>生产</w:t>
      </w:r>
      <w:r>
        <w:rPr>
          <w:rFonts w:hint="eastAsia" w:ascii="Times New Roman" w:hAnsi="Times New Roman"/>
          <w:bCs/>
          <w:color w:val="auto"/>
        </w:rPr>
        <w:t>过程中</w:t>
      </w:r>
      <w:r>
        <w:rPr>
          <w:rFonts w:ascii="Times New Roman" w:hAnsi="Times New Roman"/>
          <w:bCs/>
          <w:color w:val="auto"/>
        </w:rPr>
        <w:t>突发性事故发生的可能性很小</w:t>
      </w:r>
      <w:r>
        <w:rPr>
          <w:rFonts w:hint="eastAsia" w:ascii="Times New Roman" w:hAnsi="Times New Roman"/>
          <w:bCs/>
          <w:color w:val="auto"/>
          <w:lang w:eastAsia="zh-CN"/>
        </w:rPr>
        <w:t>，</w:t>
      </w:r>
      <w:r>
        <w:rPr>
          <w:rFonts w:ascii="Times New Roman" w:hAnsi="Times New Roman"/>
          <w:bCs/>
          <w:color w:val="auto"/>
        </w:rPr>
        <w:t>但是小概率事件也有发生的可能</w:t>
      </w:r>
      <w:r>
        <w:rPr>
          <w:rFonts w:hint="eastAsia" w:ascii="Times New Roman" w:hAnsi="Times New Roman"/>
          <w:bCs/>
          <w:color w:val="auto"/>
          <w:lang w:eastAsia="zh-CN"/>
        </w:rPr>
        <w:t>，</w:t>
      </w:r>
      <w:r>
        <w:rPr>
          <w:rFonts w:ascii="Times New Roman" w:hAnsi="Times New Roman"/>
          <w:bCs/>
          <w:color w:val="auto"/>
        </w:rPr>
        <w:t>一旦发生其危害性较大</w:t>
      </w:r>
      <w:r>
        <w:rPr>
          <w:rFonts w:hint="eastAsia" w:ascii="Times New Roman" w:hAnsi="Times New Roman"/>
          <w:bCs/>
          <w:color w:val="auto"/>
          <w:lang w:eastAsia="zh-CN"/>
        </w:rPr>
        <w:t>，</w:t>
      </w:r>
      <w:r>
        <w:rPr>
          <w:rFonts w:ascii="Times New Roman" w:hAnsi="Times New Roman"/>
          <w:bCs/>
          <w:color w:val="auto"/>
        </w:rPr>
        <w:t>且其发生具有随机性</w:t>
      </w:r>
      <w:r>
        <w:rPr>
          <w:rFonts w:hint="eastAsia" w:ascii="Times New Roman" w:hAnsi="Times New Roman"/>
          <w:bCs/>
          <w:color w:val="auto"/>
          <w:lang w:eastAsia="zh-CN"/>
        </w:rPr>
        <w:t>，</w:t>
      </w:r>
      <w:r>
        <w:rPr>
          <w:rFonts w:ascii="Times New Roman" w:hAnsi="Times New Roman"/>
          <w:bCs/>
          <w:color w:val="auto"/>
        </w:rPr>
        <w:t>应引起高度重视。从工程和管理等多方面落实预防手段来降低该类事故的发生率</w:t>
      </w:r>
      <w:r>
        <w:rPr>
          <w:rFonts w:hint="eastAsia" w:ascii="Times New Roman" w:hAnsi="Times New Roman"/>
          <w:bCs/>
          <w:color w:val="auto"/>
          <w:lang w:eastAsia="zh-CN"/>
        </w:rPr>
        <w:t>，</w:t>
      </w:r>
      <w:r>
        <w:rPr>
          <w:rFonts w:ascii="Times New Roman" w:hAnsi="Times New Roman"/>
          <w:bCs/>
          <w:color w:val="auto"/>
        </w:rPr>
        <w:t>具体防范措施如下：</w:t>
      </w:r>
    </w:p>
    <w:p w14:paraId="70B90711">
      <w:pPr>
        <w:pStyle w:val="398"/>
        <w:spacing w:line="520" w:lineRule="exact"/>
        <w:rPr>
          <w:rFonts w:ascii="Times New Roman" w:hAnsi="Times New Roman"/>
          <w:bCs/>
          <w:color w:val="auto"/>
        </w:rPr>
      </w:pPr>
      <w:r>
        <w:rPr>
          <w:rFonts w:hint="eastAsia" w:ascii="Times New Roman" w:hAnsi="Times New Roman"/>
          <w:bCs/>
          <w:color w:val="auto"/>
        </w:rPr>
        <w:t>（1）危险物质</w:t>
      </w:r>
      <w:r>
        <w:rPr>
          <w:rFonts w:ascii="Times New Roman" w:hAnsi="Times New Roman"/>
          <w:bCs/>
          <w:color w:val="auto"/>
        </w:rPr>
        <w:t>采购及运输</w:t>
      </w:r>
      <w:r>
        <w:rPr>
          <w:rFonts w:hint="eastAsia" w:ascii="Times New Roman" w:hAnsi="Times New Roman"/>
          <w:bCs/>
          <w:color w:val="auto"/>
        </w:rPr>
        <w:t>防范</w:t>
      </w:r>
      <w:r>
        <w:rPr>
          <w:rFonts w:ascii="Times New Roman" w:hAnsi="Times New Roman"/>
          <w:bCs/>
          <w:color w:val="auto"/>
        </w:rPr>
        <w:t>措施</w:t>
      </w:r>
    </w:p>
    <w:p w14:paraId="5E2D0655">
      <w:pPr>
        <w:pStyle w:val="398"/>
        <w:spacing w:line="520" w:lineRule="exact"/>
        <w:rPr>
          <w:rFonts w:ascii="Times New Roman" w:hAnsi="Times New Roman"/>
          <w:bCs/>
          <w:color w:val="auto"/>
        </w:rPr>
      </w:pPr>
      <w:r>
        <w:rPr>
          <w:rFonts w:hint="eastAsia" w:ascii="Times New Roman" w:hAnsi="Times New Roman"/>
          <w:bCs/>
          <w:color w:val="auto"/>
        </w:rPr>
        <w:t>①采购时应检验供货企业危险化学品经营许可证</w:t>
      </w:r>
      <w:r>
        <w:rPr>
          <w:rFonts w:hint="eastAsia" w:ascii="Times New Roman" w:hAnsi="Times New Roman"/>
          <w:bCs/>
          <w:color w:val="auto"/>
          <w:lang w:eastAsia="zh-CN"/>
        </w:rPr>
        <w:t>，</w:t>
      </w:r>
      <w:r>
        <w:rPr>
          <w:rFonts w:hint="eastAsia" w:ascii="Times New Roman" w:hAnsi="Times New Roman"/>
          <w:bCs/>
          <w:color w:val="auto"/>
        </w:rPr>
        <w:t>并要求供应商提供技术说明书及相关资料；化学品的包装物、容器必须有专业检测机构检验合格才能使用；从事化学品运输、押运人员</w:t>
      </w:r>
      <w:r>
        <w:rPr>
          <w:rFonts w:hint="eastAsia" w:ascii="Times New Roman" w:hAnsi="Times New Roman"/>
          <w:bCs/>
          <w:color w:val="auto"/>
          <w:lang w:eastAsia="zh-CN"/>
        </w:rPr>
        <w:t>，</w:t>
      </w:r>
      <w:r>
        <w:rPr>
          <w:rFonts w:hint="eastAsia" w:ascii="Times New Roman" w:hAnsi="Times New Roman"/>
          <w:bCs/>
          <w:color w:val="auto"/>
        </w:rPr>
        <w:t>应经有关培训并取证后才能从事危险化学品运输、押运工作；运输化学品的车辆应悬挂危险化学品标志并不得在人口稠密地停留；运输、押运人员应配置合格的防护器材。</w:t>
      </w:r>
    </w:p>
    <w:p w14:paraId="747AE3B9">
      <w:pPr>
        <w:pStyle w:val="398"/>
        <w:spacing w:line="520" w:lineRule="exact"/>
        <w:rPr>
          <w:rFonts w:ascii="Times New Roman" w:hAnsi="Times New Roman"/>
          <w:bCs/>
          <w:color w:val="auto"/>
        </w:rPr>
      </w:pPr>
      <w:r>
        <w:rPr>
          <w:rFonts w:hint="eastAsia" w:ascii="Times New Roman" w:hAnsi="Times New Roman"/>
          <w:bCs/>
          <w:color w:val="auto"/>
        </w:rPr>
        <w:t>②</w:t>
      </w:r>
      <w:r>
        <w:rPr>
          <w:rFonts w:ascii="Times New Roman" w:hAnsi="Times New Roman"/>
          <w:bCs/>
          <w:color w:val="auto"/>
        </w:rPr>
        <w:t>对于运输化学品的车辆和装卸机械</w:t>
      </w:r>
      <w:r>
        <w:rPr>
          <w:rFonts w:hint="eastAsia" w:ascii="Times New Roman" w:hAnsi="Times New Roman"/>
          <w:bCs/>
          <w:color w:val="auto"/>
          <w:lang w:eastAsia="zh-CN"/>
        </w:rPr>
        <w:t>，</w:t>
      </w:r>
      <w:r>
        <w:rPr>
          <w:rFonts w:ascii="Times New Roman" w:hAnsi="Times New Roman"/>
          <w:bCs/>
          <w:color w:val="auto"/>
        </w:rPr>
        <w:t>必须符合</w:t>
      </w:r>
      <w:r>
        <w:rPr>
          <w:rStyle w:val="103"/>
          <w:color w:val="auto"/>
        </w:rPr>
        <w:t>《危险货物道路运输规则》</w:t>
      </w:r>
      <w:r>
        <w:rPr>
          <w:rFonts w:ascii="Times New Roman" w:hAnsi="Times New Roman" w:eastAsia="Microsoft YaHei UI"/>
          <w:color w:val="auto"/>
          <w:spacing w:val="15"/>
          <w:shd w:val="clear" w:color="auto" w:fill="FFFFFF"/>
        </w:rPr>
        <w:t>(JT/T617)</w:t>
      </w:r>
      <w:r>
        <w:rPr>
          <w:rFonts w:ascii="Times New Roman" w:hAnsi="Times New Roman"/>
          <w:bCs/>
          <w:color w:val="auto"/>
        </w:rPr>
        <w:t>规定的条件</w:t>
      </w:r>
      <w:r>
        <w:rPr>
          <w:rFonts w:hint="eastAsia" w:ascii="Times New Roman" w:hAnsi="Times New Roman"/>
          <w:bCs/>
          <w:color w:val="auto"/>
          <w:lang w:eastAsia="zh-CN"/>
        </w:rPr>
        <w:t>，</w:t>
      </w:r>
      <w:r>
        <w:rPr>
          <w:rFonts w:ascii="Times New Roman" w:hAnsi="Times New Roman"/>
          <w:bCs/>
          <w:color w:val="auto"/>
        </w:rPr>
        <w:t>并通过道路运输管理机关审验合格。汽车排气管道必须装有有效的隔热和熄灭火星的装置</w:t>
      </w:r>
      <w:r>
        <w:rPr>
          <w:rFonts w:hint="eastAsia" w:ascii="Times New Roman" w:hAnsi="Times New Roman"/>
          <w:bCs/>
          <w:color w:val="auto"/>
          <w:lang w:eastAsia="zh-CN"/>
        </w:rPr>
        <w:t>，</w:t>
      </w:r>
      <w:r>
        <w:rPr>
          <w:rFonts w:ascii="Times New Roman" w:hAnsi="Times New Roman"/>
          <w:bCs/>
          <w:color w:val="auto"/>
        </w:rPr>
        <w:t>电路系统有切断总电源和隔离电火花的装置；车辆左前方必须悬挂“危险品”字样的标志；车上应配有相应的消防器材；槽车及其设备必须符合相关要求；装卸机械等必须有足够的安全系数</w:t>
      </w:r>
      <w:r>
        <w:rPr>
          <w:rFonts w:hint="eastAsia" w:ascii="Times New Roman" w:hAnsi="Times New Roman"/>
          <w:bCs/>
          <w:color w:val="auto"/>
          <w:lang w:eastAsia="zh-CN"/>
        </w:rPr>
        <w:t>，</w:t>
      </w:r>
      <w:r>
        <w:rPr>
          <w:rFonts w:ascii="Times New Roman" w:hAnsi="Times New Roman"/>
          <w:bCs/>
          <w:color w:val="auto"/>
        </w:rPr>
        <w:t>必须有消除火花的措施等。</w:t>
      </w:r>
    </w:p>
    <w:p w14:paraId="06CE8AA4">
      <w:pPr>
        <w:pStyle w:val="398"/>
        <w:spacing w:line="520" w:lineRule="exact"/>
        <w:rPr>
          <w:rFonts w:ascii="Times New Roman" w:hAnsi="Times New Roman"/>
          <w:bCs/>
          <w:color w:val="auto"/>
        </w:rPr>
      </w:pPr>
      <w:r>
        <w:rPr>
          <w:rFonts w:hint="eastAsia" w:ascii="Times New Roman" w:hAnsi="Times New Roman"/>
          <w:bCs/>
          <w:color w:val="auto"/>
        </w:rPr>
        <w:t>③运输车辆在运输途中必须严格遵守交通、安全、消防的法规</w:t>
      </w:r>
      <w:r>
        <w:rPr>
          <w:rFonts w:hint="eastAsia" w:ascii="Times New Roman" w:hAnsi="Times New Roman"/>
          <w:bCs/>
          <w:color w:val="auto"/>
          <w:lang w:eastAsia="zh-CN"/>
        </w:rPr>
        <w:t>，</w:t>
      </w:r>
      <w:r>
        <w:rPr>
          <w:rFonts w:hint="eastAsia" w:ascii="Times New Roman" w:hAnsi="Times New Roman"/>
          <w:bCs/>
          <w:color w:val="auto"/>
        </w:rPr>
        <w:t>运输时控制车速</w:t>
      </w:r>
      <w:r>
        <w:rPr>
          <w:rFonts w:hint="eastAsia" w:ascii="Times New Roman" w:hAnsi="Times New Roman"/>
          <w:bCs/>
          <w:color w:val="auto"/>
          <w:lang w:eastAsia="zh-CN"/>
        </w:rPr>
        <w:t>，</w:t>
      </w:r>
      <w:r>
        <w:rPr>
          <w:rFonts w:hint="eastAsia" w:ascii="Times New Roman" w:hAnsi="Times New Roman"/>
          <w:bCs/>
          <w:color w:val="auto"/>
        </w:rPr>
        <w:t>保持与前车的合理距离</w:t>
      </w:r>
      <w:r>
        <w:rPr>
          <w:rFonts w:hint="eastAsia" w:ascii="Times New Roman" w:hAnsi="Times New Roman"/>
          <w:bCs/>
          <w:color w:val="auto"/>
          <w:lang w:eastAsia="zh-CN"/>
        </w:rPr>
        <w:t>，</w:t>
      </w:r>
      <w:r>
        <w:rPr>
          <w:rFonts w:hint="eastAsia" w:ascii="Times New Roman" w:hAnsi="Times New Roman"/>
          <w:bCs/>
          <w:color w:val="auto"/>
        </w:rPr>
        <w:t>严禁违规超车</w:t>
      </w:r>
      <w:r>
        <w:rPr>
          <w:rFonts w:hint="eastAsia" w:ascii="Times New Roman" w:hAnsi="Times New Roman"/>
          <w:bCs/>
          <w:color w:val="auto"/>
          <w:lang w:eastAsia="zh-CN"/>
        </w:rPr>
        <w:t>，</w:t>
      </w:r>
      <w:r>
        <w:rPr>
          <w:rFonts w:hint="eastAsia" w:ascii="Times New Roman" w:hAnsi="Times New Roman"/>
          <w:bCs/>
          <w:color w:val="auto"/>
        </w:rPr>
        <w:t>确保行车安全；运输车辆不得在居民区和行人稠密地段、政府机关、名胜古迹等敏感地段停车</w:t>
      </w:r>
      <w:r>
        <w:rPr>
          <w:rFonts w:hint="eastAsia" w:ascii="Times New Roman" w:hAnsi="Times New Roman"/>
          <w:bCs/>
          <w:color w:val="auto"/>
          <w:lang w:eastAsia="zh-CN"/>
        </w:rPr>
        <w:t>，</w:t>
      </w:r>
      <w:r>
        <w:rPr>
          <w:rFonts w:hint="eastAsia" w:ascii="Times New Roman" w:hAnsi="Times New Roman"/>
          <w:bCs/>
          <w:color w:val="auto"/>
        </w:rPr>
        <w:t>临时停车必须经当地公安部门同意并采取安全措施。</w:t>
      </w:r>
    </w:p>
    <w:p w14:paraId="0EE17ED5">
      <w:pPr>
        <w:pStyle w:val="398"/>
        <w:spacing w:line="520" w:lineRule="exact"/>
        <w:rPr>
          <w:rFonts w:ascii="Times New Roman" w:hAnsi="Times New Roman"/>
          <w:bCs/>
          <w:color w:val="auto"/>
        </w:rPr>
      </w:pPr>
      <w:r>
        <w:rPr>
          <w:rFonts w:hint="eastAsia" w:ascii="Times New Roman" w:hAnsi="Times New Roman"/>
          <w:bCs/>
          <w:color w:val="auto"/>
        </w:rPr>
        <w:t>④于运输车辆驾驶人员应该了解</w:t>
      </w:r>
      <w:r>
        <w:rPr>
          <w:rFonts w:ascii="Times New Roman" w:hAnsi="Times New Roman"/>
          <w:bCs/>
          <w:color w:val="auto"/>
        </w:rPr>
        <w:t>化学品</w:t>
      </w:r>
      <w:r>
        <w:rPr>
          <w:rFonts w:hint="eastAsia" w:ascii="Times New Roman" w:hAnsi="Times New Roman"/>
          <w:bCs/>
          <w:color w:val="auto"/>
        </w:rPr>
        <w:t>的属性</w:t>
      </w:r>
      <w:r>
        <w:rPr>
          <w:rFonts w:hint="eastAsia" w:ascii="Times New Roman" w:hAnsi="Times New Roman"/>
          <w:bCs/>
          <w:color w:val="auto"/>
          <w:lang w:eastAsia="zh-CN"/>
        </w:rPr>
        <w:t>，</w:t>
      </w:r>
      <w:r>
        <w:rPr>
          <w:rFonts w:hint="eastAsia" w:ascii="Times New Roman" w:hAnsi="Times New Roman"/>
          <w:bCs/>
          <w:color w:val="auto"/>
        </w:rPr>
        <w:t>并具备基本的救护常识</w:t>
      </w:r>
      <w:r>
        <w:rPr>
          <w:rFonts w:hint="eastAsia" w:ascii="Times New Roman" w:hAnsi="Times New Roman"/>
          <w:bCs/>
          <w:color w:val="auto"/>
          <w:lang w:eastAsia="zh-CN"/>
        </w:rPr>
        <w:t>，</w:t>
      </w:r>
      <w:r>
        <w:rPr>
          <w:rFonts w:hint="eastAsia" w:ascii="Times New Roman" w:hAnsi="Times New Roman"/>
          <w:bCs/>
          <w:color w:val="auto"/>
        </w:rPr>
        <w:t>在发生泄漏事故的情况下</w:t>
      </w:r>
      <w:r>
        <w:rPr>
          <w:rFonts w:hint="eastAsia" w:ascii="Times New Roman" w:hAnsi="Times New Roman"/>
          <w:bCs/>
          <w:color w:val="auto"/>
          <w:lang w:eastAsia="zh-CN"/>
        </w:rPr>
        <w:t>，</w:t>
      </w:r>
      <w:r>
        <w:rPr>
          <w:rFonts w:hint="eastAsia" w:ascii="Times New Roman" w:hAnsi="Times New Roman"/>
          <w:bCs/>
          <w:color w:val="auto"/>
        </w:rPr>
        <w:t>可以根据救护要求立即采取相应的措施</w:t>
      </w:r>
      <w:r>
        <w:rPr>
          <w:rFonts w:hint="eastAsia" w:ascii="Times New Roman" w:hAnsi="Times New Roman"/>
          <w:bCs/>
          <w:color w:val="auto"/>
          <w:lang w:eastAsia="zh-CN"/>
        </w:rPr>
        <w:t>，</w:t>
      </w:r>
      <w:r>
        <w:rPr>
          <w:rFonts w:hint="eastAsia" w:ascii="Times New Roman" w:hAnsi="Times New Roman"/>
          <w:bCs/>
          <w:color w:val="auto"/>
        </w:rPr>
        <w:t>并及时相当地主管部门报告。</w:t>
      </w:r>
    </w:p>
    <w:p w14:paraId="16DBAFB3">
      <w:pPr>
        <w:pStyle w:val="398"/>
        <w:spacing w:line="520" w:lineRule="exact"/>
        <w:rPr>
          <w:rFonts w:ascii="Times New Roman" w:hAnsi="Times New Roman"/>
          <w:bCs/>
          <w:color w:val="auto"/>
        </w:rPr>
      </w:pPr>
      <w:r>
        <w:rPr>
          <w:rFonts w:hint="eastAsia" w:ascii="Times New Roman" w:hAnsi="Times New Roman"/>
          <w:bCs/>
          <w:color w:val="auto"/>
        </w:rPr>
        <w:t>（2）</w:t>
      </w:r>
      <w:r>
        <w:rPr>
          <w:rFonts w:ascii="Times New Roman" w:hAnsi="Times New Roman"/>
          <w:bCs/>
          <w:color w:val="auto"/>
        </w:rPr>
        <w:t>化学品</w:t>
      </w:r>
      <w:r>
        <w:rPr>
          <w:rFonts w:hint="eastAsia" w:ascii="Times New Roman" w:hAnsi="Times New Roman"/>
          <w:bCs/>
          <w:color w:val="auto"/>
        </w:rPr>
        <w:t>的贮存、使用</w:t>
      </w:r>
    </w:p>
    <w:p w14:paraId="6E3238A1">
      <w:pPr>
        <w:pStyle w:val="398"/>
        <w:spacing w:line="520" w:lineRule="exact"/>
        <w:rPr>
          <w:rFonts w:ascii="Times New Roman" w:hAnsi="Times New Roman"/>
          <w:bCs/>
          <w:color w:val="auto"/>
        </w:rPr>
      </w:pPr>
      <w:r>
        <w:rPr>
          <w:rFonts w:hint="eastAsia" w:ascii="Times New Roman" w:hAnsi="Times New Roman"/>
          <w:bCs/>
          <w:color w:val="auto"/>
        </w:rPr>
        <w:t>①贮存场地应具备相关条件（如防晒、防潮、通风、防雷、防静电等）；建立健全安全规程及值勤制度</w:t>
      </w:r>
      <w:r>
        <w:rPr>
          <w:rFonts w:hint="eastAsia" w:ascii="Times New Roman" w:hAnsi="Times New Roman"/>
          <w:bCs/>
          <w:color w:val="auto"/>
          <w:lang w:eastAsia="zh-CN"/>
        </w:rPr>
        <w:t>，</w:t>
      </w:r>
      <w:r>
        <w:rPr>
          <w:rFonts w:hint="eastAsia" w:ascii="Times New Roman" w:hAnsi="Times New Roman"/>
          <w:bCs/>
          <w:color w:val="auto"/>
        </w:rPr>
        <w:t>设置通讯、报警装置</w:t>
      </w:r>
      <w:r>
        <w:rPr>
          <w:rFonts w:hint="eastAsia" w:ascii="Times New Roman" w:hAnsi="Times New Roman"/>
          <w:bCs/>
          <w:color w:val="auto"/>
          <w:lang w:eastAsia="zh-CN"/>
        </w:rPr>
        <w:t>，</w:t>
      </w:r>
      <w:r>
        <w:rPr>
          <w:rFonts w:hint="eastAsia" w:ascii="Times New Roman" w:hAnsi="Times New Roman"/>
          <w:bCs/>
          <w:color w:val="auto"/>
        </w:rPr>
        <w:t>确保其处于完好状态；对</w:t>
      </w:r>
      <w:r>
        <w:rPr>
          <w:rFonts w:ascii="Times New Roman" w:hAnsi="Times New Roman"/>
          <w:bCs/>
          <w:color w:val="auto"/>
        </w:rPr>
        <w:t>化学品</w:t>
      </w:r>
      <w:r>
        <w:rPr>
          <w:rFonts w:hint="eastAsia" w:ascii="Times New Roman" w:hAnsi="Times New Roman"/>
          <w:bCs/>
          <w:color w:val="auto"/>
        </w:rPr>
        <w:t>的贮罐</w:t>
      </w:r>
      <w:r>
        <w:rPr>
          <w:rFonts w:hint="eastAsia" w:ascii="Times New Roman" w:hAnsi="Times New Roman"/>
          <w:bCs/>
          <w:color w:val="auto"/>
          <w:lang w:eastAsia="zh-CN"/>
        </w:rPr>
        <w:t>，</w:t>
      </w:r>
      <w:r>
        <w:rPr>
          <w:rFonts w:hint="eastAsia" w:ascii="Times New Roman" w:hAnsi="Times New Roman"/>
          <w:bCs/>
          <w:color w:val="auto"/>
        </w:rPr>
        <w:t>应经有关检验部门定期检验合格后</w:t>
      </w:r>
      <w:r>
        <w:rPr>
          <w:rFonts w:hint="eastAsia" w:ascii="Times New Roman" w:hAnsi="Times New Roman"/>
          <w:bCs/>
          <w:color w:val="auto"/>
          <w:lang w:eastAsia="zh-CN"/>
        </w:rPr>
        <w:t>，</w:t>
      </w:r>
      <w:r>
        <w:rPr>
          <w:rFonts w:hint="eastAsia" w:ascii="Times New Roman" w:hAnsi="Times New Roman"/>
          <w:bCs/>
          <w:color w:val="auto"/>
        </w:rPr>
        <w:t>才能使用</w:t>
      </w:r>
      <w:r>
        <w:rPr>
          <w:rFonts w:hint="eastAsia" w:ascii="Times New Roman" w:hAnsi="Times New Roman"/>
          <w:bCs/>
          <w:color w:val="auto"/>
          <w:lang w:eastAsia="zh-CN"/>
        </w:rPr>
        <w:t>，</w:t>
      </w:r>
      <w:r>
        <w:rPr>
          <w:rFonts w:hint="eastAsia" w:ascii="Times New Roman" w:hAnsi="Times New Roman"/>
          <w:bCs/>
          <w:color w:val="auto"/>
        </w:rPr>
        <w:t>并设置明显的标识及警示牌；对使用</w:t>
      </w:r>
      <w:r>
        <w:rPr>
          <w:rFonts w:ascii="Times New Roman" w:hAnsi="Times New Roman"/>
          <w:bCs/>
          <w:color w:val="auto"/>
        </w:rPr>
        <w:t>化学品</w:t>
      </w:r>
      <w:r>
        <w:rPr>
          <w:rFonts w:hint="eastAsia" w:ascii="Times New Roman" w:hAnsi="Times New Roman"/>
          <w:bCs/>
          <w:color w:val="auto"/>
        </w:rPr>
        <w:t>的数量进行严格登记；凡贮存、使用</w:t>
      </w:r>
      <w:r>
        <w:rPr>
          <w:rFonts w:ascii="Times New Roman" w:hAnsi="Times New Roman"/>
          <w:bCs/>
          <w:color w:val="auto"/>
        </w:rPr>
        <w:t>化学品</w:t>
      </w:r>
      <w:r>
        <w:rPr>
          <w:rFonts w:hint="eastAsia" w:ascii="Times New Roman" w:hAnsi="Times New Roman"/>
          <w:bCs/>
          <w:color w:val="auto"/>
        </w:rPr>
        <w:t>的岗位</w:t>
      </w:r>
      <w:r>
        <w:rPr>
          <w:rFonts w:hint="eastAsia" w:ascii="Times New Roman" w:hAnsi="Times New Roman"/>
          <w:bCs/>
          <w:color w:val="auto"/>
          <w:lang w:eastAsia="zh-CN"/>
        </w:rPr>
        <w:t>，</w:t>
      </w:r>
      <w:r>
        <w:rPr>
          <w:rFonts w:hint="eastAsia" w:ascii="Times New Roman" w:hAnsi="Times New Roman"/>
          <w:bCs/>
          <w:color w:val="auto"/>
        </w:rPr>
        <w:t>都应配置合格的防毒器材、消防器材</w:t>
      </w:r>
      <w:r>
        <w:rPr>
          <w:rFonts w:hint="eastAsia" w:ascii="Times New Roman" w:hAnsi="Times New Roman"/>
          <w:bCs/>
          <w:color w:val="auto"/>
          <w:lang w:eastAsia="zh-CN"/>
        </w:rPr>
        <w:t>，</w:t>
      </w:r>
      <w:r>
        <w:rPr>
          <w:rFonts w:hint="eastAsia" w:ascii="Times New Roman" w:hAnsi="Times New Roman"/>
          <w:bCs/>
          <w:color w:val="auto"/>
        </w:rPr>
        <w:t>并确保其处于完好状态；所有进入贮存、使用</w:t>
      </w:r>
      <w:r>
        <w:rPr>
          <w:rFonts w:ascii="Times New Roman" w:hAnsi="Times New Roman"/>
          <w:bCs/>
          <w:color w:val="auto"/>
        </w:rPr>
        <w:t>化学品</w:t>
      </w:r>
      <w:r>
        <w:rPr>
          <w:rFonts w:hint="eastAsia" w:ascii="Times New Roman" w:hAnsi="Times New Roman"/>
          <w:bCs/>
          <w:color w:val="auto"/>
        </w:rPr>
        <w:t>的人员</w:t>
      </w:r>
      <w:r>
        <w:rPr>
          <w:rFonts w:hint="eastAsia" w:ascii="Times New Roman" w:hAnsi="Times New Roman"/>
          <w:bCs/>
          <w:color w:val="auto"/>
          <w:lang w:eastAsia="zh-CN"/>
        </w:rPr>
        <w:t>，</w:t>
      </w:r>
      <w:r>
        <w:rPr>
          <w:rFonts w:hint="eastAsia" w:ascii="Times New Roman" w:hAnsi="Times New Roman"/>
          <w:bCs/>
          <w:color w:val="auto"/>
        </w:rPr>
        <w:t>都必须严格遵守危险化学品管理制度。</w:t>
      </w:r>
    </w:p>
    <w:p w14:paraId="1777519D">
      <w:pPr>
        <w:pStyle w:val="398"/>
        <w:spacing w:line="520" w:lineRule="exact"/>
        <w:rPr>
          <w:rFonts w:ascii="Times New Roman" w:hAnsi="Times New Roman"/>
          <w:bCs/>
          <w:color w:val="auto"/>
        </w:rPr>
      </w:pPr>
      <w:r>
        <w:rPr>
          <w:rFonts w:hint="eastAsia" w:ascii="Times New Roman" w:hAnsi="Times New Roman"/>
          <w:bCs/>
          <w:color w:val="auto"/>
        </w:rPr>
        <w:t>②严格按《危险化学品安全管理条例》的要求</w:t>
      </w:r>
      <w:r>
        <w:rPr>
          <w:rFonts w:hint="eastAsia" w:ascii="Times New Roman" w:hAnsi="Times New Roman"/>
          <w:bCs/>
          <w:color w:val="auto"/>
          <w:lang w:eastAsia="zh-CN"/>
        </w:rPr>
        <w:t>，</w:t>
      </w:r>
      <w:r>
        <w:rPr>
          <w:rFonts w:hint="eastAsia" w:ascii="Times New Roman" w:hAnsi="Times New Roman"/>
          <w:bCs/>
          <w:color w:val="auto"/>
        </w:rPr>
        <w:t>加强管理；制定</w:t>
      </w:r>
      <w:r>
        <w:rPr>
          <w:rFonts w:ascii="Times New Roman" w:hAnsi="Times New Roman"/>
          <w:bCs/>
          <w:color w:val="auto"/>
        </w:rPr>
        <w:t>化学品</w:t>
      </w:r>
      <w:r>
        <w:rPr>
          <w:rFonts w:hint="eastAsia" w:ascii="Times New Roman" w:hAnsi="Times New Roman"/>
          <w:bCs/>
          <w:color w:val="auto"/>
        </w:rPr>
        <w:t>安全操作规程</w:t>
      </w:r>
      <w:r>
        <w:rPr>
          <w:rFonts w:hint="eastAsia" w:ascii="Times New Roman" w:hAnsi="Times New Roman"/>
          <w:bCs/>
          <w:color w:val="auto"/>
          <w:lang w:eastAsia="zh-CN"/>
        </w:rPr>
        <w:t>，</w:t>
      </w:r>
      <w:r>
        <w:rPr>
          <w:rFonts w:hint="eastAsia" w:ascii="Times New Roman" w:hAnsi="Times New Roman"/>
          <w:bCs/>
          <w:color w:val="auto"/>
        </w:rPr>
        <w:t>要求操作人员严格按操作规程作业；对从事</w:t>
      </w:r>
      <w:r>
        <w:rPr>
          <w:rFonts w:ascii="Times New Roman" w:hAnsi="Times New Roman"/>
          <w:bCs/>
          <w:color w:val="auto"/>
        </w:rPr>
        <w:t>化学品</w:t>
      </w:r>
      <w:r>
        <w:rPr>
          <w:rFonts w:hint="eastAsia" w:ascii="Times New Roman" w:hAnsi="Times New Roman"/>
          <w:bCs/>
          <w:color w:val="auto"/>
        </w:rPr>
        <w:t>作业人员定期进行安全培训教育；经常性对</w:t>
      </w:r>
      <w:r>
        <w:rPr>
          <w:rFonts w:ascii="Times New Roman" w:hAnsi="Times New Roman"/>
          <w:bCs/>
          <w:color w:val="auto"/>
        </w:rPr>
        <w:t>化学品</w:t>
      </w:r>
      <w:r>
        <w:rPr>
          <w:rFonts w:hint="eastAsia" w:ascii="Times New Roman" w:hAnsi="Times New Roman"/>
          <w:bCs/>
          <w:color w:val="auto"/>
        </w:rPr>
        <w:t>进行安全检查。</w:t>
      </w:r>
    </w:p>
    <w:p w14:paraId="0F2BE649">
      <w:pPr>
        <w:pStyle w:val="398"/>
        <w:spacing w:line="520" w:lineRule="exact"/>
        <w:rPr>
          <w:rFonts w:ascii="Times New Roman" w:hAnsi="Times New Roman"/>
          <w:bCs/>
          <w:color w:val="auto"/>
        </w:rPr>
      </w:pPr>
      <w:r>
        <w:rPr>
          <w:rFonts w:hint="eastAsia" w:ascii="Times New Roman" w:hAnsi="Times New Roman"/>
          <w:bCs/>
          <w:color w:val="auto"/>
        </w:rPr>
        <w:t>（3）总图布置和建筑安全防范措施</w:t>
      </w:r>
    </w:p>
    <w:p w14:paraId="45CFEF40">
      <w:pPr>
        <w:pStyle w:val="398"/>
        <w:spacing w:line="520" w:lineRule="exact"/>
        <w:rPr>
          <w:rFonts w:ascii="Times New Roman" w:hAnsi="Times New Roman"/>
          <w:bCs/>
          <w:color w:val="auto"/>
        </w:rPr>
      </w:pPr>
      <w:r>
        <w:rPr>
          <w:rFonts w:hint="eastAsia" w:ascii="Times New Roman" w:hAnsi="Times New Roman"/>
          <w:bCs/>
          <w:color w:val="auto"/>
        </w:rPr>
        <w:t>①总平面布置应根据功能分区布置</w:t>
      </w:r>
      <w:r>
        <w:rPr>
          <w:rFonts w:hint="eastAsia" w:ascii="Times New Roman" w:hAnsi="Times New Roman"/>
          <w:bCs/>
          <w:color w:val="auto"/>
          <w:lang w:eastAsia="zh-CN"/>
        </w:rPr>
        <w:t>，</w:t>
      </w:r>
      <w:r>
        <w:rPr>
          <w:rFonts w:hint="eastAsia" w:ascii="Times New Roman" w:hAnsi="Times New Roman"/>
          <w:bCs/>
          <w:color w:val="auto"/>
        </w:rPr>
        <w:t>保证装置的建筑物间距符合防火和安全的规定。</w:t>
      </w:r>
    </w:p>
    <w:p w14:paraId="1C32B904">
      <w:pPr>
        <w:pStyle w:val="398"/>
        <w:spacing w:line="520" w:lineRule="exact"/>
        <w:rPr>
          <w:rFonts w:ascii="Times New Roman" w:hAnsi="Times New Roman"/>
          <w:bCs/>
          <w:color w:val="auto"/>
        </w:rPr>
      </w:pPr>
      <w:r>
        <w:rPr>
          <w:rFonts w:hint="eastAsia" w:ascii="Times New Roman" w:hAnsi="Times New Roman"/>
          <w:bCs/>
          <w:color w:val="auto"/>
        </w:rPr>
        <w:t>②应严格执行安全及防火等有关规定</w:t>
      </w:r>
      <w:r>
        <w:rPr>
          <w:rFonts w:hint="eastAsia" w:ascii="Times New Roman" w:hAnsi="Times New Roman"/>
          <w:bCs/>
          <w:color w:val="auto"/>
          <w:lang w:eastAsia="zh-CN"/>
        </w:rPr>
        <w:t>，</w:t>
      </w:r>
      <w:r>
        <w:rPr>
          <w:rFonts w:hint="eastAsia" w:ascii="Times New Roman" w:hAnsi="Times New Roman"/>
          <w:bCs/>
          <w:color w:val="auto"/>
        </w:rPr>
        <w:t>建立完善的消防设施。施工时应严格执行《工业管道工程施工及验收规范》</w:t>
      </w:r>
      <w:r>
        <w:rPr>
          <w:rFonts w:hint="eastAsia" w:ascii="Times New Roman" w:hAnsi="Times New Roman"/>
          <w:bCs/>
          <w:color w:val="auto"/>
          <w:lang w:eastAsia="zh-CN"/>
        </w:rPr>
        <w:t>，</w:t>
      </w:r>
      <w:r>
        <w:rPr>
          <w:rFonts w:hint="eastAsia" w:ascii="Times New Roman" w:hAnsi="Times New Roman"/>
          <w:bCs/>
          <w:color w:val="auto"/>
        </w:rPr>
        <w:t>对车间的管道、阀门施工</w:t>
      </w:r>
      <w:r>
        <w:rPr>
          <w:rFonts w:hint="eastAsia" w:ascii="Times New Roman" w:hAnsi="Times New Roman"/>
          <w:bCs/>
          <w:color w:val="auto"/>
          <w:lang w:eastAsia="zh-CN"/>
        </w:rPr>
        <w:t>，</w:t>
      </w:r>
      <w:r>
        <w:rPr>
          <w:rFonts w:hint="eastAsia" w:ascii="Times New Roman" w:hAnsi="Times New Roman"/>
          <w:bCs/>
          <w:color w:val="auto"/>
        </w:rPr>
        <w:t>要做到不产生“跑、冒、滴、漏”。</w:t>
      </w:r>
    </w:p>
    <w:p w14:paraId="76DB7424">
      <w:pPr>
        <w:pStyle w:val="398"/>
        <w:spacing w:line="520" w:lineRule="exact"/>
        <w:rPr>
          <w:rFonts w:ascii="Times New Roman" w:hAnsi="Times New Roman"/>
          <w:bCs/>
          <w:color w:val="auto"/>
        </w:rPr>
      </w:pPr>
      <w:r>
        <w:rPr>
          <w:rFonts w:hint="eastAsia" w:ascii="Times New Roman" w:hAnsi="Times New Roman"/>
          <w:bCs/>
          <w:color w:val="auto"/>
        </w:rPr>
        <w:t>（4）安全生产防护措施</w:t>
      </w:r>
    </w:p>
    <w:p w14:paraId="6C2E33BA">
      <w:pPr>
        <w:pStyle w:val="398"/>
        <w:spacing w:line="520" w:lineRule="exact"/>
        <w:rPr>
          <w:rFonts w:ascii="Times New Roman" w:hAnsi="Times New Roman"/>
          <w:bCs/>
          <w:color w:val="auto"/>
        </w:rPr>
      </w:pPr>
      <w:r>
        <w:rPr>
          <w:rFonts w:hint="eastAsia" w:ascii="Times New Roman" w:hAnsi="Times New Roman"/>
          <w:bCs/>
          <w:color w:val="auto"/>
        </w:rPr>
        <w:t>①化学品贮罐上料系统管道、阀门、泵一用一备。</w:t>
      </w:r>
    </w:p>
    <w:p w14:paraId="71711814">
      <w:pPr>
        <w:pStyle w:val="102"/>
        <w:ind w:firstLine="480"/>
        <w:rPr>
          <w:color w:val="auto"/>
        </w:rPr>
      </w:pPr>
      <w:r>
        <w:rPr>
          <w:rFonts w:hint="eastAsia"/>
          <w:color w:val="auto"/>
        </w:rPr>
        <w:t>②严格管理</w:t>
      </w:r>
      <w:r>
        <w:rPr>
          <w:rFonts w:hint="eastAsia"/>
          <w:color w:val="auto"/>
          <w:lang w:eastAsia="zh-CN"/>
        </w:rPr>
        <w:t>，</w:t>
      </w:r>
      <w:r>
        <w:rPr>
          <w:rFonts w:hint="eastAsia"/>
          <w:color w:val="auto"/>
        </w:rPr>
        <w:t>减少和避免一切因人为因素造成的设备失灵。</w:t>
      </w:r>
    </w:p>
    <w:p w14:paraId="44428973">
      <w:pPr>
        <w:pStyle w:val="102"/>
        <w:ind w:firstLine="480"/>
        <w:rPr>
          <w:color w:val="auto"/>
        </w:rPr>
      </w:pPr>
      <w:r>
        <w:rPr>
          <w:rFonts w:hint="eastAsia"/>
          <w:color w:val="auto"/>
        </w:rPr>
        <w:t>③经常检查各种装置的运行情况。对管道、阀门等装置作定期操作检查及时发现隐患</w:t>
      </w:r>
      <w:r>
        <w:rPr>
          <w:rFonts w:hint="eastAsia"/>
          <w:color w:val="auto"/>
          <w:lang w:eastAsia="zh-CN"/>
        </w:rPr>
        <w:t>，</w:t>
      </w:r>
      <w:r>
        <w:rPr>
          <w:rFonts w:hint="eastAsia"/>
          <w:color w:val="auto"/>
        </w:rPr>
        <w:t>是预防事故发生重要措施；为实现装置安全</w:t>
      </w:r>
      <w:r>
        <w:rPr>
          <w:rFonts w:hint="eastAsia"/>
          <w:color w:val="auto"/>
          <w:lang w:eastAsia="zh-CN"/>
        </w:rPr>
        <w:t>，</w:t>
      </w:r>
      <w:r>
        <w:rPr>
          <w:rFonts w:hint="eastAsia"/>
          <w:color w:val="auto"/>
        </w:rPr>
        <w:t>还应在可能泄漏有害物质的场所采用敞开式布置</w:t>
      </w:r>
      <w:r>
        <w:rPr>
          <w:rFonts w:hint="eastAsia"/>
          <w:color w:val="auto"/>
          <w:lang w:eastAsia="zh-CN"/>
        </w:rPr>
        <w:t>，</w:t>
      </w:r>
      <w:r>
        <w:rPr>
          <w:rFonts w:hint="eastAsia"/>
          <w:color w:val="auto"/>
        </w:rPr>
        <w:t>使之通风良好</w:t>
      </w:r>
      <w:r>
        <w:rPr>
          <w:rFonts w:hint="eastAsia"/>
          <w:color w:val="auto"/>
          <w:lang w:eastAsia="zh-CN"/>
        </w:rPr>
        <w:t>，</w:t>
      </w:r>
      <w:r>
        <w:rPr>
          <w:rFonts w:hint="eastAsia"/>
          <w:color w:val="auto"/>
        </w:rPr>
        <w:t>防止有害气体累积；通过安全自控仪表加强对重要参数进行自动控制</w:t>
      </w:r>
      <w:r>
        <w:rPr>
          <w:rFonts w:hint="eastAsia"/>
          <w:color w:val="auto"/>
          <w:lang w:eastAsia="zh-CN"/>
        </w:rPr>
        <w:t>，</w:t>
      </w:r>
      <w:r>
        <w:rPr>
          <w:rFonts w:hint="eastAsia"/>
          <w:color w:val="auto"/>
        </w:rPr>
        <w:t>对关键性设备部件进行定期交换</w:t>
      </w:r>
      <w:r>
        <w:rPr>
          <w:rFonts w:hint="eastAsia"/>
          <w:color w:val="auto"/>
          <w:lang w:eastAsia="zh-CN"/>
        </w:rPr>
        <w:t>，</w:t>
      </w:r>
      <w:r>
        <w:rPr>
          <w:rFonts w:hint="eastAsia"/>
          <w:color w:val="auto"/>
        </w:rPr>
        <w:t>防止设备失灵引起事故。</w:t>
      </w:r>
    </w:p>
    <w:p w14:paraId="74E36BB9">
      <w:pPr>
        <w:pStyle w:val="398"/>
        <w:spacing w:line="520" w:lineRule="exact"/>
        <w:rPr>
          <w:rFonts w:ascii="Times New Roman" w:hAnsi="Times New Roman"/>
          <w:bCs/>
          <w:color w:val="auto"/>
        </w:rPr>
      </w:pPr>
      <w:r>
        <w:rPr>
          <w:rFonts w:hint="eastAsia"/>
          <w:color w:val="auto"/>
        </w:rPr>
        <w:t>④贮罐区安装泄漏报警装置</w:t>
      </w:r>
      <w:r>
        <w:rPr>
          <w:rFonts w:hint="eastAsia"/>
          <w:color w:val="auto"/>
          <w:lang w:eastAsia="zh-CN"/>
        </w:rPr>
        <w:t>，</w:t>
      </w:r>
      <w:r>
        <w:rPr>
          <w:rFonts w:hint="eastAsia" w:ascii="Times New Roman" w:hAnsi="Times New Roman"/>
          <w:bCs/>
          <w:color w:val="auto"/>
        </w:rPr>
        <w:t>化学品输送系统采用自动检测控制系统</w:t>
      </w:r>
      <w:r>
        <w:rPr>
          <w:rFonts w:hint="eastAsia" w:ascii="Times New Roman" w:hAnsi="Times New Roman"/>
          <w:bCs/>
          <w:color w:val="auto"/>
          <w:lang w:eastAsia="zh-CN"/>
        </w:rPr>
        <w:t>，</w:t>
      </w:r>
      <w:r>
        <w:rPr>
          <w:rFonts w:hint="eastAsia" w:ascii="Times New Roman" w:hAnsi="Times New Roman"/>
          <w:bCs/>
          <w:color w:val="auto"/>
        </w:rPr>
        <w:t>管线两端设置自动控制阀</w:t>
      </w:r>
      <w:r>
        <w:rPr>
          <w:rFonts w:hint="eastAsia" w:ascii="Times New Roman" w:hAnsi="Times New Roman"/>
          <w:bCs/>
          <w:color w:val="auto"/>
          <w:lang w:eastAsia="zh-CN"/>
        </w:rPr>
        <w:t>，</w:t>
      </w:r>
      <w:r>
        <w:rPr>
          <w:rFonts w:hint="eastAsia" w:ascii="Times New Roman" w:hAnsi="Times New Roman"/>
          <w:bCs/>
          <w:color w:val="auto"/>
        </w:rPr>
        <w:t>当系统检测出化学品泄漏后</w:t>
      </w:r>
      <w:r>
        <w:rPr>
          <w:rFonts w:hint="eastAsia" w:ascii="Times New Roman" w:hAnsi="Times New Roman"/>
          <w:bCs/>
          <w:color w:val="auto"/>
          <w:lang w:eastAsia="zh-CN"/>
        </w:rPr>
        <w:t>，</w:t>
      </w:r>
      <w:r>
        <w:rPr>
          <w:rFonts w:hint="eastAsia" w:ascii="Times New Roman" w:hAnsi="Times New Roman"/>
          <w:bCs/>
          <w:color w:val="auto"/>
        </w:rPr>
        <w:t>可及时关闭化学品供应系统</w:t>
      </w:r>
      <w:r>
        <w:rPr>
          <w:rFonts w:hint="eastAsia" w:ascii="Times New Roman" w:hAnsi="Times New Roman"/>
          <w:bCs/>
          <w:color w:val="auto"/>
          <w:lang w:eastAsia="zh-CN"/>
        </w:rPr>
        <w:t>，</w:t>
      </w:r>
      <w:r>
        <w:rPr>
          <w:rFonts w:hint="eastAsia" w:ascii="Times New Roman" w:hAnsi="Times New Roman"/>
          <w:bCs/>
          <w:color w:val="auto"/>
        </w:rPr>
        <w:t>减少化学品泄漏量。</w:t>
      </w:r>
    </w:p>
    <w:p w14:paraId="4551C08C">
      <w:pPr>
        <w:pStyle w:val="102"/>
        <w:ind w:firstLine="480"/>
        <w:rPr>
          <w:color w:val="auto"/>
        </w:rPr>
      </w:pPr>
      <w:r>
        <w:rPr>
          <w:rFonts w:hint="eastAsia"/>
          <w:color w:val="auto"/>
        </w:rPr>
        <w:t>⑤化学品储罐采用不锈钢专用储罐</w:t>
      </w:r>
      <w:r>
        <w:rPr>
          <w:rFonts w:hint="eastAsia"/>
          <w:color w:val="auto"/>
          <w:lang w:eastAsia="zh-CN"/>
        </w:rPr>
        <w:t>，</w:t>
      </w:r>
      <w:r>
        <w:rPr>
          <w:rFonts w:hint="eastAsia"/>
          <w:color w:val="auto"/>
        </w:rPr>
        <w:t>从而保证储罐的安全使用。</w:t>
      </w:r>
    </w:p>
    <w:p w14:paraId="2378E945">
      <w:pPr>
        <w:pStyle w:val="102"/>
        <w:ind w:firstLine="480"/>
        <w:rPr>
          <w:color w:val="auto"/>
        </w:rPr>
      </w:pPr>
      <w:r>
        <w:rPr>
          <w:rFonts w:hint="eastAsia"/>
          <w:color w:val="auto"/>
        </w:rPr>
        <w:t>⑥生产区和存储区四周设置0</w:t>
      </w:r>
      <w:r>
        <w:rPr>
          <w:color w:val="auto"/>
        </w:rPr>
        <w:t>.</w:t>
      </w:r>
      <w:r>
        <w:rPr>
          <w:rFonts w:hint="eastAsia"/>
          <w:color w:val="auto"/>
          <w:lang w:val="en-US" w:eastAsia="zh-CN"/>
        </w:rPr>
        <w:t>5</w:t>
      </w:r>
      <w:r>
        <w:rPr>
          <w:rFonts w:hint="eastAsia"/>
          <w:color w:val="auto"/>
        </w:rPr>
        <w:t>m高防渗围堰</w:t>
      </w:r>
      <w:r>
        <w:rPr>
          <w:rFonts w:hint="eastAsia"/>
          <w:color w:val="auto"/>
          <w:lang w:eastAsia="zh-CN"/>
        </w:rPr>
        <w:t>，</w:t>
      </w:r>
      <w:r>
        <w:rPr>
          <w:rFonts w:hint="eastAsia"/>
          <w:color w:val="auto"/>
        </w:rPr>
        <w:t>采用防渗混凝土结构</w:t>
      </w:r>
      <w:r>
        <w:rPr>
          <w:rFonts w:hint="eastAsia"/>
          <w:color w:val="auto"/>
          <w:lang w:eastAsia="zh-CN"/>
        </w:rPr>
        <w:t>，</w:t>
      </w:r>
      <w:r>
        <w:rPr>
          <w:color w:val="auto"/>
        </w:rPr>
        <w:t>渗透系数≤10</w:t>
      </w:r>
      <w:r>
        <w:rPr>
          <w:color w:val="auto"/>
          <w:vertAlign w:val="superscript"/>
        </w:rPr>
        <w:t>-10</w:t>
      </w:r>
      <w:r>
        <w:rPr>
          <w:color w:val="auto"/>
        </w:rPr>
        <w:t>cm/s</w:t>
      </w:r>
      <w:r>
        <w:rPr>
          <w:rFonts w:hint="eastAsia"/>
          <w:color w:val="auto"/>
          <w:lang w:eastAsia="zh-CN"/>
        </w:rPr>
        <w:t>，</w:t>
      </w:r>
      <w:r>
        <w:rPr>
          <w:rFonts w:hint="eastAsia"/>
          <w:color w:val="auto"/>
        </w:rPr>
        <w:t>围堰内有效容积</w:t>
      </w:r>
      <w:r>
        <w:rPr>
          <w:color w:val="auto"/>
        </w:rPr>
        <w:t>48</w:t>
      </w:r>
      <w:r>
        <w:rPr>
          <w:rFonts w:hint="eastAsia"/>
          <w:color w:val="auto"/>
        </w:rPr>
        <w:t>m</w:t>
      </w:r>
      <w:r>
        <w:rPr>
          <w:color w:val="auto"/>
          <w:vertAlign w:val="superscript"/>
        </w:rPr>
        <w:t>3</w:t>
      </w:r>
      <w:r>
        <w:rPr>
          <w:rFonts w:hint="eastAsia"/>
          <w:color w:val="auto"/>
        </w:rPr>
        <w:t>（大于车间总的物料存在量）；车间设置泄漏报警及监控装置</w:t>
      </w:r>
      <w:r>
        <w:rPr>
          <w:rFonts w:hint="eastAsia"/>
          <w:color w:val="auto"/>
          <w:lang w:eastAsia="zh-CN"/>
        </w:rPr>
        <w:t>，</w:t>
      </w:r>
      <w:r>
        <w:rPr>
          <w:rFonts w:hint="eastAsia"/>
          <w:color w:val="auto"/>
        </w:rPr>
        <w:t>一旦泄漏及时发现并处理。</w:t>
      </w:r>
    </w:p>
    <w:p w14:paraId="724277C3">
      <w:pPr>
        <w:pStyle w:val="2"/>
        <w:spacing w:before="120" w:after="120"/>
        <w:rPr>
          <w:color w:val="auto"/>
        </w:rPr>
      </w:pPr>
      <w:r>
        <w:rPr>
          <w:rFonts w:hint="eastAsia"/>
          <w:color w:val="auto"/>
        </w:rPr>
        <w:t>6</w:t>
      </w:r>
      <w:r>
        <w:rPr>
          <w:color w:val="auto"/>
        </w:rPr>
        <w:t>.2</w:t>
      </w:r>
      <w:r>
        <w:rPr>
          <w:rFonts w:hint="eastAsia"/>
          <w:color w:val="auto"/>
        </w:rPr>
        <w:t>事故应急措施</w:t>
      </w:r>
    </w:p>
    <w:p w14:paraId="71F66918">
      <w:pPr>
        <w:pStyle w:val="102"/>
        <w:ind w:firstLine="480"/>
        <w:rPr>
          <w:color w:val="auto"/>
        </w:rPr>
      </w:pPr>
      <w:r>
        <w:rPr>
          <w:rFonts w:hint="eastAsia"/>
          <w:color w:val="auto"/>
        </w:rPr>
        <w:t>（1）企业建立由主要负责人牵头</w:t>
      </w:r>
      <w:r>
        <w:rPr>
          <w:rFonts w:hint="eastAsia"/>
          <w:color w:val="auto"/>
          <w:lang w:eastAsia="zh-CN"/>
        </w:rPr>
        <w:t>，</w:t>
      </w:r>
      <w:r>
        <w:rPr>
          <w:rFonts w:hint="eastAsia"/>
          <w:color w:val="auto"/>
        </w:rPr>
        <w:t>相关部门负责人参加的应急事故处理指挥部</w:t>
      </w:r>
      <w:r>
        <w:rPr>
          <w:rFonts w:hint="eastAsia"/>
          <w:color w:val="auto"/>
          <w:lang w:eastAsia="zh-CN"/>
        </w:rPr>
        <w:t>，</w:t>
      </w:r>
      <w:r>
        <w:rPr>
          <w:rFonts w:hint="eastAsia"/>
          <w:color w:val="auto"/>
        </w:rPr>
        <w:t>一旦事故发生</w:t>
      </w:r>
      <w:r>
        <w:rPr>
          <w:rFonts w:hint="eastAsia"/>
          <w:color w:val="auto"/>
          <w:lang w:eastAsia="zh-CN"/>
        </w:rPr>
        <w:t>，</w:t>
      </w:r>
      <w:r>
        <w:rPr>
          <w:rFonts w:hint="eastAsia"/>
          <w:color w:val="auto"/>
        </w:rPr>
        <w:t>该机构能根据事故的严重程度及危害迅速做出评估</w:t>
      </w:r>
      <w:r>
        <w:rPr>
          <w:rFonts w:hint="eastAsia"/>
          <w:color w:val="auto"/>
          <w:lang w:eastAsia="zh-CN"/>
        </w:rPr>
        <w:t>，</w:t>
      </w:r>
      <w:r>
        <w:rPr>
          <w:rFonts w:hint="eastAsia"/>
          <w:color w:val="auto"/>
        </w:rPr>
        <w:t>按照拟定的事故应急方案指挥、 协调事故的处理</w:t>
      </w:r>
      <w:r>
        <w:rPr>
          <w:rFonts w:hint="eastAsia"/>
          <w:color w:val="auto"/>
          <w:lang w:eastAsia="zh-CN"/>
        </w:rPr>
        <w:t>，</w:t>
      </w:r>
      <w:r>
        <w:rPr>
          <w:rFonts w:hint="eastAsia"/>
          <w:color w:val="auto"/>
        </w:rPr>
        <w:t>对事故发展进行跟踪。</w:t>
      </w:r>
    </w:p>
    <w:p w14:paraId="54ABBA29">
      <w:pPr>
        <w:pStyle w:val="102"/>
        <w:ind w:firstLine="480"/>
        <w:rPr>
          <w:color w:val="auto"/>
        </w:rPr>
      </w:pPr>
      <w:r>
        <w:rPr>
          <w:rFonts w:hint="eastAsia"/>
          <w:color w:val="auto"/>
        </w:rPr>
        <w:t>（</w:t>
      </w:r>
      <w:r>
        <w:rPr>
          <w:color w:val="auto"/>
        </w:rPr>
        <w:t>3</w:t>
      </w:r>
      <w:r>
        <w:rPr>
          <w:rFonts w:hint="eastAsia"/>
          <w:color w:val="auto"/>
        </w:rPr>
        <w:t>）针对可能发生的泄漏、管道输送事故、火灾事故制定具体的应急处理方案</w:t>
      </w:r>
      <w:r>
        <w:rPr>
          <w:rFonts w:hint="eastAsia"/>
          <w:color w:val="auto"/>
          <w:lang w:eastAsia="zh-CN"/>
        </w:rPr>
        <w:t>，</w:t>
      </w:r>
      <w:r>
        <w:rPr>
          <w:rFonts w:hint="eastAsia"/>
          <w:color w:val="auto"/>
        </w:rPr>
        <w:t>使各部门在事故发生后都能有步骤、有秩序地采取各项应急措施。</w:t>
      </w:r>
    </w:p>
    <w:p w14:paraId="23CB27FA">
      <w:pPr>
        <w:pStyle w:val="102"/>
        <w:ind w:firstLine="480"/>
        <w:rPr>
          <w:color w:val="auto"/>
        </w:rPr>
      </w:pPr>
      <w:r>
        <w:rPr>
          <w:rFonts w:hint="eastAsia"/>
          <w:color w:val="auto"/>
        </w:rPr>
        <w:t>（</w:t>
      </w:r>
      <w:r>
        <w:rPr>
          <w:color w:val="auto"/>
        </w:rPr>
        <w:t>3</w:t>
      </w:r>
      <w:r>
        <w:rPr>
          <w:rFonts w:hint="eastAsia"/>
          <w:color w:val="auto"/>
        </w:rPr>
        <w:t>）建立一支装备先进、训练有素的抢险队伍</w:t>
      </w:r>
      <w:r>
        <w:rPr>
          <w:rFonts w:hint="eastAsia"/>
          <w:color w:val="auto"/>
          <w:lang w:eastAsia="zh-CN"/>
        </w:rPr>
        <w:t>，</w:t>
      </w:r>
      <w:r>
        <w:rPr>
          <w:rFonts w:hint="eastAsia"/>
          <w:color w:val="auto"/>
        </w:rPr>
        <w:t>分为救援抢险队、治安保卫队、医疗救护队和后勤保障队</w:t>
      </w:r>
      <w:r>
        <w:rPr>
          <w:rFonts w:hint="eastAsia"/>
          <w:color w:val="auto"/>
          <w:lang w:eastAsia="zh-CN"/>
        </w:rPr>
        <w:t>，</w:t>
      </w:r>
      <w:r>
        <w:rPr>
          <w:rFonts w:hint="eastAsia"/>
          <w:color w:val="auto"/>
        </w:rPr>
        <w:t>并定期组织演练</w:t>
      </w:r>
      <w:r>
        <w:rPr>
          <w:rFonts w:hint="eastAsia"/>
          <w:color w:val="auto"/>
          <w:lang w:eastAsia="zh-CN"/>
        </w:rPr>
        <w:t>，</w:t>
      </w:r>
      <w:r>
        <w:rPr>
          <w:rFonts w:hint="eastAsia"/>
          <w:color w:val="auto"/>
        </w:rPr>
        <w:t>一旦发生事故能以最快的速度投入应急抢险工作。</w:t>
      </w:r>
    </w:p>
    <w:p w14:paraId="02C2583C">
      <w:pPr>
        <w:pStyle w:val="102"/>
        <w:ind w:firstLine="480"/>
        <w:rPr>
          <w:color w:val="auto"/>
        </w:rPr>
      </w:pPr>
      <w:r>
        <w:rPr>
          <w:rFonts w:hint="eastAsia"/>
          <w:color w:val="auto"/>
        </w:rPr>
        <w:t>（</w:t>
      </w:r>
      <w:r>
        <w:rPr>
          <w:color w:val="auto"/>
        </w:rPr>
        <w:t>4</w:t>
      </w:r>
      <w:r>
        <w:rPr>
          <w:rFonts w:hint="eastAsia"/>
          <w:color w:val="auto"/>
        </w:rPr>
        <w:t>）配备足够的应急所需的处理设备和材料</w:t>
      </w:r>
      <w:r>
        <w:rPr>
          <w:rFonts w:hint="eastAsia"/>
          <w:color w:val="auto"/>
          <w:lang w:eastAsia="zh-CN"/>
        </w:rPr>
        <w:t>，</w:t>
      </w:r>
      <w:r>
        <w:rPr>
          <w:rFonts w:hint="eastAsia"/>
          <w:color w:val="auto"/>
        </w:rPr>
        <w:t>如各种消防防化服</w:t>
      </w:r>
      <w:r>
        <w:rPr>
          <w:rFonts w:hint="eastAsia"/>
          <w:color w:val="auto"/>
          <w:lang w:eastAsia="zh-CN"/>
        </w:rPr>
        <w:t>，</w:t>
      </w:r>
      <w:r>
        <w:rPr>
          <w:rFonts w:hint="eastAsia"/>
          <w:color w:val="auto"/>
        </w:rPr>
        <w:t>报警装置</w:t>
      </w:r>
      <w:r>
        <w:rPr>
          <w:rFonts w:hint="eastAsia"/>
          <w:color w:val="auto"/>
          <w:lang w:eastAsia="zh-CN"/>
        </w:rPr>
        <w:t>，</w:t>
      </w:r>
      <w:r>
        <w:rPr>
          <w:rFonts w:hint="eastAsia"/>
          <w:color w:val="auto"/>
        </w:rPr>
        <w:t>个人防护用品以及堵漏器材等。</w:t>
      </w:r>
    </w:p>
    <w:p w14:paraId="2DA14982">
      <w:pPr>
        <w:pStyle w:val="102"/>
        <w:ind w:firstLine="480"/>
        <w:rPr>
          <w:color w:val="auto"/>
        </w:rPr>
      </w:pPr>
      <w:r>
        <w:rPr>
          <w:rFonts w:hint="eastAsia"/>
          <w:color w:val="auto"/>
        </w:rPr>
        <w:t>（</w:t>
      </w:r>
      <w:r>
        <w:rPr>
          <w:color w:val="auto"/>
        </w:rPr>
        <w:t>5</w:t>
      </w:r>
      <w:r>
        <w:rPr>
          <w:rFonts w:hint="eastAsia"/>
          <w:color w:val="auto"/>
        </w:rPr>
        <w:t>）一旦发生泄漏事故</w:t>
      </w:r>
      <w:r>
        <w:rPr>
          <w:rFonts w:hint="eastAsia"/>
          <w:color w:val="auto"/>
          <w:lang w:eastAsia="zh-CN"/>
        </w:rPr>
        <w:t>，</w:t>
      </w:r>
      <w:r>
        <w:rPr>
          <w:rFonts w:hint="eastAsia"/>
          <w:color w:val="auto"/>
        </w:rPr>
        <w:t>应迅速进行隔离</w:t>
      </w:r>
      <w:r>
        <w:rPr>
          <w:rFonts w:hint="eastAsia"/>
          <w:color w:val="auto"/>
          <w:lang w:eastAsia="zh-CN"/>
        </w:rPr>
        <w:t>，</w:t>
      </w:r>
      <w:r>
        <w:rPr>
          <w:rFonts w:hint="eastAsia"/>
          <w:color w:val="auto"/>
        </w:rPr>
        <w:t>严格限制人员进入隔离区</w:t>
      </w:r>
      <w:r>
        <w:rPr>
          <w:rFonts w:hint="eastAsia"/>
          <w:color w:val="auto"/>
          <w:lang w:eastAsia="zh-CN"/>
        </w:rPr>
        <w:t>，</w:t>
      </w:r>
      <w:r>
        <w:rPr>
          <w:rFonts w:hint="eastAsia"/>
          <w:color w:val="auto"/>
        </w:rPr>
        <w:t>应急人员佩戴自给正压式呼吸器</w:t>
      </w:r>
      <w:r>
        <w:rPr>
          <w:rFonts w:hint="eastAsia"/>
          <w:color w:val="auto"/>
          <w:lang w:eastAsia="zh-CN"/>
        </w:rPr>
        <w:t>，</w:t>
      </w:r>
      <w:r>
        <w:rPr>
          <w:rFonts w:hint="eastAsia"/>
          <w:color w:val="auto"/>
        </w:rPr>
        <w:t>穿消防防化服</w:t>
      </w:r>
      <w:r>
        <w:rPr>
          <w:rFonts w:hint="eastAsia"/>
          <w:color w:val="auto"/>
          <w:lang w:eastAsia="zh-CN"/>
        </w:rPr>
        <w:t>，</w:t>
      </w:r>
      <w:r>
        <w:rPr>
          <w:rFonts w:hint="eastAsia"/>
          <w:color w:val="auto"/>
        </w:rPr>
        <w:t>不得穿化纤类服装、铁钉鞋</w:t>
      </w:r>
      <w:r>
        <w:rPr>
          <w:rFonts w:hint="eastAsia"/>
          <w:color w:val="auto"/>
          <w:lang w:eastAsia="zh-CN"/>
        </w:rPr>
        <w:t>，</w:t>
      </w:r>
      <w:r>
        <w:rPr>
          <w:rFonts w:hint="eastAsia"/>
          <w:color w:val="auto"/>
        </w:rPr>
        <w:t>以防止静电及火花产生爆炸。</w:t>
      </w:r>
    </w:p>
    <w:p w14:paraId="17811B51">
      <w:pPr>
        <w:pStyle w:val="102"/>
        <w:ind w:firstLine="480"/>
        <w:rPr>
          <w:color w:val="auto"/>
        </w:rPr>
      </w:pPr>
      <w:r>
        <w:rPr>
          <w:rFonts w:hint="eastAsia"/>
          <w:color w:val="auto"/>
        </w:rPr>
        <w:t>（</w:t>
      </w:r>
      <w:r>
        <w:rPr>
          <w:color w:val="auto"/>
        </w:rPr>
        <w:t>6</w:t>
      </w:r>
      <w:r>
        <w:rPr>
          <w:rFonts w:hint="eastAsia"/>
          <w:color w:val="auto"/>
        </w:rPr>
        <w:t>）一旦发生泄漏事故</w:t>
      </w:r>
      <w:r>
        <w:rPr>
          <w:rFonts w:hint="eastAsia"/>
          <w:color w:val="auto"/>
          <w:lang w:eastAsia="zh-CN"/>
        </w:rPr>
        <w:t>，</w:t>
      </w:r>
      <w:r>
        <w:rPr>
          <w:rFonts w:hint="eastAsia"/>
          <w:color w:val="auto"/>
        </w:rPr>
        <w:t>如果溢出物料流淌</w:t>
      </w:r>
      <w:r>
        <w:rPr>
          <w:rFonts w:hint="eastAsia"/>
          <w:color w:val="auto"/>
          <w:lang w:eastAsia="zh-CN"/>
        </w:rPr>
        <w:t>，</w:t>
      </w:r>
      <w:r>
        <w:rPr>
          <w:rFonts w:hint="eastAsia"/>
          <w:color w:val="auto"/>
        </w:rPr>
        <w:t>立即通过收集</w:t>
      </w:r>
      <w:r>
        <w:rPr>
          <w:color w:val="auto"/>
        </w:rPr>
        <w:t>装置收集至备用容器中</w:t>
      </w:r>
      <w:r>
        <w:rPr>
          <w:rFonts w:hint="eastAsia"/>
          <w:color w:val="auto"/>
          <w:lang w:eastAsia="zh-CN"/>
        </w:rPr>
        <w:t>，</w:t>
      </w:r>
      <w:r>
        <w:rPr>
          <w:rFonts w:hint="eastAsia"/>
          <w:color w:val="auto"/>
        </w:rPr>
        <w:t>地面</w:t>
      </w:r>
      <w:r>
        <w:rPr>
          <w:color w:val="auto"/>
        </w:rPr>
        <w:t>尽快</w:t>
      </w:r>
      <w:r>
        <w:rPr>
          <w:rFonts w:hint="eastAsia"/>
          <w:color w:val="auto"/>
        </w:rPr>
        <w:t>采用沙土</w:t>
      </w:r>
      <w:r>
        <w:rPr>
          <w:color w:val="auto"/>
        </w:rPr>
        <w:t>等进行清理</w:t>
      </w:r>
      <w:r>
        <w:rPr>
          <w:rFonts w:hint="eastAsia"/>
          <w:color w:val="auto"/>
        </w:rPr>
        <w:t>。</w:t>
      </w:r>
    </w:p>
    <w:p w14:paraId="55CD25EB">
      <w:pPr>
        <w:pStyle w:val="2"/>
        <w:spacing w:before="120" w:after="120"/>
        <w:rPr>
          <w:color w:val="auto"/>
        </w:rPr>
      </w:pPr>
      <w:r>
        <w:rPr>
          <w:rFonts w:hint="eastAsia"/>
          <w:color w:val="auto"/>
        </w:rPr>
        <w:t>6</w:t>
      </w:r>
      <w:r>
        <w:rPr>
          <w:color w:val="auto"/>
        </w:rPr>
        <w:t>.3应急预案</w:t>
      </w:r>
    </w:p>
    <w:p w14:paraId="2C2DA818">
      <w:pPr>
        <w:snapToGrid w:val="0"/>
        <w:spacing w:line="520" w:lineRule="exact"/>
        <w:ind w:firstLine="480" w:firstLineChars="200"/>
        <w:rPr>
          <w:color w:val="auto"/>
          <w:sz w:val="24"/>
        </w:rPr>
      </w:pPr>
      <w:r>
        <w:rPr>
          <w:color w:val="auto"/>
          <w:sz w:val="24"/>
        </w:rPr>
        <w:t>由于自然灾害或人为原因</w:t>
      </w:r>
      <w:r>
        <w:rPr>
          <w:rFonts w:hint="eastAsia"/>
          <w:color w:val="auto"/>
          <w:sz w:val="24"/>
          <w:lang w:eastAsia="zh-CN"/>
        </w:rPr>
        <w:t>，</w:t>
      </w:r>
      <w:r>
        <w:rPr>
          <w:color w:val="auto"/>
          <w:sz w:val="24"/>
        </w:rPr>
        <w:t>当事故灾害不可避免的时候</w:t>
      </w:r>
      <w:r>
        <w:rPr>
          <w:rFonts w:hint="eastAsia"/>
          <w:color w:val="auto"/>
          <w:sz w:val="24"/>
          <w:lang w:eastAsia="zh-CN"/>
        </w:rPr>
        <w:t>，</w:t>
      </w:r>
      <w:r>
        <w:rPr>
          <w:color w:val="auto"/>
          <w:sz w:val="24"/>
        </w:rPr>
        <w:t>有效的应急救援行动是唯一可以抵御事故灾害蔓延和减小灾害后果的有力措施。所以</w:t>
      </w:r>
      <w:r>
        <w:rPr>
          <w:rFonts w:hint="eastAsia"/>
          <w:color w:val="auto"/>
          <w:sz w:val="24"/>
          <w:lang w:eastAsia="zh-CN"/>
        </w:rPr>
        <w:t>，</w:t>
      </w:r>
      <w:r>
        <w:rPr>
          <w:color w:val="auto"/>
          <w:sz w:val="24"/>
        </w:rPr>
        <w:t>如果在事故灾害发生前建立完善的应急救援系统</w:t>
      </w:r>
      <w:r>
        <w:rPr>
          <w:rFonts w:hint="eastAsia"/>
          <w:color w:val="auto"/>
          <w:sz w:val="24"/>
          <w:lang w:eastAsia="zh-CN"/>
        </w:rPr>
        <w:t>，</w:t>
      </w:r>
      <w:r>
        <w:rPr>
          <w:color w:val="auto"/>
          <w:sz w:val="24"/>
        </w:rPr>
        <w:t>可在灾害发生时采取及时有效的应急救援行动</w:t>
      </w:r>
      <w:r>
        <w:rPr>
          <w:rFonts w:hint="eastAsia"/>
          <w:color w:val="auto"/>
          <w:sz w:val="24"/>
          <w:lang w:eastAsia="zh-CN"/>
        </w:rPr>
        <w:t>，</w:t>
      </w:r>
      <w:r>
        <w:rPr>
          <w:color w:val="auto"/>
          <w:sz w:val="24"/>
        </w:rPr>
        <w:t>可以最大限度的拯救生命、保护财产、保护环境。事故救援计划应包括以下内容。</w:t>
      </w:r>
    </w:p>
    <w:p w14:paraId="48A34268">
      <w:pPr>
        <w:pStyle w:val="114"/>
        <w:rPr>
          <w:color w:val="auto"/>
        </w:rPr>
      </w:pPr>
      <w:r>
        <w:rPr>
          <w:color w:val="auto"/>
        </w:rPr>
        <w:t>表6-1  应急预案内容</w:t>
      </w:r>
    </w:p>
    <w:tbl>
      <w:tblPr>
        <w:tblStyle w:val="43"/>
        <w:tblW w:w="5000" w:type="pct"/>
        <w:jc w:val="center"/>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Layout w:type="autofit"/>
        <w:tblCellMar>
          <w:top w:w="0" w:type="dxa"/>
          <w:left w:w="108" w:type="dxa"/>
          <w:bottom w:w="0" w:type="dxa"/>
          <w:right w:w="108" w:type="dxa"/>
        </w:tblCellMar>
      </w:tblPr>
      <w:tblGrid>
        <w:gridCol w:w="798"/>
        <w:gridCol w:w="1899"/>
        <w:gridCol w:w="6363"/>
      </w:tblGrid>
      <w:tr w14:paraId="45C3C7A1">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tcBorders>
              <w:top w:val="single" w:color="auto" w:sz="12" w:space="0"/>
              <w:left w:val="nil"/>
              <w:bottom w:val="single" w:color="auto" w:sz="4" w:space="0"/>
              <w:right w:val="single" w:color="auto" w:sz="4" w:space="0"/>
            </w:tcBorders>
            <w:vAlign w:val="center"/>
          </w:tcPr>
          <w:p w14:paraId="377F9758">
            <w:pPr>
              <w:adjustRightInd w:val="0"/>
              <w:snapToGrid w:val="0"/>
              <w:jc w:val="center"/>
              <w:rPr>
                <w:color w:val="auto"/>
                <w:szCs w:val="21"/>
              </w:rPr>
            </w:pPr>
            <w:r>
              <w:rPr>
                <w:color w:val="auto"/>
                <w:szCs w:val="21"/>
              </w:rPr>
              <w:t>序号</w:t>
            </w:r>
          </w:p>
        </w:tc>
        <w:tc>
          <w:tcPr>
            <w:tcW w:w="1797" w:type="dxa"/>
            <w:tcBorders>
              <w:top w:val="single" w:color="auto" w:sz="12" w:space="0"/>
              <w:left w:val="single" w:color="auto" w:sz="4" w:space="0"/>
              <w:bottom w:val="single" w:color="auto" w:sz="4" w:space="0"/>
              <w:right w:val="single" w:color="auto" w:sz="4" w:space="0"/>
            </w:tcBorders>
            <w:vAlign w:val="center"/>
          </w:tcPr>
          <w:p w14:paraId="025AFA21">
            <w:pPr>
              <w:adjustRightInd w:val="0"/>
              <w:snapToGrid w:val="0"/>
              <w:jc w:val="center"/>
              <w:rPr>
                <w:color w:val="auto"/>
                <w:szCs w:val="21"/>
              </w:rPr>
            </w:pPr>
            <w:r>
              <w:rPr>
                <w:color w:val="auto"/>
                <w:szCs w:val="21"/>
              </w:rPr>
              <w:t>项目</w:t>
            </w:r>
          </w:p>
        </w:tc>
        <w:tc>
          <w:tcPr>
            <w:tcW w:w="6021" w:type="dxa"/>
            <w:tcBorders>
              <w:top w:val="single" w:color="auto" w:sz="12" w:space="0"/>
              <w:left w:val="single" w:color="auto" w:sz="4" w:space="0"/>
              <w:bottom w:val="single" w:color="auto" w:sz="4" w:space="0"/>
              <w:right w:val="nil"/>
            </w:tcBorders>
            <w:vAlign w:val="center"/>
          </w:tcPr>
          <w:p w14:paraId="30FEF5E4">
            <w:pPr>
              <w:adjustRightInd w:val="0"/>
              <w:snapToGrid w:val="0"/>
              <w:jc w:val="center"/>
              <w:rPr>
                <w:color w:val="auto"/>
                <w:szCs w:val="21"/>
              </w:rPr>
            </w:pPr>
            <w:r>
              <w:rPr>
                <w:color w:val="auto"/>
                <w:szCs w:val="21"/>
              </w:rPr>
              <w:t>内容及要求</w:t>
            </w:r>
          </w:p>
        </w:tc>
      </w:tr>
      <w:tr w14:paraId="52E59E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tcBorders>
              <w:top w:val="single" w:color="auto" w:sz="4" w:space="0"/>
              <w:left w:val="nil"/>
              <w:bottom w:val="single" w:color="auto" w:sz="4" w:space="0"/>
              <w:right w:val="single" w:color="auto" w:sz="4" w:space="0"/>
            </w:tcBorders>
            <w:vAlign w:val="center"/>
          </w:tcPr>
          <w:p w14:paraId="381CF599">
            <w:pPr>
              <w:adjustRightInd w:val="0"/>
              <w:snapToGrid w:val="0"/>
              <w:jc w:val="center"/>
              <w:rPr>
                <w:color w:val="auto"/>
                <w:szCs w:val="21"/>
              </w:rPr>
            </w:pPr>
            <w:r>
              <w:rPr>
                <w:color w:val="auto"/>
                <w:szCs w:val="21"/>
              </w:rPr>
              <w:t>1</w:t>
            </w:r>
          </w:p>
        </w:tc>
        <w:tc>
          <w:tcPr>
            <w:tcW w:w="1797" w:type="dxa"/>
            <w:tcBorders>
              <w:top w:val="single" w:color="auto" w:sz="4" w:space="0"/>
              <w:left w:val="single" w:color="auto" w:sz="4" w:space="0"/>
              <w:bottom w:val="single" w:color="auto" w:sz="4" w:space="0"/>
              <w:right w:val="single" w:color="auto" w:sz="4" w:space="0"/>
            </w:tcBorders>
            <w:vAlign w:val="center"/>
          </w:tcPr>
          <w:p w14:paraId="4131CFB4">
            <w:pPr>
              <w:adjustRightInd w:val="0"/>
              <w:snapToGrid w:val="0"/>
              <w:jc w:val="center"/>
              <w:rPr>
                <w:color w:val="auto"/>
                <w:szCs w:val="21"/>
              </w:rPr>
            </w:pPr>
            <w:r>
              <w:rPr>
                <w:color w:val="auto"/>
                <w:szCs w:val="21"/>
              </w:rPr>
              <w:t>应急计划区</w:t>
            </w:r>
          </w:p>
        </w:tc>
        <w:tc>
          <w:tcPr>
            <w:tcW w:w="6021" w:type="dxa"/>
            <w:tcBorders>
              <w:top w:val="single" w:color="auto" w:sz="4" w:space="0"/>
              <w:left w:val="single" w:color="auto" w:sz="4" w:space="0"/>
              <w:bottom w:val="single" w:color="auto" w:sz="4" w:space="0"/>
              <w:right w:val="nil"/>
            </w:tcBorders>
            <w:vAlign w:val="center"/>
          </w:tcPr>
          <w:p w14:paraId="2E60F289">
            <w:pPr>
              <w:adjustRightInd w:val="0"/>
              <w:snapToGrid w:val="0"/>
              <w:rPr>
                <w:color w:val="auto"/>
                <w:szCs w:val="21"/>
              </w:rPr>
            </w:pPr>
            <w:r>
              <w:rPr>
                <w:color w:val="auto"/>
                <w:szCs w:val="21"/>
              </w:rPr>
              <w:t>危险源(</w:t>
            </w:r>
            <w:r>
              <w:rPr>
                <w:rFonts w:hint="eastAsia"/>
                <w:color w:val="auto"/>
                <w:szCs w:val="21"/>
              </w:rPr>
              <w:t>化学品</w:t>
            </w:r>
            <w:r>
              <w:rPr>
                <w:color w:val="auto"/>
                <w:szCs w:val="21"/>
              </w:rPr>
              <w:t>储罐</w:t>
            </w:r>
            <w:r>
              <w:rPr>
                <w:rFonts w:hint="eastAsia"/>
                <w:color w:val="auto"/>
                <w:szCs w:val="21"/>
              </w:rPr>
              <w:t>及生产区</w:t>
            </w:r>
            <w:r>
              <w:rPr>
                <w:color w:val="auto"/>
                <w:szCs w:val="21"/>
              </w:rPr>
              <w:t>)</w:t>
            </w:r>
          </w:p>
        </w:tc>
      </w:tr>
      <w:tr w14:paraId="4D6CD46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tcBorders>
              <w:top w:val="single" w:color="auto" w:sz="4" w:space="0"/>
              <w:left w:val="nil"/>
              <w:bottom w:val="single" w:color="auto" w:sz="4" w:space="0"/>
              <w:right w:val="single" w:color="auto" w:sz="4" w:space="0"/>
            </w:tcBorders>
            <w:vAlign w:val="center"/>
          </w:tcPr>
          <w:p w14:paraId="32818FE6">
            <w:pPr>
              <w:adjustRightInd w:val="0"/>
              <w:snapToGrid w:val="0"/>
              <w:jc w:val="center"/>
              <w:rPr>
                <w:color w:val="auto"/>
                <w:szCs w:val="21"/>
              </w:rPr>
            </w:pPr>
            <w:r>
              <w:rPr>
                <w:color w:val="auto"/>
                <w:szCs w:val="21"/>
              </w:rPr>
              <w:t>2</w:t>
            </w:r>
          </w:p>
        </w:tc>
        <w:tc>
          <w:tcPr>
            <w:tcW w:w="1797" w:type="dxa"/>
            <w:tcBorders>
              <w:top w:val="single" w:color="auto" w:sz="4" w:space="0"/>
              <w:left w:val="single" w:color="auto" w:sz="4" w:space="0"/>
              <w:bottom w:val="single" w:color="auto" w:sz="4" w:space="0"/>
              <w:right w:val="single" w:color="auto" w:sz="4" w:space="0"/>
            </w:tcBorders>
            <w:vAlign w:val="center"/>
          </w:tcPr>
          <w:p w14:paraId="25C3978F">
            <w:pPr>
              <w:adjustRightInd w:val="0"/>
              <w:snapToGrid w:val="0"/>
              <w:jc w:val="center"/>
              <w:rPr>
                <w:color w:val="auto"/>
                <w:szCs w:val="21"/>
              </w:rPr>
            </w:pPr>
            <w:r>
              <w:rPr>
                <w:color w:val="auto"/>
                <w:szCs w:val="21"/>
              </w:rPr>
              <w:t>应急组织机构、人员</w:t>
            </w:r>
          </w:p>
        </w:tc>
        <w:tc>
          <w:tcPr>
            <w:tcW w:w="6021" w:type="dxa"/>
            <w:tcBorders>
              <w:top w:val="single" w:color="auto" w:sz="4" w:space="0"/>
              <w:left w:val="single" w:color="auto" w:sz="4" w:space="0"/>
              <w:bottom w:val="single" w:color="auto" w:sz="4" w:space="0"/>
              <w:right w:val="nil"/>
            </w:tcBorders>
            <w:vAlign w:val="center"/>
          </w:tcPr>
          <w:p w14:paraId="16D35F72">
            <w:pPr>
              <w:adjustRightInd w:val="0"/>
              <w:snapToGrid w:val="0"/>
              <w:rPr>
                <w:color w:val="auto"/>
                <w:szCs w:val="21"/>
              </w:rPr>
            </w:pPr>
            <w:r>
              <w:rPr>
                <w:color w:val="auto"/>
                <w:szCs w:val="21"/>
              </w:rPr>
              <w:t>实施三级应急</w:t>
            </w:r>
            <w:r>
              <w:rPr>
                <w:rFonts w:hint="eastAsia"/>
                <w:color w:val="auto"/>
                <w:szCs w:val="21"/>
              </w:rPr>
              <w:t>组织</w:t>
            </w:r>
            <w:r>
              <w:rPr>
                <w:color w:val="auto"/>
                <w:szCs w:val="21"/>
              </w:rPr>
              <w:t>机构</w:t>
            </w:r>
            <w:r>
              <w:rPr>
                <w:rFonts w:hint="eastAsia"/>
                <w:color w:val="auto"/>
                <w:szCs w:val="21"/>
                <w:lang w:eastAsia="zh-CN"/>
              </w:rPr>
              <w:t>，</w:t>
            </w:r>
            <w:r>
              <w:rPr>
                <w:color w:val="auto"/>
                <w:szCs w:val="21"/>
              </w:rPr>
              <w:t>各级别主要负责人为应急计划、协调第一人</w:t>
            </w:r>
            <w:r>
              <w:rPr>
                <w:rFonts w:hint="eastAsia"/>
                <w:color w:val="auto"/>
                <w:szCs w:val="21"/>
                <w:lang w:eastAsia="zh-CN"/>
              </w:rPr>
              <w:t>，</w:t>
            </w:r>
            <w:r>
              <w:rPr>
                <w:color w:val="auto"/>
                <w:szCs w:val="21"/>
              </w:rPr>
              <w:t>应急人员必须为培训上岗熟练工；区域应急组织结构由当地政府、相关行业专家、卫生安全相关单位组成</w:t>
            </w:r>
            <w:r>
              <w:rPr>
                <w:rFonts w:hint="eastAsia"/>
                <w:color w:val="auto"/>
                <w:szCs w:val="21"/>
                <w:lang w:eastAsia="zh-CN"/>
              </w:rPr>
              <w:t>，</w:t>
            </w:r>
            <w:r>
              <w:rPr>
                <w:color w:val="auto"/>
                <w:szCs w:val="21"/>
              </w:rPr>
              <w:t>并由当地政府进行统一调度</w:t>
            </w:r>
          </w:p>
        </w:tc>
      </w:tr>
      <w:tr w14:paraId="4F97A8C3">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tcBorders>
              <w:top w:val="single" w:color="auto" w:sz="4" w:space="0"/>
              <w:left w:val="nil"/>
              <w:bottom w:val="single" w:color="auto" w:sz="4" w:space="0"/>
              <w:right w:val="single" w:color="auto" w:sz="4" w:space="0"/>
            </w:tcBorders>
            <w:vAlign w:val="center"/>
          </w:tcPr>
          <w:p w14:paraId="69385878">
            <w:pPr>
              <w:adjustRightInd w:val="0"/>
              <w:snapToGrid w:val="0"/>
              <w:jc w:val="center"/>
              <w:rPr>
                <w:color w:val="auto"/>
                <w:szCs w:val="21"/>
              </w:rPr>
            </w:pPr>
            <w:r>
              <w:rPr>
                <w:color w:val="auto"/>
                <w:szCs w:val="21"/>
              </w:rPr>
              <w:t>3</w:t>
            </w:r>
          </w:p>
        </w:tc>
        <w:tc>
          <w:tcPr>
            <w:tcW w:w="1797" w:type="dxa"/>
            <w:tcBorders>
              <w:top w:val="single" w:color="auto" w:sz="4" w:space="0"/>
              <w:left w:val="single" w:color="auto" w:sz="4" w:space="0"/>
              <w:bottom w:val="single" w:color="auto" w:sz="4" w:space="0"/>
              <w:right w:val="single" w:color="auto" w:sz="4" w:space="0"/>
            </w:tcBorders>
            <w:vAlign w:val="center"/>
          </w:tcPr>
          <w:p w14:paraId="1C55514D">
            <w:pPr>
              <w:adjustRightInd w:val="0"/>
              <w:snapToGrid w:val="0"/>
              <w:jc w:val="center"/>
              <w:rPr>
                <w:color w:val="auto"/>
                <w:szCs w:val="21"/>
              </w:rPr>
            </w:pPr>
            <w:r>
              <w:rPr>
                <w:color w:val="auto"/>
                <w:szCs w:val="21"/>
              </w:rPr>
              <w:t>预案分级响应条件</w:t>
            </w:r>
          </w:p>
        </w:tc>
        <w:tc>
          <w:tcPr>
            <w:tcW w:w="6021" w:type="dxa"/>
            <w:tcBorders>
              <w:top w:val="single" w:color="auto" w:sz="4" w:space="0"/>
              <w:left w:val="single" w:color="auto" w:sz="4" w:space="0"/>
              <w:bottom w:val="single" w:color="auto" w:sz="4" w:space="0"/>
              <w:right w:val="nil"/>
            </w:tcBorders>
            <w:vAlign w:val="center"/>
          </w:tcPr>
          <w:p w14:paraId="71FD25C7">
            <w:pPr>
              <w:adjustRightInd w:val="0"/>
              <w:snapToGrid w:val="0"/>
              <w:rPr>
                <w:color w:val="auto"/>
                <w:szCs w:val="21"/>
              </w:rPr>
            </w:pPr>
            <w:r>
              <w:rPr>
                <w:color w:val="auto"/>
                <w:szCs w:val="21"/>
              </w:rPr>
              <w:t>根据事故的严重程度制定相应级别的应急预案</w:t>
            </w:r>
            <w:r>
              <w:rPr>
                <w:rFonts w:hint="eastAsia"/>
                <w:color w:val="auto"/>
                <w:szCs w:val="21"/>
                <w:lang w:eastAsia="zh-CN"/>
              </w:rPr>
              <w:t>，</w:t>
            </w:r>
            <w:r>
              <w:rPr>
                <w:color w:val="auto"/>
                <w:szCs w:val="21"/>
              </w:rPr>
              <w:t>以及适合相应情况的处理措施</w:t>
            </w:r>
          </w:p>
        </w:tc>
      </w:tr>
      <w:tr w14:paraId="3DA00DA5">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tcBorders>
              <w:top w:val="single" w:color="auto" w:sz="4" w:space="0"/>
              <w:left w:val="nil"/>
              <w:bottom w:val="single" w:color="auto" w:sz="4" w:space="0"/>
              <w:right w:val="single" w:color="auto" w:sz="4" w:space="0"/>
            </w:tcBorders>
            <w:vAlign w:val="center"/>
          </w:tcPr>
          <w:p w14:paraId="510142F5">
            <w:pPr>
              <w:adjustRightInd w:val="0"/>
              <w:snapToGrid w:val="0"/>
              <w:jc w:val="center"/>
              <w:rPr>
                <w:color w:val="auto"/>
                <w:szCs w:val="21"/>
              </w:rPr>
            </w:pPr>
            <w:r>
              <w:rPr>
                <w:color w:val="auto"/>
                <w:szCs w:val="21"/>
              </w:rPr>
              <w:t>4</w:t>
            </w:r>
          </w:p>
        </w:tc>
        <w:tc>
          <w:tcPr>
            <w:tcW w:w="1797" w:type="dxa"/>
            <w:tcBorders>
              <w:top w:val="single" w:color="auto" w:sz="4" w:space="0"/>
              <w:left w:val="single" w:color="auto" w:sz="4" w:space="0"/>
              <w:bottom w:val="single" w:color="auto" w:sz="4" w:space="0"/>
              <w:right w:val="single" w:color="auto" w:sz="4" w:space="0"/>
            </w:tcBorders>
            <w:vAlign w:val="center"/>
          </w:tcPr>
          <w:p w14:paraId="5AF0521B">
            <w:pPr>
              <w:adjustRightInd w:val="0"/>
              <w:snapToGrid w:val="0"/>
              <w:jc w:val="center"/>
              <w:rPr>
                <w:color w:val="auto"/>
                <w:szCs w:val="21"/>
              </w:rPr>
            </w:pPr>
            <w:r>
              <w:rPr>
                <w:color w:val="auto"/>
                <w:szCs w:val="21"/>
              </w:rPr>
              <w:t>应急救援保障</w:t>
            </w:r>
          </w:p>
        </w:tc>
        <w:tc>
          <w:tcPr>
            <w:tcW w:w="6021" w:type="dxa"/>
            <w:tcBorders>
              <w:top w:val="single" w:color="auto" w:sz="4" w:space="0"/>
              <w:left w:val="single" w:color="auto" w:sz="4" w:space="0"/>
              <w:bottom w:val="single" w:color="auto" w:sz="4" w:space="0"/>
              <w:right w:val="nil"/>
            </w:tcBorders>
            <w:vAlign w:val="center"/>
          </w:tcPr>
          <w:p w14:paraId="7101C8A8">
            <w:pPr>
              <w:adjustRightInd w:val="0"/>
              <w:snapToGrid w:val="0"/>
              <w:rPr>
                <w:color w:val="auto"/>
                <w:szCs w:val="21"/>
              </w:rPr>
            </w:pPr>
            <w:r>
              <w:rPr>
                <w:color w:val="auto"/>
                <w:szCs w:val="21"/>
              </w:rPr>
              <w:t>应急设施</w:t>
            </w:r>
            <w:r>
              <w:rPr>
                <w:rFonts w:hint="eastAsia"/>
                <w:color w:val="auto"/>
                <w:szCs w:val="21"/>
                <w:lang w:eastAsia="zh-CN"/>
              </w:rPr>
              <w:t>，</w:t>
            </w:r>
            <w:r>
              <w:rPr>
                <w:color w:val="auto"/>
                <w:szCs w:val="21"/>
              </w:rPr>
              <w:t>设备与器材等</w:t>
            </w:r>
          </w:p>
        </w:tc>
      </w:tr>
      <w:tr w14:paraId="238BABDF">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tcBorders>
              <w:top w:val="single" w:color="auto" w:sz="4" w:space="0"/>
              <w:left w:val="nil"/>
              <w:bottom w:val="single" w:color="auto" w:sz="4" w:space="0"/>
              <w:right w:val="single" w:color="auto" w:sz="4" w:space="0"/>
            </w:tcBorders>
            <w:vAlign w:val="center"/>
          </w:tcPr>
          <w:p w14:paraId="6C6A5D86">
            <w:pPr>
              <w:adjustRightInd w:val="0"/>
              <w:snapToGrid w:val="0"/>
              <w:jc w:val="center"/>
              <w:rPr>
                <w:color w:val="auto"/>
                <w:szCs w:val="21"/>
              </w:rPr>
            </w:pPr>
            <w:r>
              <w:rPr>
                <w:color w:val="auto"/>
                <w:szCs w:val="21"/>
              </w:rPr>
              <w:t>5</w:t>
            </w:r>
          </w:p>
        </w:tc>
        <w:tc>
          <w:tcPr>
            <w:tcW w:w="1797" w:type="dxa"/>
            <w:tcBorders>
              <w:top w:val="single" w:color="auto" w:sz="4" w:space="0"/>
              <w:left w:val="single" w:color="auto" w:sz="4" w:space="0"/>
              <w:bottom w:val="single" w:color="auto" w:sz="4" w:space="0"/>
              <w:right w:val="single" w:color="auto" w:sz="4" w:space="0"/>
            </w:tcBorders>
            <w:vAlign w:val="center"/>
          </w:tcPr>
          <w:p w14:paraId="6405E394">
            <w:pPr>
              <w:adjustRightInd w:val="0"/>
              <w:snapToGrid w:val="0"/>
              <w:jc w:val="center"/>
              <w:rPr>
                <w:color w:val="auto"/>
                <w:szCs w:val="21"/>
              </w:rPr>
            </w:pPr>
            <w:r>
              <w:rPr>
                <w:color w:val="auto"/>
                <w:szCs w:val="21"/>
              </w:rPr>
              <w:t>报警、通讯联络方式</w:t>
            </w:r>
          </w:p>
        </w:tc>
        <w:tc>
          <w:tcPr>
            <w:tcW w:w="6021" w:type="dxa"/>
            <w:tcBorders>
              <w:top w:val="single" w:color="auto" w:sz="4" w:space="0"/>
              <w:left w:val="single" w:color="auto" w:sz="4" w:space="0"/>
              <w:bottom w:val="single" w:color="auto" w:sz="4" w:space="0"/>
              <w:right w:val="nil"/>
            </w:tcBorders>
            <w:vAlign w:val="center"/>
          </w:tcPr>
          <w:p w14:paraId="30A05AC8">
            <w:pPr>
              <w:adjustRightInd w:val="0"/>
              <w:snapToGrid w:val="0"/>
              <w:rPr>
                <w:color w:val="auto"/>
                <w:szCs w:val="21"/>
              </w:rPr>
            </w:pPr>
            <w:r>
              <w:rPr>
                <w:color w:val="auto"/>
                <w:szCs w:val="21"/>
              </w:rPr>
              <w:t>逐一细化应急状态下各主要负责单位的报警通讯方式、地点、电话号码以及相关配套的交通保障、管制、消防联络方法</w:t>
            </w:r>
            <w:r>
              <w:rPr>
                <w:rFonts w:hint="eastAsia"/>
                <w:color w:val="auto"/>
                <w:szCs w:val="21"/>
                <w:lang w:eastAsia="zh-CN"/>
              </w:rPr>
              <w:t>，</w:t>
            </w:r>
            <w:r>
              <w:rPr>
                <w:color w:val="auto"/>
                <w:szCs w:val="21"/>
              </w:rPr>
              <w:t>涉及跨区域的还应与相关区域环境保护部门和上级环保部门保持联系</w:t>
            </w:r>
            <w:r>
              <w:rPr>
                <w:rFonts w:hint="eastAsia"/>
                <w:color w:val="auto"/>
                <w:szCs w:val="21"/>
                <w:lang w:eastAsia="zh-CN"/>
              </w:rPr>
              <w:t>，</w:t>
            </w:r>
            <w:r>
              <w:rPr>
                <w:color w:val="auto"/>
                <w:szCs w:val="21"/>
              </w:rPr>
              <w:t>及时通报事故处理情况</w:t>
            </w:r>
            <w:r>
              <w:rPr>
                <w:rFonts w:hint="eastAsia"/>
                <w:color w:val="auto"/>
                <w:szCs w:val="21"/>
                <w:lang w:eastAsia="zh-CN"/>
              </w:rPr>
              <w:t>，</w:t>
            </w:r>
            <w:r>
              <w:rPr>
                <w:color w:val="auto"/>
                <w:szCs w:val="21"/>
              </w:rPr>
              <w:t>以获得区域性支援</w:t>
            </w:r>
          </w:p>
        </w:tc>
      </w:tr>
      <w:tr w14:paraId="6A7EA5F6">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tcBorders>
              <w:top w:val="single" w:color="auto" w:sz="4" w:space="0"/>
              <w:left w:val="nil"/>
              <w:bottom w:val="single" w:color="auto" w:sz="4" w:space="0"/>
              <w:right w:val="single" w:color="auto" w:sz="4" w:space="0"/>
            </w:tcBorders>
            <w:vAlign w:val="center"/>
          </w:tcPr>
          <w:p w14:paraId="244D204D">
            <w:pPr>
              <w:adjustRightInd w:val="0"/>
              <w:snapToGrid w:val="0"/>
              <w:jc w:val="center"/>
              <w:rPr>
                <w:color w:val="auto"/>
                <w:szCs w:val="21"/>
              </w:rPr>
            </w:pPr>
            <w:r>
              <w:rPr>
                <w:color w:val="auto"/>
                <w:szCs w:val="21"/>
              </w:rPr>
              <w:t>6</w:t>
            </w:r>
          </w:p>
        </w:tc>
        <w:tc>
          <w:tcPr>
            <w:tcW w:w="1797" w:type="dxa"/>
            <w:tcBorders>
              <w:top w:val="single" w:color="auto" w:sz="4" w:space="0"/>
              <w:left w:val="single" w:color="auto" w:sz="4" w:space="0"/>
              <w:bottom w:val="single" w:color="auto" w:sz="4" w:space="0"/>
              <w:right w:val="single" w:color="auto" w:sz="4" w:space="0"/>
            </w:tcBorders>
            <w:vAlign w:val="center"/>
          </w:tcPr>
          <w:p w14:paraId="4C8F7649">
            <w:pPr>
              <w:adjustRightInd w:val="0"/>
              <w:snapToGrid w:val="0"/>
              <w:jc w:val="center"/>
              <w:rPr>
                <w:color w:val="auto"/>
                <w:szCs w:val="21"/>
              </w:rPr>
            </w:pPr>
            <w:r>
              <w:rPr>
                <w:color w:val="auto"/>
                <w:szCs w:val="21"/>
              </w:rPr>
              <w:t>应急环境监测、抢险、救援及控制措施</w:t>
            </w:r>
          </w:p>
        </w:tc>
        <w:tc>
          <w:tcPr>
            <w:tcW w:w="6021" w:type="dxa"/>
            <w:tcBorders>
              <w:top w:val="single" w:color="auto" w:sz="4" w:space="0"/>
              <w:left w:val="single" w:color="auto" w:sz="4" w:space="0"/>
              <w:bottom w:val="single" w:color="auto" w:sz="4" w:space="0"/>
              <w:right w:val="nil"/>
            </w:tcBorders>
            <w:vAlign w:val="center"/>
          </w:tcPr>
          <w:p w14:paraId="486B25B0">
            <w:pPr>
              <w:adjustRightInd w:val="0"/>
              <w:snapToGrid w:val="0"/>
              <w:rPr>
                <w:color w:val="auto"/>
                <w:szCs w:val="21"/>
              </w:rPr>
            </w:pPr>
            <w:r>
              <w:rPr>
                <w:color w:val="auto"/>
                <w:szCs w:val="21"/>
              </w:rPr>
              <w:t>由专业队伍负责对事故现场进行侦查监测</w:t>
            </w:r>
            <w:r>
              <w:rPr>
                <w:rFonts w:hint="eastAsia"/>
                <w:color w:val="auto"/>
                <w:szCs w:val="21"/>
                <w:lang w:eastAsia="zh-CN"/>
              </w:rPr>
              <w:t>，</w:t>
            </w:r>
            <w:r>
              <w:rPr>
                <w:color w:val="auto"/>
                <w:szCs w:val="21"/>
              </w:rPr>
              <w:t>对事故性质、参数与后果进行评估</w:t>
            </w:r>
            <w:r>
              <w:rPr>
                <w:rFonts w:hint="eastAsia"/>
                <w:color w:val="auto"/>
                <w:szCs w:val="21"/>
                <w:lang w:eastAsia="zh-CN"/>
              </w:rPr>
              <w:t>，</w:t>
            </w:r>
            <w:r>
              <w:rPr>
                <w:color w:val="auto"/>
                <w:szCs w:val="21"/>
              </w:rPr>
              <w:t>为指挥部门提供决策依据</w:t>
            </w:r>
          </w:p>
        </w:tc>
      </w:tr>
      <w:tr w14:paraId="67C77CF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tcBorders>
              <w:top w:val="single" w:color="auto" w:sz="4" w:space="0"/>
              <w:left w:val="nil"/>
              <w:bottom w:val="single" w:color="auto" w:sz="4" w:space="0"/>
              <w:right w:val="single" w:color="auto" w:sz="4" w:space="0"/>
            </w:tcBorders>
            <w:vAlign w:val="center"/>
          </w:tcPr>
          <w:p w14:paraId="464AA05A">
            <w:pPr>
              <w:adjustRightInd w:val="0"/>
              <w:snapToGrid w:val="0"/>
              <w:jc w:val="center"/>
              <w:rPr>
                <w:color w:val="auto"/>
                <w:szCs w:val="21"/>
              </w:rPr>
            </w:pPr>
            <w:r>
              <w:rPr>
                <w:color w:val="auto"/>
                <w:szCs w:val="21"/>
              </w:rPr>
              <w:t>7</w:t>
            </w:r>
          </w:p>
        </w:tc>
        <w:tc>
          <w:tcPr>
            <w:tcW w:w="1797" w:type="dxa"/>
            <w:tcBorders>
              <w:top w:val="single" w:color="auto" w:sz="4" w:space="0"/>
              <w:left w:val="single" w:color="auto" w:sz="4" w:space="0"/>
              <w:bottom w:val="single" w:color="auto" w:sz="4" w:space="0"/>
              <w:right w:val="single" w:color="auto" w:sz="4" w:space="0"/>
            </w:tcBorders>
            <w:vAlign w:val="center"/>
          </w:tcPr>
          <w:p w14:paraId="30455C99">
            <w:pPr>
              <w:adjustRightInd w:val="0"/>
              <w:snapToGrid w:val="0"/>
              <w:jc w:val="center"/>
              <w:rPr>
                <w:color w:val="auto"/>
                <w:szCs w:val="21"/>
              </w:rPr>
            </w:pPr>
            <w:r>
              <w:rPr>
                <w:color w:val="auto"/>
                <w:szCs w:val="21"/>
              </w:rPr>
              <w:t>应急检测、防护措施、清除泄漏措施和器材</w:t>
            </w:r>
          </w:p>
        </w:tc>
        <w:tc>
          <w:tcPr>
            <w:tcW w:w="6021" w:type="dxa"/>
            <w:tcBorders>
              <w:top w:val="single" w:color="auto" w:sz="4" w:space="0"/>
              <w:left w:val="single" w:color="auto" w:sz="4" w:space="0"/>
              <w:bottom w:val="single" w:color="auto" w:sz="4" w:space="0"/>
              <w:right w:val="nil"/>
            </w:tcBorders>
            <w:vAlign w:val="center"/>
          </w:tcPr>
          <w:p w14:paraId="3C2E40E9">
            <w:pPr>
              <w:adjustRightInd w:val="0"/>
              <w:snapToGrid w:val="0"/>
              <w:rPr>
                <w:color w:val="auto"/>
                <w:szCs w:val="21"/>
              </w:rPr>
            </w:pPr>
            <w:r>
              <w:rPr>
                <w:color w:val="auto"/>
                <w:szCs w:val="21"/>
              </w:rPr>
              <w:t>事故现场、</w:t>
            </w:r>
            <w:r>
              <w:rPr>
                <w:rFonts w:hint="eastAsia"/>
                <w:color w:val="auto"/>
                <w:szCs w:val="21"/>
              </w:rPr>
              <w:t>能源中心</w:t>
            </w:r>
            <w:r>
              <w:rPr>
                <w:color w:val="auto"/>
                <w:szCs w:val="21"/>
              </w:rPr>
              <w:t>邻近区域、控制防火区域</w:t>
            </w:r>
            <w:r>
              <w:rPr>
                <w:rFonts w:hint="eastAsia"/>
                <w:color w:val="auto"/>
                <w:szCs w:val="21"/>
                <w:lang w:eastAsia="zh-CN"/>
              </w:rPr>
              <w:t>，</w:t>
            </w:r>
            <w:r>
              <w:rPr>
                <w:color w:val="auto"/>
                <w:szCs w:val="21"/>
              </w:rPr>
              <w:t>控制和清除污染措施及相应设备的数量、使用方法、使用人员</w:t>
            </w:r>
          </w:p>
        </w:tc>
      </w:tr>
      <w:tr w14:paraId="730237B8">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tcBorders>
              <w:top w:val="single" w:color="auto" w:sz="4" w:space="0"/>
              <w:left w:val="nil"/>
              <w:bottom w:val="single" w:color="auto" w:sz="4" w:space="0"/>
              <w:right w:val="single" w:color="auto" w:sz="4" w:space="0"/>
            </w:tcBorders>
            <w:vAlign w:val="center"/>
          </w:tcPr>
          <w:p w14:paraId="4C2C4035">
            <w:pPr>
              <w:adjustRightInd w:val="0"/>
              <w:snapToGrid w:val="0"/>
              <w:jc w:val="center"/>
              <w:rPr>
                <w:color w:val="auto"/>
                <w:szCs w:val="21"/>
              </w:rPr>
            </w:pPr>
            <w:r>
              <w:rPr>
                <w:color w:val="auto"/>
                <w:szCs w:val="21"/>
              </w:rPr>
              <w:t>8</w:t>
            </w:r>
          </w:p>
        </w:tc>
        <w:tc>
          <w:tcPr>
            <w:tcW w:w="1797" w:type="dxa"/>
            <w:tcBorders>
              <w:top w:val="single" w:color="auto" w:sz="4" w:space="0"/>
              <w:left w:val="single" w:color="auto" w:sz="4" w:space="0"/>
              <w:bottom w:val="single" w:color="auto" w:sz="4" w:space="0"/>
              <w:right w:val="single" w:color="auto" w:sz="4" w:space="0"/>
            </w:tcBorders>
            <w:vAlign w:val="center"/>
          </w:tcPr>
          <w:p w14:paraId="38CF4FB0">
            <w:pPr>
              <w:adjustRightInd w:val="0"/>
              <w:snapToGrid w:val="0"/>
              <w:jc w:val="center"/>
              <w:rPr>
                <w:color w:val="auto"/>
                <w:szCs w:val="21"/>
              </w:rPr>
            </w:pPr>
            <w:r>
              <w:rPr>
                <w:color w:val="auto"/>
                <w:szCs w:val="21"/>
              </w:rPr>
              <w:t>人员紧急撤离、疏散</w:t>
            </w:r>
            <w:r>
              <w:rPr>
                <w:rFonts w:hint="eastAsia"/>
                <w:color w:val="auto"/>
                <w:szCs w:val="21"/>
                <w:lang w:eastAsia="zh-CN"/>
              </w:rPr>
              <w:t>，</w:t>
            </w:r>
            <w:r>
              <w:rPr>
                <w:color w:val="auto"/>
                <w:szCs w:val="21"/>
              </w:rPr>
              <w:t>撤离组织计划</w:t>
            </w:r>
          </w:p>
        </w:tc>
        <w:tc>
          <w:tcPr>
            <w:tcW w:w="6021" w:type="dxa"/>
            <w:tcBorders>
              <w:top w:val="single" w:color="auto" w:sz="4" w:space="0"/>
              <w:left w:val="single" w:color="auto" w:sz="4" w:space="0"/>
              <w:bottom w:val="single" w:color="auto" w:sz="4" w:space="0"/>
              <w:right w:val="nil"/>
            </w:tcBorders>
            <w:vAlign w:val="center"/>
          </w:tcPr>
          <w:p w14:paraId="490A2EB8">
            <w:pPr>
              <w:adjustRightInd w:val="0"/>
              <w:snapToGrid w:val="0"/>
              <w:rPr>
                <w:color w:val="auto"/>
                <w:szCs w:val="21"/>
              </w:rPr>
            </w:pPr>
            <w:r>
              <w:rPr>
                <w:color w:val="auto"/>
                <w:szCs w:val="21"/>
              </w:rPr>
              <w:t>事故现场、邻近区、受事故影响的区域人员及公众撤离组织计划及救护</w:t>
            </w:r>
            <w:r>
              <w:rPr>
                <w:rFonts w:hint="eastAsia"/>
                <w:color w:val="auto"/>
                <w:szCs w:val="21"/>
                <w:lang w:eastAsia="zh-CN"/>
              </w:rPr>
              <w:t>，</w:t>
            </w:r>
            <w:r>
              <w:rPr>
                <w:color w:val="auto"/>
                <w:szCs w:val="21"/>
              </w:rPr>
              <w:t>医疗救护与公众健康</w:t>
            </w:r>
          </w:p>
        </w:tc>
      </w:tr>
      <w:tr w14:paraId="5DD1833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vMerge w:val="restart"/>
            <w:tcBorders>
              <w:top w:val="single" w:color="auto" w:sz="4" w:space="0"/>
              <w:left w:val="nil"/>
              <w:bottom w:val="single" w:color="auto" w:sz="4" w:space="0"/>
              <w:right w:val="single" w:color="auto" w:sz="4" w:space="0"/>
            </w:tcBorders>
            <w:vAlign w:val="center"/>
          </w:tcPr>
          <w:p w14:paraId="202281FD">
            <w:pPr>
              <w:adjustRightInd w:val="0"/>
              <w:snapToGrid w:val="0"/>
              <w:jc w:val="center"/>
              <w:rPr>
                <w:color w:val="auto"/>
                <w:szCs w:val="21"/>
              </w:rPr>
            </w:pPr>
            <w:r>
              <w:rPr>
                <w:color w:val="auto"/>
                <w:szCs w:val="21"/>
              </w:rPr>
              <w:t>9</w:t>
            </w:r>
          </w:p>
        </w:tc>
        <w:tc>
          <w:tcPr>
            <w:tcW w:w="1797" w:type="dxa"/>
            <w:vMerge w:val="restart"/>
            <w:tcBorders>
              <w:top w:val="single" w:color="auto" w:sz="4" w:space="0"/>
              <w:left w:val="single" w:color="auto" w:sz="4" w:space="0"/>
              <w:bottom w:val="single" w:color="auto" w:sz="4" w:space="0"/>
              <w:right w:val="single" w:color="auto" w:sz="4" w:space="0"/>
            </w:tcBorders>
            <w:vAlign w:val="center"/>
          </w:tcPr>
          <w:p w14:paraId="63D55C53">
            <w:pPr>
              <w:adjustRightInd w:val="0"/>
              <w:snapToGrid w:val="0"/>
              <w:jc w:val="center"/>
              <w:rPr>
                <w:color w:val="auto"/>
                <w:szCs w:val="21"/>
              </w:rPr>
            </w:pPr>
            <w:r>
              <w:rPr>
                <w:color w:val="auto"/>
                <w:szCs w:val="21"/>
              </w:rPr>
              <w:t>事故应急救援关闭程序与恢复措施</w:t>
            </w:r>
          </w:p>
        </w:tc>
        <w:tc>
          <w:tcPr>
            <w:tcW w:w="6021" w:type="dxa"/>
            <w:tcBorders>
              <w:top w:val="single" w:color="auto" w:sz="4" w:space="0"/>
              <w:left w:val="single" w:color="auto" w:sz="4" w:space="0"/>
              <w:bottom w:val="single" w:color="auto" w:sz="4" w:space="0"/>
              <w:right w:val="nil"/>
            </w:tcBorders>
            <w:vAlign w:val="center"/>
          </w:tcPr>
          <w:p w14:paraId="124F88F0">
            <w:pPr>
              <w:adjustRightInd w:val="0"/>
              <w:snapToGrid w:val="0"/>
              <w:rPr>
                <w:color w:val="auto"/>
                <w:szCs w:val="21"/>
              </w:rPr>
            </w:pPr>
            <w:r>
              <w:rPr>
                <w:color w:val="auto"/>
                <w:szCs w:val="21"/>
              </w:rPr>
              <w:t>规定应急状态终止程序</w:t>
            </w:r>
          </w:p>
          <w:p w14:paraId="69F1BD6F">
            <w:pPr>
              <w:adjustRightInd w:val="0"/>
              <w:snapToGrid w:val="0"/>
              <w:rPr>
                <w:color w:val="auto"/>
                <w:szCs w:val="21"/>
              </w:rPr>
            </w:pPr>
            <w:r>
              <w:rPr>
                <w:color w:val="auto"/>
                <w:szCs w:val="21"/>
              </w:rPr>
              <w:t>事故现场上后处理</w:t>
            </w:r>
            <w:r>
              <w:rPr>
                <w:rFonts w:hint="eastAsia"/>
                <w:color w:val="auto"/>
                <w:szCs w:val="21"/>
                <w:lang w:eastAsia="zh-CN"/>
              </w:rPr>
              <w:t>，</w:t>
            </w:r>
            <w:r>
              <w:rPr>
                <w:color w:val="auto"/>
                <w:szCs w:val="21"/>
              </w:rPr>
              <w:t>恢复措施</w:t>
            </w:r>
          </w:p>
          <w:p w14:paraId="534488FC">
            <w:pPr>
              <w:adjustRightInd w:val="0"/>
              <w:snapToGrid w:val="0"/>
              <w:rPr>
                <w:color w:val="auto"/>
                <w:szCs w:val="21"/>
              </w:rPr>
            </w:pPr>
            <w:r>
              <w:rPr>
                <w:color w:val="auto"/>
                <w:szCs w:val="21"/>
              </w:rPr>
              <w:t>邻近区域解除事故警戒及善后恢复措施</w:t>
            </w:r>
          </w:p>
          <w:p w14:paraId="007C8673">
            <w:pPr>
              <w:adjustRightInd w:val="0"/>
              <w:snapToGrid w:val="0"/>
              <w:rPr>
                <w:color w:val="auto"/>
                <w:szCs w:val="21"/>
              </w:rPr>
            </w:pPr>
            <w:r>
              <w:rPr>
                <w:color w:val="auto"/>
                <w:szCs w:val="21"/>
              </w:rPr>
              <w:t>制定有关的环境恢复措施</w:t>
            </w:r>
          </w:p>
        </w:tc>
      </w:tr>
      <w:tr w14:paraId="261336C0">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vMerge w:val="continue"/>
            <w:tcBorders>
              <w:top w:val="single" w:color="auto" w:sz="4" w:space="0"/>
              <w:left w:val="nil"/>
              <w:bottom w:val="single" w:color="auto" w:sz="4" w:space="0"/>
              <w:right w:val="single" w:color="auto" w:sz="4" w:space="0"/>
            </w:tcBorders>
            <w:vAlign w:val="center"/>
          </w:tcPr>
          <w:p w14:paraId="101FE714">
            <w:pPr>
              <w:adjustRightInd w:val="0"/>
              <w:snapToGrid w:val="0"/>
              <w:jc w:val="center"/>
              <w:rPr>
                <w:color w:val="auto"/>
                <w:szCs w:val="21"/>
              </w:rPr>
            </w:pPr>
          </w:p>
        </w:tc>
        <w:tc>
          <w:tcPr>
            <w:tcW w:w="1797" w:type="dxa"/>
            <w:vMerge w:val="continue"/>
            <w:tcBorders>
              <w:top w:val="single" w:color="auto" w:sz="4" w:space="0"/>
              <w:left w:val="single" w:color="auto" w:sz="4" w:space="0"/>
              <w:bottom w:val="single" w:color="auto" w:sz="4" w:space="0"/>
              <w:right w:val="single" w:color="auto" w:sz="4" w:space="0"/>
            </w:tcBorders>
            <w:vAlign w:val="center"/>
          </w:tcPr>
          <w:p w14:paraId="2210F396">
            <w:pPr>
              <w:adjustRightInd w:val="0"/>
              <w:snapToGrid w:val="0"/>
              <w:jc w:val="center"/>
              <w:rPr>
                <w:color w:val="auto"/>
                <w:szCs w:val="21"/>
              </w:rPr>
            </w:pPr>
          </w:p>
        </w:tc>
        <w:tc>
          <w:tcPr>
            <w:tcW w:w="6021" w:type="dxa"/>
            <w:tcBorders>
              <w:top w:val="single" w:color="auto" w:sz="4" w:space="0"/>
              <w:left w:val="single" w:color="auto" w:sz="4" w:space="0"/>
              <w:bottom w:val="single" w:color="auto" w:sz="4" w:space="0"/>
              <w:right w:val="nil"/>
            </w:tcBorders>
            <w:vAlign w:val="center"/>
          </w:tcPr>
          <w:p w14:paraId="2514686B">
            <w:pPr>
              <w:adjustRightInd w:val="0"/>
              <w:snapToGrid w:val="0"/>
              <w:rPr>
                <w:color w:val="auto"/>
                <w:szCs w:val="21"/>
              </w:rPr>
            </w:pPr>
            <w:r>
              <w:rPr>
                <w:color w:val="auto"/>
                <w:szCs w:val="21"/>
              </w:rPr>
              <w:t>组织专业人员对事故后的环境变化进行监测</w:t>
            </w:r>
            <w:r>
              <w:rPr>
                <w:rFonts w:hint="eastAsia"/>
                <w:color w:val="auto"/>
                <w:szCs w:val="21"/>
                <w:lang w:eastAsia="zh-CN"/>
              </w:rPr>
              <w:t>，</w:t>
            </w:r>
            <w:r>
              <w:rPr>
                <w:color w:val="auto"/>
                <w:szCs w:val="21"/>
              </w:rPr>
              <w:t>对事故应急措施的环境可行性进行后影响评价</w:t>
            </w:r>
          </w:p>
        </w:tc>
      </w:tr>
      <w:tr w14:paraId="2D4D7FF7">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tcBorders>
              <w:top w:val="single" w:color="auto" w:sz="4" w:space="0"/>
              <w:left w:val="nil"/>
              <w:bottom w:val="single" w:color="auto" w:sz="4" w:space="0"/>
              <w:right w:val="single" w:color="auto" w:sz="4" w:space="0"/>
            </w:tcBorders>
            <w:vAlign w:val="center"/>
          </w:tcPr>
          <w:p w14:paraId="0F013AD0">
            <w:pPr>
              <w:adjustRightInd w:val="0"/>
              <w:snapToGrid w:val="0"/>
              <w:jc w:val="center"/>
              <w:rPr>
                <w:color w:val="auto"/>
                <w:szCs w:val="21"/>
              </w:rPr>
            </w:pPr>
            <w:r>
              <w:rPr>
                <w:color w:val="auto"/>
                <w:szCs w:val="21"/>
              </w:rPr>
              <w:t>10</w:t>
            </w:r>
          </w:p>
        </w:tc>
        <w:tc>
          <w:tcPr>
            <w:tcW w:w="1797" w:type="dxa"/>
            <w:tcBorders>
              <w:top w:val="single" w:color="auto" w:sz="4" w:space="0"/>
              <w:left w:val="single" w:color="auto" w:sz="4" w:space="0"/>
              <w:bottom w:val="single" w:color="auto" w:sz="4" w:space="0"/>
              <w:right w:val="single" w:color="auto" w:sz="4" w:space="0"/>
            </w:tcBorders>
            <w:vAlign w:val="center"/>
          </w:tcPr>
          <w:p w14:paraId="3DF8DFC4">
            <w:pPr>
              <w:adjustRightInd w:val="0"/>
              <w:snapToGrid w:val="0"/>
              <w:jc w:val="center"/>
              <w:rPr>
                <w:color w:val="auto"/>
                <w:szCs w:val="21"/>
              </w:rPr>
            </w:pPr>
            <w:r>
              <w:rPr>
                <w:color w:val="auto"/>
                <w:szCs w:val="21"/>
              </w:rPr>
              <w:t>应急培训计划</w:t>
            </w:r>
          </w:p>
        </w:tc>
        <w:tc>
          <w:tcPr>
            <w:tcW w:w="6021" w:type="dxa"/>
            <w:tcBorders>
              <w:top w:val="single" w:color="auto" w:sz="4" w:space="0"/>
              <w:left w:val="single" w:color="auto" w:sz="4" w:space="0"/>
              <w:bottom w:val="single" w:color="auto" w:sz="4" w:space="0"/>
              <w:right w:val="nil"/>
            </w:tcBorders>
            <w:vAlign w:val="center"/>
          </w:tcPr>
          <w:p w14:paraId="54D6C34F">
            <w:pPr>
              <w:adjustRightInd w:val="0"/>
              <w:snapToGrid w:val="0"/>
              <w:rPr>
                <w:color w:val="auto"/>
                <w:szCs w:val="21"/>
              </w:rPr>
            </w:pPr>
            <w:r>
              <w:rPr>
                <w:color w:val="auto"/>
                <w:szCs w:val="21"/>
              </w:rPr>
              <w:t>应急计划制定后</w:t>
            </w:r>
            <w:r>
              <w:rPr>
                <w:rFonts w:hint="eastAsia"/>
                <w:color w:val="auto"/>
                <w:szCs w:val="21"/>
                <w:lang w:eastAsia="zh-CN"/>
              </w:rPr>
              <w:t>，</w:t>
            </w:r>
            <w:r>
              <w:rPr>
                <w:color w:val="auto"/>
                <w:szCs w:val="21"/>
              </w:rPr>
              <w:t>平时安排人员培训与演练</w:t>
            </w:r>
          </w:p>
        </w:tc>
      </w:tr>
      <w:tr w14:paraId="6FFD42FE">
        <w:tblPrEx>
          <w:tblBorders>
            <w:top w:val="single" w:color="auto" w:sz="12" w:space="0"/>
            <w:left w:val="none" w:color="auto" w:sz="0" w:space="0"/>
            <w:bottom w:val="single" w:color="auto" w:sz="12" w:space="0"/>
            <w:right w:val="none" w:color="auto" w:sz="0"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755" w:type="dxa"/>
            <w:tcBorders>
              <w:top w:val="single" w:color="auto" w:sz="4" w:space="0"/>
              <w:left w:val="nil"/>
              <w:bottom w:val="single" w:color="auto" w:sz="12" w:space="0"/>
              <w:right w:val="single" w:color="auto" w:sz="4" w:space="0"/>
            </w:tcBorders>
            <w:vAlign w:val="center"/>
          </w:tcPr>
          <w:p w14:paraId="2F77F3D7">
            <w:pPr>
              <w:adjustRightInd w:val="0"/>
              <w:snapToGrid w:val="0"/>
              <w:jc w:val="center"/>
              <w:rPr>
                <w:color w:val="auto"/>
                <w:szCs w:val="21"/>
              </w:rPr>
            </w:pPr>
            <w:r>
              <w:rPr>
                <w:color w:val="auto"/>
                <w:szCs w:val="21"/>
              </w:rPr>
              <w:t>11</w:t>
            </w:r>
          </w:p>
        </w:tc>
        <w:tc>
          <w:tcPr>
            <w:tcW w:w="1797" w:type="dxa"/>
            <w:tcBorders>
              <w:top w:val="single" w:color="auto" w:sz="4" w:space="0"/>
              <w:left w:val="single" w:color="auto" w:sz="4" w:space="0"/>
              <w:bottom w:val="single" w:color="auto" w:sz="12" w:space="0"/>
              <w:right w:val="single" w:color="auto" w:sz="4" w:space="0"/>
            </w:tcBorders>
            <w:vAlign w:val="center"/>
          </w:tcPr>
          <w:p w14:paraId="7DDD8747">
            <w:pPr>
              <w:adjustRightInd w:val="0"/>
              <w:snapToGrid w:val="0"/>
              <w:jc w:val="center"/>
              <w:rPr>
                <w:color w:val="auto"/>
                <w:szCs w:val="21"/>
              </w:rPr>
            </w:pPr>
            <w:r>
              <w:rPr>
                <w:color w:val="auto"/>
                <w:szCs w:val="21"/>
              </w:rPr>
              <w:t>公众教育和信息</w:t>
            </w:r>
          </w:p>
        </w:tc>
        <w:tc>
          <w:tcPr>
            <w:tcW w:w="6021" w:type="dxa"/>
            <w:tcBorders>
              <w:top w:val="single" w:color="auto" w:sz="4" w:space="0"/>
              <w:left w:val="single" w:color="auto" w:sz="4" w:space="0"/>
              <w:bottom w:val="single" w:color="auto" w:sz="12" w:space="0"/>
              <w:right w:val="nil"/>
            </w:tcBorders>
            <w:vAlign w:val="center"/>
          </w:tcPr>
          <w:p w14:paraId="58E11E6E">
            <w:pPr>
              <w:adjustRightInd w:val="0"/>
              <w:snapToGrid w:val="0"/>
              <w:rPr>
                <w:color w:val="auto"/>
                <w:szCs w:val="21"/>
              </w:rPr>
            </w:pPr>
            <w:r>
              <w:rPr>
                <w:color w:val="auto"/>
                <w:szCs w:val="21"/>
              </w:rPr>
              <w:t>对邻近地区开展公众教育、培训和发布有关信息</w:t>
            </w:r>
          </w:p>
        </w:tc>
      </w:tr>
    </w:tbl>
    <w:p w14:paraId="6C4B2DB4">
      <w:pPr>
        <w:pStyle w:val="3"/>
        <w:rPr>
          <w:color w:val="auto"/>
        </w:rPr>
      </w:pPr>
      <w:r>
        <w:rPr>
          <w:color w:val="auto"/>
        </w:rPr>
        <w:t>7风险评价结论</w:t>
      </w:r>
    </w:p>
    <w:p w14:paraId="3AA52E8E">
      <w:pPr>
        <w:pStyle w:val="102"/>
        <w:ind w:firstLine="480"/>
        <w:rPr>
          <w:color w:val="auto"/>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color w:val="auto"/>
        </w:rPr>
        <w:t>对照《建设项目环境风险评价技术导则》（HJ169-2018）附录B</w:t>
      </w:r>
      <w:r>
        <w:rPr>
          <w:rFonts w:hint="eastAsia"/>
          <w:color w:val="auto"/>
          <w:lang w:eastAsia="zh-CN"/>
        </w:rPr>
        <w:t>，</w:t>
      </w:r>
      <w:r>
        <w:rPr>
          <w:color w:val="auto"/>
        </w:rPr>
        <w:t>项目涉及的主要危险物质为</w:t>
      </w:r>
      <w:r>
        <w:rPr>
          <w:rFonts w:hint="eastAsia"/>
          <w:color w:val="auto"/>
        </w:rPr>
        <w:t>聚合M</w:t>
      </w:r>
      <w:r>
        <w:rPr>
          <w:color w:val="auto"/>
        </w:rPr>
        <w:t>DI</w:t>
      </w:r>
      <w:r>
        <w:rPr>
          <w:rFonts w:hint="eastAsia"/>
          <w:color w:val="auto"/>
        </w:rPr>
        <w:t>、二丁酯</w:t>
      </w:r>
      <w:r>
        <w:rPr>
          <w:rFonts w:hint="eastAsia"/>
          <w:color w:val="auto"/>
          <w:lang w:eastAsia="zh-CN"/>
        </w:rPr>
        <w:t>，</w:t>
      </w:r>
      <w:r>
        <w:rPr>
          <w:rFonts w:hint="eastAsia"/>
          <w:color w:val="auto"/>
        </w:rPr>
        <w:t>使用过程中存在化学品泄漏、火灾等突发性事故</w:t>
      </w:r>
      <w:r>
        <w:rPr>
          <w:rFonts w:hint="eastAsia"/>
          <w:color w:val="auto"/>
          <w:lang w:eastAsia="zh-CN"/>
        </w:rPr>
        <w:t>，</w:t>
      </w:r>
      <w:r>
        <w:rPr>
          <w:rFonts w:hint="eastAsia"/>
          <w:color w:val="auto"/>
        </w:rPr>
        <w:t>在严格落实风险管理及应急措施后</w:t>
      </w:r>
      <w:r>
        <w:rPr>
          <w:rFonts w:hint="eastAsia"/>
          <w:color w:val="auto"/>
          <w:lang w:eastAsia="zh-CN"/>
        </w:rPr>
        <w:t>，</w:t>
      </w:r>
      <w:r>
        <w:rPr>
          <w:rFonts w:hint="eastAsia"/>
          <w:color w:val="auto"/>
        </w:rPr>
        <w:t>制定风险应急预案</w:t>
      </w:r>
      <w:r>
        <w:rPr>
          <w:rFonts w:hint="eastAsia"/>
          <w:color w:val="auto"/>
          <w:lang w:eastAsia="zh-CN"/>
        </w:rPr>
        <w:t>，</w:t>
      </w:r>
      <w:r>
        <w:rPr>
          <w:rFonts w:hint="eastAsia"/>
          <w:color w:val="auto"/>
        </w:rPr>
        <w:t>可将风险发生的概率和影响后果降到最低限度。</w:t>
      </w:r>
    </w:p>
    <w:p w14:paraId="62CC5EFB">
      <w:pPr>
        <w:pStyle w:val="114"/>
        <w:rPr>
          <w:color w:val="auto"/>
        </w:rPr>
      </w:pPr>
      <w:bookmarkStart w:id="12" w:name="_Toc18399454"/>
      <w:r>
        <w:rPr>
          <w:color w:val="auto"/>
        </w:rPr>
        <w:t>附</w:t>
      </w:r>
      <w:r>
        <w:rPr>
          <w:rFonts w:hint="eastAsia"/>
          <w:color w:val="auto"/>
        </w:rPr>
        <w:t>表1</w:t>
      </w:r>
      <w:r>
        <w:rPr>
          <w:color w:val="auto"/>
        </w:rPr>
        <w:t xml:space="preserve">  </w:t>
      </w:r>
      <w:r>
        <w:rPr>
          <w:rFonts w:hint="eastAsia"/>
          <w:color w:val="auto"/>
        </w:rPr>
        <w:t>建设项目环境风险影响评价自查表</w:t>
      </w:r>
      <w:bookmarkEnd w:id="12"/>
    </w:p>
    <w:tbl>
      <w:tblPr>
        <w:tblStyle w:val="43"/>
        <w:tblW w:w="5000" w:type="pct"/>
        <w:jc w:val="center"/>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Layout w:type="autofit"/>
        <w:tblCellMar>
          <w:top w:w="0" w:type="dxa"/>
          <w:left w:w="108" w:type="dxa"/>
          <w:bottom w:w="0" w:type="dxa"/>
          <w:right w:w="108" w:type="dxa"/>
        </w:tblCellMar>
      </w:tblPr>
      <w:tblGrid>
        <w:gridCol w:w="1424"/>
        <w:gridCol w:w="2303"/>
        <w:gridCol w:w="1573"/>
        <w:gridCol w:w="476"/>
        <w:gridCol w:w="518"/>
        <w:gridCol w:w="851"/>
        <w:gridCol w:w="683"/>
        <w:gridCol w:w="95"/>
        <w:gridCol w:w="271"/>
        <w:gridCol w:w="655"/>
        <w:gridCol w:w="786"/>
        <w:gridCol w:w="238"/>
        <w:gridCol w:w="683"/>
        <w:gridCol w:w="162"/>
        <w:gridCol w:w="367"/>
        <w:gridCol w:w="330"/>
        <w:gridCol w:w="392"/>
        <w:gridCol w:w="11"/>
        <w:gridCol w:w="109"/>
        <w:gridCol w:w="968"/>
        <w:gridCol w:w="1097"/>
      </w:tblGrid>
      <w:tr w14:paraId="0E64C7A5">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shd w:val="clear" w:color="auto" w:fill="auto"/>
            <w:vAlign w:val="center"/>
          </w:tcPr>
          <w:p w14:paraId="36941E1F">
            <w:pPr>
              <w:jc w:val="center"/>
              <w:rPr>
                <w:color w:val="auto"/>
                <w:sz w:val="18"/>
                <w:szCs w:val="18"/>
              </w:rPr>
            </w:pPr>
            <w:r>
              <w:rPr>
                <w:color w:val="auto"/>
                <w:sz w:val="18"/>
                <w:szCs w:val="18"/>
              </w:rPr>
              <w:t>工作内容</w:t>
            </w:r>
          </w:p>
        </w:tc>
        <w:tc>
          <w:tcPr>
            <w:tcW w:w="3668" w:type="pct"/>
            <w:gridSpan w:val="19"/>
            <w:shd w:val="clear" w:color="auto" w:fill="auto"/>
            <w:vAlign w:val="center"/>
          </w:tcPr>
          <w:p w14:paraId="180BC39C">
            <w:pPr>
              <w:jc w:val="center"/>
              <w:rPr>
                <w:color w:val="auto"/>
                <w:sz w:val="18"/>
                <w:szCs w:val="18"/>
              </w:rPr>
            </w:pPr>
            <w:r>
              <w:rPr>
                <w:color w:val="auto"/>
                <w:sz w:val="18"/>
                <w:szCs w:val="18"/>
              </w:rPr>
              <w:t>完成情况</w:t>
            </w:r>
          </w:p>
        </w:tc>
      </w:tr>
      <w:tr w14:paraId="3DF9F95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restart"/>
            <w:shd w:val="clear" w:color="auto" w:fill="auto"/>
            <w:vAlign w:val="center"/>
          </w:tcPr>
          <w:p w14:paraId="5DE98587">
            <w:pPr>
              <w:jc w:val="center"/>
              <w:rPr>
                <w:color w:val="auto"/>
                <w:sz w:val="18"/>
                <w:szCs w:val="18"/>
              </w:rPr>
            </w:pPr>
            <w:r>
              <w:rPr>
                <w:color w:val="auto"/>
                <w:sz w:val="18"/>
                <w:szCs w:val="18"/>
              </w:rPr>
              <w:t>风</w:t>
            </w:r>
          </w:p>
          <w:p w14:paraId="2FFE933C">
            <w:pPr>
              <w:jc w:val="center"/>
              <w:rPr>
                <w:color w:val="auto"/>
                <w:sz w:val="18"/>
                <w:szCs w:val="18"/>
              </w:rPr>
            </w:pPr>
            <w:r>
              <w:rPr>
                <w:color w:val="auto"/>
                <w:sz w:val="18"/>
                <w:szCs w:val="18"/>
              </w:rPr>
              <w:t>险</w:t>
            </w:r>
          </w:p>
          <w:p w14:paraId="10157803">
            <w:pPr>
              <w:jc w:val="center"/>
              <w:rPr>
                <w:color w:val="auto"/>
                <w:sz w:val="18"/>
                <w:szCs w:val="18"/>
              </w:rPr>
            </w:pPr>
            <w:r>
              <w:rPr>
                <w:color w:val="auto"/>
                <w:sz w:val="18"/>
                <w:szCs w:val="18"/>
              </w:rPr>
              <w:t>调</w:t>
            </w:r>
          </w:p>
          <w:p w14:paraId="5064B812">
            <w:pPr>
              <w:jc w:val="center"/>
              <w:rPr>
                <w:color w:val="auto"/>
                <w:sz w:val="18"/>
                <w:szCs w:val="18"/>
              </w:rPr>
            </w:pPr>
            <w:r>
              <w:rPr>
                <w:color w:val="auto"/>
                <w:sz w:val="18"/>
                <w:szCs w:val="18"/>
              </w:rPr>
              <w:t>查</w:t>
            </w:r>
          </w:p>
        </w:tc>
        <w:tc>
          <w:tcPr>
            <w:tcW w:w="823" w:type="pct"/>
            <w:vMerge w:val="restart"/>
            <w:shd w:val="clear" w:color="auto" w:fill="auto"/>
            <w:vAlign w:val="center"/>
          </w:tcPr>
          <w:p w14:paraId="68E66303">
            <w:pPr>
              <w:jc w:val="center"/>
              <w:rPr>
                <w:color w:val="auto"/>
                <w:sz w:val="18"/>
                <w:szCs w:val="18"/>
              </w:rPr>
            </w:pPr>
            <w:r>
              <w:rPr>
                <w:color w:val="auto"/>
                <w:sz w:val="18"/>
                <w:szCs w:val="18"/>
              </w:rPr>
              <w:t>危险物质</w:t>
            </w:r>
          </w:p>
        </w:tc>
        <w:tc>
          <w:tcPr>
            <w:tcW w:w="562" w:type="pct"/>
            <w:shd w:val="clear" w:color="auto" w:fill="auto"/>
            <w:vAlign w:val="center"/>
          </w:tcPr>
          <w:p w14:paraId="5FDCBCD1">
            <w:pPr>
              <w:jc w:val="center"/>
              <w:rPr>
                <w:color w:val="auto"/>
                <w:sz w:val="18"/>
                <w:szCs w:val="18"/>
              </w:rPr>
            </w:pPr>
            <w:r>
              <w:rPr>
                <w:color w:val="auto"/>
                <w:sz w:val="18"/>
                <w:szCs w:val="18"/>
              </w:rPr>
              <w:t>名称</w:t>
            </w:r>
          </w:p>
        </w:tc>
        <w:tc>
          <w:tcPr>
            <w:tcW w:w="937" w:type="pct"/>
            <w:gridSpan w:val="5"/>
            <w:shd w:val="clear" w:color="auto" w:fill="auto"/>
            <w:vAlign w:val="center"/>
          </w:tcPr>
          <w:p w14:paraId="2E7A1DEE">
            <w:pPr>
              <w:jc w:val="center"/>
              <w:rPr>
                <w:color w:val="auto"/>
                <w:sz w:val="18"/>
                <w:szCs w:val="18"/>
              </w:rPr>
            </w:pPr>
            <w:r>
              <w:rPr>
                <w:rFonts w:hint="eastAsia"/>
                <w:color w:val="auto"/>
              </w:rPr>
              <w:t>聚合M</w:t>
            </w:r>
            <w:r>
              <w:rPr>
                <w:color w:val="auto"/>
              </w:rPr>
              <w:t>DI</w:t>
            </w:r>
          </w:p>
        </w:tc>
        <w:tc>
          <w:tcPr>
            <w:tcW w:w="612" w:type="pct"/>
            <w:gridSpan w:val="3"/>
            <w:shd w:val="clear" w:color="auto" w:fill="auto"/>
            <w:vAlign w:val="center"/>
          </w:tcPr>
          <w:p w14:paraId="4DF2E816">
            <w:pPr>
              <w:jc w:val="center"/>
              <w:rPr>
                <w:color w:val="auto"/>
                <w:sz w:val="18"/>
                <w:szCs w:val="18"/>
              </w:rPr>
            </w:pPr>
            <w:r>
              <w:rPr>
                <w:rFonts w:hint="eastAsia"/>
                <w:color w:val="auto"/>
              </w:rPr>
              <w:t>二丁酯</w:t>
            </w:r>
          </w:p>
        </w:tc>
        <w:tc>
          <w:tcPr>
            <w:tcW w:w="387" w:type="pct"/>
            <w:gridSpan w:val="3"/>
            <w:shd w:val="clear" w:color="auto" w:fill="auto"/>
            <w:vAlign w:val="center"/>
          </w:tcPr>
          <w:p w14:paraId="5419D38F">
            <w:pPr>
              <w:jc w:val="center"/>
              <w:rPr>
                <w:color w:val="auto"/>
                <w:sz w:val="18"/>
                <w:szCs w:val="18"/>
              </w:rPr>
            </w:pPr>
          </w:p>
        </w:tc>
        <w:tc>
          <w:tcPr>
            <w:tcW w:w="389" w:type="pct"/>
            <w:gridSpan w:val="3"/>
            <w:shd w:val="clear" w:color="auto" w:fill="auto"/>
            <w:vAlign w:val="center"/>
          </w:tcPr>
          <w:p w14:paraId="3957BB58">
            <w:pPr>
              <w:jc w:val="center"/>
              <w:rPr>
                <w:color w:val="auto"/>
                <w:sz w:val="18"/>
                <w:szCs w:val="18"/>
              </w:rPr>
            </w:pPr>
          </w:p>
        </w:tc>
        <w:tc>
          <w:tcPr>
            <w:tcW w:w="389" w:type="pct"/>
            <w:gridSpan w:val="3"/>
            <w:shd w:val="clear" w:color="auto" w:fill="auto"/>
            <w:vAlign w:val="center"/>
          </w:tcPr>
          <w:p w14:paraId="633CCC36">
            <w:pPr>
              <w:jc w:val="center"/>
              <w:rPr>
                <w:color w:val="auto"/>
                <w:sz w:val="18"/>
                <w:szCs w:val="18"/>
              </w:rPr>
            </w:pPr>
          </w:p>
        </w:tc>
        <w:tc>
          <w:tcPr>
            <w:tcW w:w="392" w:type="pct"/>
            <w:shd w:val="clear" w:color="auto" w:fill="auto"/>
            <w:vAlign w:val="center"/>
          </w:tcPr>
          <w:p w14:paraId="790133F2">
            <w:pPr>
              <w:jc w:val="center"/>
              <w:rPr>
                <w:color w:val="auto"/>
                <w:sz w:val="18"/>
                <w:szCs w:val="18"/>
              </w:rPr>
            </w:pPr>
          </w:p>
        </w:tc>
      </w:tr>
      <w:tr w14:paraId="3979AD4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97" w:hRule="atLeast"/>
          <w:jc w:val="center"/>
        </w:trPr>
        <w:tc>
          <w:tcPr>
            <w:tcW w:w="509" w:type="pct"/>
            <w:vMerge w:val="continue"/>
            <w:shd w:val="clear" w:color="auto" w:fill="auto"/>
            <w:vAlign w:val="center"/>
          </w:tcPr>
          <w:p w14:paraId="291CCA92">
            <w:pPr>
              <w:jc w:val="center"/>
              <w:rPr>
                <w:color w:val="auto"/>
                <w:sz w:val="18"/>
                <w:szCs w:val="18"/>
              </w:rPr>
            </w:pPr>
          </w:p>
        </w:tc>
        <w:tc>
          <w:tcPr>
            <w:tcW w:w="823" w:type="pct"/>
            <w:vMerge w:val="continue"/>
            <w:shd w:val="clear" w:color="auto" w:fill="auto"/>
            <w:vAlign w:val="center"/>
          </w:tcPr>
          <w:p w14:paraId="6A0F2114">
            <w:pPr>
              <w:jc w:val="center"/>
              <w:rPr>
                <w:color w:val="auto"/>
                <w:sz w:val="18"/>
                <w:szCs w:val="18"/>
              </w:rPr>
            </w:pPr>
          </w:p>
        </w:tc>
        <w:tc>
          <w:tcPr>
            <w:tcW w:w="562" w:type="pct"/>
            <w:shd w:val="clear" w:color="auto" w:fill="auto"/>
            <w:vAlign w:val="center"/>
          </w:tcPr>
          <w:p w14:paraId="50BA414B">
            <w:pPr>
              <w:jc w:val="center"/>
              <w:rPr>
                <w:color w:val="auto"/>
                <w:sz w:val="18"/>
                <w:szCs w:val="18"/>
              </w:rPr>
            </w:pPr>
            <w:r>
              <w:rPr>
                <w:color w:val="auto"/>
                <w:sz w:val="18"/>
                <w:szCs w:val="18"/>
              </w:rPr>
              <w:t>存在总量/t</w:t>
            </w:r>
          </w:p>
        </w:tc>
        <w:tc>
          <w:tcPr>
            <w:tcW w:w="937" w:type="pct"/>
            <w:gridSpan w:val="5"/>
            <w:shd w:val="clear" w:color="auto" w:fill="auto"/>
            <w:vAlign w:val="center"/>
          </w:tcPr>
          <w:p w14:paraId="6FE0281B">
            <w:pPr>
              <w:jc w:val="center"/>
              <w:rPr>
                <w:color w:val="auto"/>
                <w:sz w:val="18"/>
                <w:szCs w:val="18"/>
                <w:highlight w:val="none"/>
              </w:rPr>
            </w:pPr>
            <w:r>
              <w:rPr>
                <w:color w:val="auto"/>
                <w:sz w:val="18"/>
                <w:szCs w:val="18"/>
                <w:highlight w:val="none"/>
              </w:rPr>
              <w:t>4.072</w:t>
            </w:r>
          </w:p>
        </w:tc>
        <w:tc>
          <w:tcPr>
            <w:tcW w:w="612" w:type="pct"/>
            <w:gridSpan w:val="3"/>
            <w:shd w:val="clear" w:color="auto" w:fill="auto"/>
            <w:vAlign w:val="center"/>
          </w:tcPr>
          <w:p w14:paraId="720E5EA5">
            <w:pPr>
              <w:jc w:val="center"/>
              <w:rPr>
                <w:color w:val="auto"/>
                <w:sz w:val="18"/>
                <w:szCs w:val="18"/>
                <w:highlight w:val="none"/>
              </w:rPr>
            </w:pPr>
            <w:r>
              <w:rPr>
                <w:rFonts w:hint="eastAsia"/>
                <w:color w:val="auto"/>
                <w:sz w:val="18"/>
                <w:szCs w:val="18"/>
                <w:highlight w:val="none"/>
              </w:rPr>
              <w:t>4</w:t>
            </w:r>
            <w:r>
              <w:rPr>
                <w:color w:val="auto"/>
                <w:sz w:val="18"/>
                <w:szCs w:val="18"/>
                <w:highlight w:val="none"/>
              </w:rPr>
              <w:t>.2</w:t>
            </w:r>
          </w:p>
        </w:tc>
        <w:tc>
          <w:tcPr>
            <w:tcW w:w="387" w:type="pct"/>
            <w:gridSpan w:val="3"/>
            <w:shd w:val="clear" w:color="auto" w:fill="auto"/>
            <w:vAlign w:val="center"/>
          </w:tcPr>
          <w:p w14:paraId="2C43AF58">
            <w:pPr>
              <w:jc w:val="center"/>
              <w:rPr>
                <w:color w:val="auto"/>
                <w:sz w:val="18"/>
                <w:szCs w:val="18"/>
                <w:highlight w:val="none"/>
              </w:rPr>
            </w:pPr>
          </w:p>
        </w:tc>
        <w:tc>
          <w:tcPr>
            <w:tcW w:w="389" w:type="pct"/>
            <w:gridSpan w:val="3"/>
            <w:shd w:val="clear" w:color="auto" w:fill="auto"/>
            <w:vAlign w:val="center"/>
          </w:tcPr>
          <w:p w14:paraId="375C9D39">
            <w:pPr>
              <w:jc w:val="center"/>
              <w:rPr>
                <w:color w:val="auto"/>
                <w:sz w:val="18"/>
                <w:szCs w:val="18"/>
                <w:highlight w:val="none"/>
              </w:rPr>
            </w:pPr>
          </w:p>
        </w:tc>
        <w:tc>
          <w:tcPr>
            <w:tcW w:w="389" w:type="pct"/>
            <w:gridSpan w:val="3"/>
            <w:shd w:val="clear" w:color="auto" w:fill="auto"/>
            <w:vAlign w:val="center"/>
          </w:tcPr>
          <w:p w14:paraId="1A57FA36">
            <w:pPr>
              <w:jc w:val="center"/>
              <w:rPr>
                <w:color w:val="auto"/>
                <w:sz w:val="18"/>
                <w:szCs w:val="18"/>
              </w:rPr>
            </w:pPr>
          </w:p>
        </w:tc>
        <w:tc>
          <w:tcPr>
            <w:tcW w:w="392" w:type="pct"/>
            <w:shd w:val="clear" w:color="auto" w:fill="auto"/>
            <w:vAlign w:val="center"/>
          </w:tcPr>
          <w:p w14:paraId="07B58FA5">
            <w:pPr>
              <w:jc w:val="center"/>
              <w:rPr>
                <w:color w:val="auto"/>
                <w:sz w:val="18"/>
                <w:szCs w:val="18"/>
              </w:rPr>
            </w:pPr>
          </w:p>
        </w:tc>
      </w:tr>
      <w:tr w14:paraId="4DEE554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02D38861">
            <w:pPr>
              <w:jc w:val="center"/>
              <w:rPr>
                <w:color w:val="auto"/>
                <w:sz w:val="18"/>
                <w:szCs w:val="18"/>
              </w:rPr>
            </w:pPr>
          </w:p>
        </w:tc>
        <w:tc>
          <w:tcPr>
            <w:tcW w:w="823" w:type="pct"/>
            <w:vMerge w:val="restart"/>
            <w:shd w:val="clear" w:color="auto" w:fill="auto"/>
            <w:vAlign w:val="center"/>
          </w:tcPr>
          <w:p w14:paraId="75DCBB5E">
            <w:pPr>
              <w:jc w:val="center"/>
              <w:rPr>
                <w:color w:val="auto"/>
                <w:sz w:val="18"/>
                <w:szCs w:val="18"/>
              </w:rPr>
            </w:pPr>
            <w:r>
              <w:rPr>
                <w:color w:val="auto"/>
                <w:sz w:val="18"/>
                <w:szCs w:val="18"/>
              </w:rPr>
              <w:t>环境敏感性</w:t>
            </w:r>
          </w:p>
        </w:tc>
        <w:tc>
          <w:tcPr>
            <w:tcW w:w="562" w:type="pct"/>
            <w:vMerge w:val="restart"/>
            <w:shd w:val="clear" w:color="auto" w:fill="auto"/>
            <w:vAlign w:val="center"/>
          </w:tcPr>
          <w:p w14:paraId="07A25C41">
            <w:pPr>
              <w:jc w:val="center"/>
              <w:rPr>
                <w:color w:val="auto"/>
                <w:sz w:val="18"/>
                <w:szCs w:val="18"/>
              </w:rPr>
            </w:pPr>
            <w:r>
              <w:rPr>
                <w:color w:val="auto"/>
                <w:sz w:val="18"/>
                <w:szCs w:val="18"/>
              </w:rPr>
              <w:t>大气</w:t>
            </w:r>
          </w:p>
        </w:tc>
        <w:tc>
          <w:tcPr>
            <w:tcW w:w="1549" w:type="pct"/>
            <w:gridSpan w:val="8"/>
            <w:shd w:val="clear" w:color="auto" w:fill="auto"/>
            <w:vAlign w:val="center"/>
          </w:tcPr>
          <w:p w14:paraId="296EFDBE">
            <w:pPr>
              <w:jc w:val="center"/>
              <w:rPr>
                <w:color w:val="auto"/>
                <w:sz w:val="18"/>
                <w:szCs w:val="18"/>
                <w:highlight w:val="none"/>
              </w:rPr>
            </w:pPr>
            <w:r>
              <w:rPr>
                <w:color w:val="auto"/>
                <w:sz w:val="18"/>
                <w:szCs w:val="18"/>
                <w:highlight w:val="none"/>
              </w:rPr>
              <w:t>500m范围内人口数</w:t>
            </w:r>
            <w:r>
              <w:rPr>
                <w:color w:val="auto"/>
                <w:sz w:val="18"/>
                <w:szCs w:val="18"/>
                <w:highlight w:val="none"/>
                <w:u w:val="single"/>
              </w:rPr>
              <w:t xml:space="preserve"> </w:t>
            </w:r>
            <w:r>
              <w:rPr>
                <w:rFonts w:hint="eastAsia"/>
                <w:color w:val="auto"/>
                <w:sz w:val="18"/>
                <w:szCs w:val="18"/>
                <w:highlight w:val="none"/>
                <w:u w:val="single"/>
                <w:lang w:val="en-US" w:eastAsia="zh-CN"/>
              </w:rPr>
              <w:t>6110</w:t>
            </w:r>
            <w:r>
              <w:rPr>
                <w:color w:val="auto"/>
                <w:sz w:val="18"/>
                <w:szCs w:val="18"/>
                <w:highlight w:val="none"/>
              </w:rPr>
              <w:t>人</w:t>
            </w:r>
          </w:p>
        </w:tc>
        <w:tc>
          <w:tcPr>
            <w:tcW w:w="1557" w:type="pct"/>
            <w:gridSpan w:val="10"/>
            <w:shd w:val="clear" w:color="auto" w:fill="auto"/>
            <w:vAlign w:val="center"/>
          </w:tcPr>
          <w:p w14:paraId="24525EF0">
            <w:pPr>
              <w:jc w:val="center"/>
              <w:rPr>
                <w:color w:val="auto"/>
                <w:sz w:val="18"/>
                <w:szCs w:val="18"/>
                <w:highlight w:val="none"/>
              </w:rPr>
            </w:pPr>
            <w:r>
              <w:rPr>
                <w:color w:val="auto"/>
                <w:sz w:val="18"/>
                <w:szCs w:val="18"/>
                <w:highlight w:val="none"/>
              </w:rPr>
              <w:t>5km范围内人口数</w:t>
            </w:r>
            <w:r>
              <w:rPr>
                <w:color w:val="auto"/>
                <w:sz w:val="18"/>
                <w:szCs w:val="18"/>
                <w:highlight w:val="none"/>
                <w:u w:val="single"/>
              </w:rPr>
              <w:t xml:space="preserve"> </w:t>
            </w:r>
            <w:r>
              <w:rPr>
                <w:rFonts w:hint="eastAsia"/>
                <w:color w:val="auto"/>
                <w:sz w:val="18"/>
                <w:szCs w:val="18"/>
                <w:highlight w:val="none"/>
                <w:u w:val="single"/>
                <w:lang w:val="en-US" w:eastAsia="zh-CN"/>
              </w:rPr>
              <w:t>25.88</w:t>
            </w:r>
            <w:r>
              <w:rPr>
                <w:rFonts w:hint="eastAsia"/>
                <w:color w:val="auto"/>
                <w:sz w:val="18"/>
                <w:szCs w:val="18"/>
                <w:highlight w:val="none"/>
                <w:u w:val="single"/>
              </w:rPr>
              <w:t>万</w:t>
            </w:r>
            <w:r>
              <w:rPr>
                <w:color w:val="auto"/>
                <w:sz w:val="18"/>
                <w:szCs w:val="18"/>
                <w:highlight w:val="none"/>
                <w:u w:val="single"/>
              </w:rPr>
              <w:t xml:space="preserve">  </w:t>
            </w:r>
            <w:r>
              <w:rPr>
                <w:color w:val="auto"/>
                <w:sz w:val="18"/>
                <w:szCs w:val="18"/>
                <w:highlight w:val="none"/>
              </w:rPr>
              <w:t>人</w:t>
            </w:r>
          </w:p>
        </w:tc>
      </w:tr>
      <w:tr w14:paraId="49A4039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7D3F66F5">
            <w:pPr>
              <w:jc w:val="center"/>
              <w:rPr>
                <w:color w:val="auto"/>
                <w:sz w:val="18"/>
                <w:szCs w:val="18"/>
              </w:rPr>
            </w:pPr>
          </w:p>
        </w:tc>
        <w:tc>
          <w:tcPr>
            <w:tcW w:w="823" w:type="pct"/>
            <w:vMerge w:val="continue"/>
            <w:shd w:val="clear" w:color="auto" w:fill="auto"/>
            <w:vAlign w:val="center"/>
          </w:tcPr>
          <w:p w14:paraId="23F9432F">
            <w:pPr>
              <w:jc w:val="center"/>
              <w:rPr>
                <w:color w:val="auto"/>
                <w:sz w:val="18"/>
                <w:szCs w:val="18"/>
              </w:rPr>
            </w:pPr>
          </w:p>
        </w:tc>
        <w:tc>
          <w:tcPr>
            <w:tcW w:w="562" w:type="pct"/>
            <w:vMerge w:val="continue"/>
            <w:shd w:val="clear" w:color="auto" w:fill="auto"/>
            <w:vAlign w:val="center"/>
          </w:tcPr>
          <w:p w14:paraId="2C34C873">
            <w:pPr>
              <w:jc w:val="center"/>
              <w:rPr>
                <w:color w:val="auto"/>
                <w:sz w:val="18"/>
                <w:szCs w:val="18"/>
              </w:rPr>
            </w:pPr>
          </w:p>
        </w:tc>
        <w:tc>
          <w:tcPr>
            <w:tcW w:w="2329" w:type="pct"/>
            <w:gridSpan w:val="15"/>
            <w:shd w:val="clear" w:color="auto" w:fill="auto"/>
            <w:vAlign w:val="center"/>
          </w:tcPr>
          <w:p w14:paraId="7A03161C">
            <w:pPr>
              <w:jc w:val="center"/>
              <w:rPr>
                <w:color w:val="auto"/>
                <w:sz w:val="18"/>
                <w:szCs w:val="18"/>
              </w:rPr>
            </w:pPr>
            <w:r>
              <w:rPr>
                <w:color w:val="auto"/>
                <w:sz w:val="18"/>
                <w:szCs w:val="18"/>
              </w:rPr>
              <w:t>每公里管段周边200m范围内人口数（最大）</w:t>
            </w:r>
          </w:p>
        </w:tc>
        <w:tc>
          <w:tcPr>
            <w:tcW w:w="778" w:type="pct"/>
            <w:gridSpan w:val="3"/>
            <w:shd w:val="clear" w:color="auto" w:fill="auto"/>
            <w:vAlign w:val="center"/>
          </w:tcPr>
          <w:p w14:paraId="0D8621F4">
            <w:pPr>
              <w:jc w:val="center"/>
              <w:rPr>
                <w:color w:val="auto"/>
                <w:sz w:val="18"/>
                <w:szCs w:val="18"/>
              </w:rPr>
            </w:pPr>
            <w:r>
              <w:rPr>
                <w:color w:val="auto"/>
                <w:sz w:val="18"/>
                <w:szCs w:val="18"/>
                <w:u w:val="single"/>
              </w:rPr>
              <w:t xml:space="preserve">      </w:t>
            </w:r>
            <w:r>
              <w:rPr>
                <w:color w:val="auto"/>
                <w:sz w:val="18"/>
                <w:szCs w:val="18"/>
              </w:rPr>
              <w:t>人</w:t>
            </w:r>
          </w:p>
        </w:tc>
      </w:tr>
      <w:tr w14:paraId="292A147E">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667185DA">
            <w:pPr>
              <w:jc w:val="center"/>
              <w:rPr>
                <w:color w:val="auto"/>
                <w:sz w:val="18"/>
                <w:szCs w:val="18"/>
              </w:rPr>
            </w:pPr>
          </w:p>
        </w:tc>
        <w:tc>
          <w:tcPr>
            <w:tcW w:w="823" w:type="pct"/>
            <w:vMerge w:val="continue"/>
            <w:shd w:val="clear" w:color="auto" w:fill="auto"/>
            <w:vAlign w:val="center"/>
          </w:tcPr>
          <w:p w14:paraId="3D88FAA8">
            <w:pPr>
              <w:jc w:val="center"/>
              <w:rPr>
                <w:color w:val="auto"/>
                <w:sz w:val="18"/>
                <w:szCs w:val="18"/>
              </w:rPr>
            </w:pPr>
          </w:p>
        </w:tc>
        <w:tc>
          <w:tcPr>
            <w:tcW w:w="562" w:type="pct"/>
            <w:vMerge w:val="restart"/>
            <w:shd w:val="clear" w:color="auto" w:fill="auto"/>
            <w:vAlign w:val="center"/>
          </w:tcPr>
          <w:p w14:paraId="3510C7B8">
            <w:pPr>
              <w:jc w:val="center"/>
              <w:rPr>
                <w:color w:val="auto"/>
                <w:sz w:val="18"/>
                <w:szCs w:val="18"/>
              </w:rPr>
            </w:pPr>
            <w:r>
              <w:rPr>
                <w:color w:val="auto"/>
                <w:sz w:val="18"/>
                <w:szCs w:val="18"/>
              </w:rPr>
              <w:t>地表水</w:t>
            </w:r>
          </w:p>
        </w:tc>
        <w:tc>
          <w:tcPr>
            <w:tcW w:w="937" w:type="pct"/>
            <w:gridSpan w:val="5"/>
            <w:shd w:val="clear" w:color="auto" w:fill="auto"/>
            <w:vAlign w:val="center"/>
          </w:tcPr>
          <w:p w14:paraId="0476D9DF">
            <w:pPr>
              <w:jc w:val="center"/>
              <w:rPr>
                <w:color w:val="auto"/>
                <w:sz w:val="18"/>
                <w:szCs w:val="18"/>
              </w:rPr>
            </w:pPr>
            <w:r>
              <w:rPr>
                <w:color w:val="auto"/>
                <w:sz w:val="18"/>
                <w:szCs w:val="18"/>
              </w:rPr>
              <w:t>地表水功能敏感性</w:t>
            </w:r>
          </w:p>
        </w:tc>
        <w:tc>
          <w:tcPr>
            <w:tcW w:w="612" w:type="pct"/>
            <w:gridSpan w:val="3"/>
            <w:shd w:val="clear" w:color="auto" w:fill="auto"/>
            <w:vAlign w:val="center"/>
          </w:tcPr>
          <w:p w14:paraId="6448ABCB">
            <w:pPr>
              <w:jc w:val="center"/>
              <w:rPr>
                <w:color w:val="auto"/>
                <w:sz w:val="18"/>
                <w:szCs w:val="18"/>
              </w:rPr>
            </w:pPr>
            <w:r>
              <w:rPr>
                <w:color w:val="auto"/>
                <w:sz w:val="18"/>
                <w:szCs w:val="18"/>
              </w:rPr>
              <w:t>F1 □</w:t>
            </w:r>
          </w:p>
        </w:tc>
        <w:tc>
          <w:tcPr>
            <w:tcW w:w="776" w:type="pct"/>
            <w:gridSpan w:val="6"/>
            <w:shd w:val="clear" w:color="auto" w:fill="auto"/>
            <w:vAlign w:val="center"/>
          </w:tcPr>
          <w:p w14:paraId="71F7063E">
            <w:pPr>
              <w:jc w:val="center"/>
              <w:rPr>
                <w:color w:val="auto"/>
                <w:sz w:val="18"/>
                <w:szCs w:val="18"/>
              </w:rPr>
            </w:pPr>
            <w:r>
              <w:rPr>
                <w:color w:val="auto"/>
                <w:sz w:val="18"/>
                <w:szCs w:val="18"/>
              </w:rPr>
              <w:t>F2 □</w:t>
            </w:r>
          </w:p>
        </w:tc>
        <w:tc>
          <w:tcPr>
            <w:tcW w:w="781" w:type="pct"/>
            <w:gridSpan w:val="4"/>
            <w:shd w:val="clear" w:color="auto" w:fill="auto"/>
            <w:vAlign w:val="center"/>
          </w:tcPr>
          <w:p w14:paraId="653D9BB6">
            <w:pPr>
              <w:jc w:val="center"/>
              <w:rPr>
                <w:color w:val="auto"/>
                <w:sz w:val="18"/>
                <w:szCs w:val="18"/>
              </w:rPr>
            </w:pPr>
            <w:r>
              <w:rPr>
                <w:color w:val="auto"/>
                <w:sz w:val="18"/>
                <w:szCs w:val="18"/>
              </w:rPr>
              <w:t xml:space="preserve">F3 </w:t>
            </w:r>
            <w:r>
              <w:rPr>
                <w:color w:val="auto"/>
                <w:sz w:val="18"/>
                <w:szCs w:val="18"/>
              </w:rPr>
              <w:sym w:font="Wingdings" w:char="F0FE"/>
            </w:r>
          </w:p>
        </w:tc>
      </w:tr>
      <w:tr w14:paraId="1601A3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39D77E56">
            <w:pPr>
              <w:jc w:val="center"/>
              <w:rPr>
                <w:color w:val="auto"/>
                <w:sz w:val="18"/>
                <w:szCs w:val="18"/>
              </w:rPr>
            </w:pPr>
          </w:p>
        </w:tc>
        <w:tc>
          <w:tcPr>
            <w:tcW w:w="823" w:type="pct"/>
            <w:vMerge w:val="continue"/>
            <w:shd w:val="clear" w:color="auto" w:fill="auto"/>
            <w:vAlign w:val="center"/>
          </w:tcPr>
          <w:p w14:paraId="4B743B31">
            <w:pPr>
              <w:jc w:val="center"/>
              <w:rPr>
                <w:color w:val="auto"/>
                <w:sz w:val="18"/>
                <w:szCs w:val="18"/>
              </w:rPr>
            </w:pPr>
          </w:p>
        </w:tc>
        <w:tc>
          <w:tcPr>
            <w:tcW w:w="562" w:type="pct"/>
            <w:vMerge w:val="continue"/>
            <w:shd w:val="clear" w:color="auto" w:fill="auto"/>
            <w:vAlign w:val="center"/>
          </w:tcPr>
          <w:p w14:paraId="450DC69E">
            <w:pPr>
              <w:jc w:val="center"/>
              <w:rPr>
                <w:color w:val="auto"/>
                <w:sz w:val="18"/>
                <w:szCs w:val="18"/>
              </w:rPr>
            </w:pPr>
          </w:p>
        </w:tc>
        <w:tc>
          <w:tcPr>
            <w:tcW w:w="937" w:type="pct"/>
            <w:gridSpan w:val="5"/>
            <w:shd w:val="clear" w:color="auto" w:fill="auto"/>
            <w:vAlign w:val="center"/>
          </w:tcPr>
          <w:p w14:paraId="06C62D13">
            <w:pPr>
              <w:jc w:val="center"/>
              <w:rPr>
                <w:color w:val="auto"/>
                <w:sz w:val="18"/>
                <w:szCs w:val="18"/>
              </w:rPr>
            </w:pPr>
            <w:r>
              <w:rPr>
                <w:color w:val="auto"/>
                <w:sz w:val="18"/>
                <w:szCs w:val="18"/>
              </w:rPr>
              <w:t>环境敏感目标分级</w:t>
            </w:r>
          </w:p>
        </w:tc>
        <w:tc>
          <w:tcPr>
            <w:tcW w:w="612" w:type="pct"/>
            <w:gridSpan w:val="3"/>
            <w:shd w:val="clear" w:color="auto" w:fill="auto"/>
            <w:vAlign w:val="center"/>
          </w:tcPr>
          <w:p w14:paraId="0F349C17">
            <w:pPr>
              <w:jc w:val="center"/>
              <w:rPr>
                <w:color w:val="auto"/>
                <w:sz w:val="18"/>
                <w:szCs w:val="18"/>
              </w:rPr>
            </w:pPr>
            <w:r>
              <w:rPr>
                <w:color w:val="auto"/>
                <w:sz w:val="18"/>
                <w:szCs w:val="18"/>
              </w:rPr>
              <w:t>S1 □</w:t>
            </w:r>
          </w:p>
        </w:tc>
        <w:tc>
          <w:tcPr>
            <w:tcW w:w="776" w:type="pct"/>
            <w:gridSpan w:val="6"/>
            <w:shd w:val="clear" w:color="auto" w:fill="auto"/>
            <w:vAlign w:val="center"/>
          </w:tcPr>
          <w:p w14:paraId="44081957">
            <w:pPr>
              <w:jc w:val="center"/>
              <w:rPr>
                <w:color w:val="auto"/>
                <w:sz w:val="18"/>
                <w:szCs w:val="18"/>
              </w:rPr>
            </w:pPr>
            <w:r>
              <w:rPr>
                <w:color w:val="auto"/>
                <w:sz w:val="18"/>
                <w:szCs w:val="18"/>
              </w:rPr>
              <w:t>S2 □</w:t>
            </w:r>
          </w:p>
        </w:tc>
        <w:tc>
          <w:tcPr>
            <w:tcW w:w="781" w:type="pct"/>
            <w:gridSpan w:val="4"/>
            <w:shd w:val="clear" w:color="auto" w:fill="auto"/>
            <w:vAlign w:val="center"/>
          </w:tcPr>
          <w:p w14:paraId="1FE62996">
            <w:pPr>
              <w:jc w:val="center"/>
              <w:rPr>
                <w:color w:val="auto"/>
                <w:sz w:val="18"/>
                <w:szCs w:val="18"/>
              </w:rPr>
            </w:pPr>
            <w:r>
              <w:rPr>
                <w:color w:val="auto"/>
                <w:sz w:val="18"/>
                <w:szCs w:val="18"/>
              </w:rPr>
              <w:t xml:space="preserve">S3 </w:t>
            </w:r>
            <w:r>
              <w:rPr>
                <w:color w:val="auto"/>
                <w:sz w:val="18"/>
                <w:szCs w:val="18"/>
              </w:rPr>
              <w:sym w:font="Wingdings" w:char="F0FE"/>
            </w:r>
          </w:p>
        </w:tc>
      </w:tr>
      <w:tr w14:paraId="3510260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11B3AC28">
            <w:pPr>
              <w:jc w:val="center"/>
              <w:rPr>
                <w:color w:val="auto"/>
                <w:sz w:val="18"/>
                <w:szCs w:val="18"/>
              </w:rPr>
            </w:pPr>
          </w:p>
        </w:tc>
        <w:tc>
          <w:tcPr>
            <w:tcW w:w="823" w:type="pct"/>
            <w:vMerge w:val="continue"/>
            <w:shd w:val="clear" w:color="auto" w:fill="auto"/>
            <w:vAlign w:val="center"/>
          </w:tcPr>
          <w:p w14:paraId="5E20E835">
            <w:pPr>
              <w:jc w:val="center"/>
              <w:rPr>
                <w:color w:val="auto"/>
                <w:sz w:val="18"/>
                <w:szCs w:val="18"/>
              </w:rPr>
            </w:pPr>
          </w:p>
        </w:tc>
        <w:tc>
          <w:tcPr>
            <w:tcW w:w="562" w:type="pct"/>
            <w:vMerge w:val="restart"/>
            <w:shd w:val="clear" w:color="auto" w:fill="auto"/>
            <w:vAlign w:val="center"/>
          </w:tcPr>
          <w:p w14:paraId="60134751">
            <w:pPr>
              <w:jc w:val="center"/>
              <w:rPr>
                <w:color w:val="auto"/>
                <w:sz w:val="18"/>
                <w:szCs w:val="18"/>
              </w:rPr>
            </w:pPr>
            <w:r>
              <w:rPr>
                <w:color w:val="auto"/>
                <w:sz w:val="18"/>
                <w:szCs w:val="18"/>
              </w:rPr>
              <w:t>地下水</w:t>
            </w:r>
          </w:p>
        </w:tc>
        <w:tc>
          <w:tcPr>
            <w:tcW w:w="937" w:type="pct"/>
            <w:gridSpan w:val="5"/>
            <w:shd w:val="clear" w:color="auto" w:fill="auto"/>
            <w:vAlign w:val="center"/>
          </w:tcPr>
          <w:p w14:paraId="778E4C75">
            <w:pPr>
              <w:jc w:val="center"/>
              <w:rPr>
                <w:color w:val="auto"/>
                <w:sz w:val="18"/>
                <w:szCs w:val="18"/>
              </w:rPr>
            </w:pPr>
            <w:r>
              <w:rPr>
                <w:color w:val="auto"/>
                <w:sz w:val="18"/>
                <w:szCs w:val="18"/>
              </w:rPr>
              <w:t>地下水功能敏感性</w:t>
            </w:r>
          </w:p>
        </w:tc>
        <w:tc>
          <w:tcPr>
            <w:tcW w:w="612" w:type="pct"/>
            <w:gridSpan w:val="3"/>
            <w:shd w:val="clear" w:color="auto" w:fill="auto"/>
            <w:vAlign w:val="center"/>
          </w:tcPr>
          <w:p w14:paraId="17157C18">
            <w:pPr>
              <w:jc w:val="center"/>
              <w:rPr>
                <w:color w:val="auto"/>
                <w:sz w:val="18"/>
                <w:szCs w:val="18"/>
              </w:rPr>
            </w:pPr>
            <w:r>
              <w:rPr>
                <w:color w:val="auto"/>
                <w:sz w:val="18"/>
                <w:szCs w:val="18"/>
              </w:rPr>
              <w:t>G1 □</w:t>
            </w:r>
          </w:p>
        </w:tc>
        <w:tc>
          <w:tcPr>
            <w:tcW w:w="776" w:type="pct"/>
            <w:gridSpan w:val="6"/>
            <w:shd w:val="clear" w:color="auto" w:fill="auto"/>
            <w:vAlign w:val="center"/>
          </w:tcPr>
          <w:p w14:paraId="79DE372B">
            <w:pPr>
              <w:jc w:val="center"/>
              <w:rPr>
                <w:color w:val="auto"/>
                <w:sz w:val="18"/>
                <w:szCs w:val="18"/>
              </w:rPr>
            </w:pPr>
            <w:r>
              <w:rPr>
                <w:color w:val="auto"/>
                <w:sz w:val="18"/>
                <w:szCs w:val="18"/>
              </w:rPr>
              <w:t>G2 □</w:t>
            </w:r>
          </w:p>
        </w:tc>
        <w:tc>
          <w:tcPr>
            <w:tcW w:w="781" w:type="pct"/>
            <w:gridSpan w:val="4"/>
            <w:shd w:val="clear" w:color="auto" w:fill="auto"/>
            <w:vAlign w:val="center"/>
          </w:tcPr>
          <w:p w14:paraId="1C54BA14">
            <w:pPr>
              <w:jc w:val="center"/>
              <w:rPr>
                <w:color w:val="auto"/>
                <w:sz w:val="18"/>
                <w:szCs w:val="18"/>
              </w:rPr>
            </w:pPr>
            <w:r>
              <w:rPr>
                <w:color w:val="auto"/>
                <w:sz w:val="18"/>
                <w:szCs w:val="18"/>
              </w:rPr>
              <w:t xml:space="preserve">G3 </w:t>
            </w:r>
            <w:r>
              <w:rPr>
                <w:color w:val="auto"/>
                <w:sz w:val="18"/>
                <w:szCs w:val="18"/>
              </w:rPr>
              <w:sym w:font="Wingdings" w:char="F0FE"/>
            </w:r>
          </w:p>
        </w:tc>
      </w:tr>
      <w:tr w14:paraId="2182A07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0A31A1F0">
            <w:pPr>
              <w:jc w:val="center"/>
              <w:rPr>
                <w:color w:val="auto"/>
                <w:sz w:val="18"/>
                <w:szCs w:val="18"/>
              </w:rPr>
            </w:pPr>
          </w:p>
        </w:tc>
        <w:tc>
          <w:tcPr>
            <w:tcW w:w="823" w:type="pct"/>
            <w:vMerge w:val="continue"/>
            <w:shd w:val="clear" w:color="auto" w:fill="auto"/>
            <w:vAlign w:val="center"/>
          </w:tcPr>
          <w:p w14:paraId="0211C86E">
            <w:pPr>
              <w:jc w:val="center"/>
              <w:rPr>
                <w:color w:val="auto"/>
                <w:sz w:val="18"/>
                <w:szCs w:val="18"/>
              </w:rPr>
            </w:pPr>
          </w:p>
        </w:tc>
        <w:tc>
          <w:tcPr>
            <w:tcW w:w="562" w:type="pct"/>
            <w:vMerge w:val="continue"/>
            <w:shd w:val="clear" w:color="auto" w:fill="auto"/>
            <w:vAlign w:val="center"/>
          </w:tcPr>
          <w:p w14:paraId="7C91B67E">
            <w:pPr>
              <w:jc w:val="center"/>
              <w:rPr>
                <w:color w:val="auto"/>
                <w:sz w:val="18"/>
                <w:szCs w:val="18"/>
              </w:rPr>
            </w:pPr>
          </w:p>
        </w:tc>
        <w:tc>
          <w:tcPr>
            <w:tcW w:w="937" w:type="pct"/>
            <w:gridSpan w:val="5"/>
            <w:shd w:val="clear" w:color="auto" w:fill="auto"/>
            <w:vAlign w:val="center"/>
          </w:tcPr>
          <w:p w14:paraId="7259D561">
            <w:pPr>
              <w:jc w:val="center"/>
              <w:rPr>
                <w:color w:val="auto"/>
                <w:sz w:val="18"/>
                <w:szCs w:val="18"/>
              </w:rPr>
            </w:pPr>
            <w:r>
              <w:rPr>
                <w:color w:val="auto"/>
                <w:sz w:val="18"/>
                <w:szCs w:val="18"/>
              </w:rPr>
              <w:t>包气带防污性能</w:t>
            </w:r>
          </w:p>
        </w:tc>
        <w:tc>
          <w:tcPr>
            <w:tcW w:w="612" w:type="pct"/>
            <w:gridSpan w:val="3"/>
            <w:shd w:val="clear" w:color="auto" w:fill="auto"/>
            <w:vAlign w:val="center"/>
          </w:tcPr>
          <w:p w14:paraId="1CE3A90F">
            <w:pPr>
              <w:jc w:val="center"/>
              <w:rPr>
                <w:color w:val="auto"/>
                <w:sz w:val="18"/>
                <w:szCs w:val="18"/>
              </w:rPr>
            </w:pPr>
            <w:r>
              <w:rPr>
                <w:color w:val="auto"/>
                <w:sz w:val="18"/>
                <w:szCs w:val="18"/>
              </w:rPr>
              <w:t>D1 □</w:t>
            </w:r>
          </w:p>
        </w:tc>
        <w:tc>
          <w:tcPr>
            <w:tcW w:w="776" w:type="pct"/>
            <w:gridSpan w:val="6"/>
            <w:shd w:val="clear" w:color="auto" w:fill="auto"/>
            <w:vAlign w:val="center"/>
          </w:tcPr>
          <w:p w14:paraId="64F0D86F">
            <w:pPr>
              <w:jc w:val="center"/>
              <w:rPr>
                <w:color w:val="auto"/>
                <w:sz w:val="18"/>
                <w:szCs w:val="18"/>
              </w:rPr>
            </w:pPr>
            <w:r>
              <w:rPr>
                <w:color w:val="auto"/>
                <w:sz w:val="18"/>
                <w:szCs w:val="18"/>
              </w:rPr>
              <w:t xml:space="preserve">D2 </w:t>
            </w:r>
            <w:r>
              <w:rPr>
                <w:color w:val="auto"/>
                <w:sz w:val="18"/>
                <w:szCs w:val="18"/>
              </w:rPr>
              <w:sym w:font="Wingdings" w:char="F0FE"/>
            </w:r>
          </w:p>
        </w:tc>
        <w:tc>
          <w:tcPr>
            <w:tcW w:w="781" w:type="pct"/>
            <w:gridSpan w:val="4"/>
            <w:shd w:val="clear" w:color="auto" w:fill="auto"/>
            <w:vAlign w:val="center"/>
          </w:tcPr>
          <w:p w14:paraId="030672C8">
            <w:pPr>
              <w:jc w:val="center"/>
              <w:rPr>
                <w:color w:val="auto"/>
                <w:sz w:val="18"/>
                <w:szCs w:val="18"/>
              </w:rPr>
            </w:pPr>
            <w:r>
              <w:rPr>
                <w:color w:val="auto"/>
                <w:sz w:val="18"/>
                <w:szCs w:val="18"/>
              </w:rPr>
              <w:t>D3 □</w:t>
            </w:r>
          </w:p>
        </w:tc>
      </w:tr>
      <w:tr w14:paraId="21C50DA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vMerge w:val="restart"/>
            <w:shd w:val="clear" w:color="auto" w:fill="auto"/>
            <w:vAlign w:val="center"/>
          </w:tcPr>
          <w:p w14:paraId="095CD32A">
            <w:pPr>
              <w:jc w:val="center"/>
              <w:rPr>
                <w:color w:val="auto"/>
                <w:sz w:val="18"/>
                <w:szCs w:val="18"/>
              </w:rPr>
            </w:pPr>
            <w:r>
              <w:rPr>
                <w:color w:val="auto"/>
                <w:sz w:val="18"/>
                <w:szCs w:val="18"/>
              </w:rPr>
              <w:t>物质及工艺系统</w:t>
            </w:r>
          </w:p>
          <w:p w14:paraId="5AC50CD8">
            <w:pPr>
              <w:jc w:val="center"/>
              <w:rPr>
                <w:color w:val="auto"/>
                <w:sz w:val="18"/>
                <w:szCs w:val="18"/>
              </w:rPr>
            </w:pPr>
            <w:r>
              <w:rPr>
                <w:color w:val="auto"/>
                <w:sz w:val="18"/>
                <w:szCs w:val="18"/>
              </w:rPr>
              <w:t>危险性</w:t>
            </w:r>
          </w:p>
        </w:tc>
        <w:tc>
          <w:tcPr>
            <w:tcW w:w="562" w:type="pct"/>
            <w:shd w:val="clear" w:color="auto" w:fill="auto"/>
            <w:vAlign w:val="center"/>
          </w:tcPr>
          <w:p w14:paraId="2999990A">
            <w:pPr>
              <w:jc w:val="center"/>
              <w:rPr>
                <w:color w:val="auto"/>
                <w:sz w:val="18"/>
                <w:szCs w:val="18"/>
              </w:rPr>
            </w:pPr>
            <w:r>
              <w:rPr>
                <w:color w:val="auto"/>
                <w:sz w:val="18"/>
                <w:szCs w:val="18"/>
              </w:rPr>
              <w:t>Q值</w:t>
            </w:r>
          </w:p>
        </w:tc>
        <w:tc>
          <w:tcPr>
            <w:tcW w:w="937" w:type="pct"/>
            <w:gridSpan w:val="5"/>
            <w:shd w:val="clear" w:color="auto" w:fill="auto"/>
            <w:vAlign w:val="center"/>
          </w:tcPr>
          <w:p w14:paraId="03703EEA">
            <w:pPr>
              <w:jc w:val="center"/>
              <w:rPr>
                <w:color w:val="auto"/>
                <w:sz w:val="18"/>
                <w:szCs w:val="18"/>
              </w:rPr>
            </w:pPr>
            <w:r>
              <w:rPr>
                <w:color w:val="auto"/>
                <w:sz w:val="18"/>
                <w:szCs w:val="18"/>
              </w:rPr>
              <w:t>Q＜1 □</w:t>
            </w:r>
          </w:p>
        </w:tc>
        <w:tc>
          <w:tcPr>
            <w:tcW w:w="612" w:type="pct"/>
            <w:gridSpan w:val="3"/>
            <w:shd w:val="clear" w:color="auto" w:fill="auto"/>
            <w:vAlign w:val="center"/>
          </w:tcPr>
          <w:p w14:paraId="396D28D9">
            <w:pPr>
              <w:jc w:val="center"/>
              <w:rPr>
                <w:color w:val="auto"/>
                <w:sz w:val="18"/>
                <w:szCs w:val="18"/>
              </w:rPr>
            </w:pPr>
            <w:r>
              <w:rPr>
                <w:color w:val="auto"/>
                <w:sz w:val="18"/>
                <w:szCs w:val="18"/>
              </w:rPr>
              <w:t xml:space="preserve">1≤Q＜10 </w:t>
            </w:r>
            <w:r>
              <w:rPr>
                <w:color w:val="auto"/>
                <w:sz w:val="18"/>
                <w:szCs w:val="18"/>
              </w:rPr>
              <w:sym w:font="Wingdings" w:char="F0FE"/>
            </w:r>
          </w:p>
        </w:tc>
        <w:tc>
          <w:tcPr>
            <w:tcW w:w="776" w:type="pct"/>
            <w:gridSpan w:val="6"/>
            <w:shd w:val="clear" w:color="auto" w:fill="auto"/>
            <w:vAlign w:val="center"/>
          </w:tcPr>
          <w:p w14:paraId="4824548E">
            <w:pPr>
              <w:jc w:val="center"/>
              <w:rPr>
                <w:color w:val="auto"/>
                <w:sz w:val="18"/>
                <w:szCs w:val="18"/>
              </w:rPr>
            </w:pPr>
            <w:r>
              <w:rPr>
                <w:color w:val="auto"/>
                <w:sz w:val="18"/>
                <w:szCs w:val="18"/>
              </w:rPr>
              <w:t>10≤Q＜100 □</w:t>
            </w:r>
          </w:p>
        </w:tc>
        <w:tc>
          <w:tcPr>
            <w:tcW w:w="781" w:type="pct"/>
            <w:gridSpan w:val="4"/>
            <w:shd w:val="clear" w:color="auto" w:fill="auto"/>
            <w:vAlign w:val="center"/>
          </w:tcPr>
          <w:p w14:paraId="2D5C3C92">
            <w:pPr>
              <w:jc w:val="center"/>
              <w:rPr>
                <w:color w:val="auto"/>
                <w:sz w:val="18"/>
                <w:szCs w:val="18"/>
              </w:rPr>
            </w:pPr>
            <w:r>
              <w:rPr>
                <w:color w:val="auto"/>
                <w:sz w:val="18"/>
                <w:szCs w:val="18"/>
              </w:rPr>
              <w:t>Q＞100 □</w:t>
            </w:r>
          </w:p>
        </w:tc>
      </w:tr>
      <w:tr w14:paraId="048DFF6C">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vMerge w:val="continue"/>
            <w:shd w:val="clear" w:color="auto" w:fill="auto"/>
            <w:vAlign w:val="center"/>
          </w:tcPr>
          <w:p w14:paraId="6667C2E9">
            <w:pPr>
              <w:jc w:val="center"/>
              <w:rPr>
                <w:color w:val="auto"/>
                <w:sz w:val="18"/>
                <w:szCs w:val="18"/>
              </w:rPr>
            </w:pPr>
          </w:p>
        </w:tc>
        <w:tc>
          <w:tcPr>
            <w:tcW w:w="562" w:type="pct"/>
            <w:shd w:val="clear" w:color="auto" w:fill="auto"/>
            <w:vAlign w:val="center"/>
          </w:tcPr>
          <w:p w14:paraId="2E4859FA">
            <w:pPr>
              <w:jc w:val="center"/>
              <w:rPr>
                <w:color w:val="auto"/>
                <w:sz w:val="18"/>
                <w:szCs w:val="18"/>
              </w:rPr>
            </w:pPr>
            <w:r>
              <w:rPr>
                <w:color w:val="auto"/>
                <w:sz w:val="18"/>
                <w:szCs w:val="18"/>
              </w:rPr>
              <w:t>M值</w:t>
            </w:r>
          </w:p>
        </w:tc>
        <w:tc>
          <w:tcPr>
            <w:tcW w:w="937" w:type="pct"/>
            <w:gridSpan w:val="5"/>
            <w:shd w:val="clear" w:color="auto" w:fill="auto"/>
            <w:vAlign w:val="center"/>
          </w:tcPr>
          <w:p w14:paraId="78F5F0A2">
            <w:pPr>
              <w:jc w:val="center"/>
              <w:rPr>
                <w:color w:val="auto"/>
                <w:sz w:val="18"/>
                <w:szCs w:val="18"/>
              </w:rPr>
            </w:pPr>
            <w:r>
              <w:rPr>
                <w:color w:val="auto"/>
                <w:sz w:val="18"/>
                <w:szCs w:val="18"/>
              </w:rPr>
              <w:t>M1 □</w:t>
            </w:r>
          </w:p>
        </w:tc>
        <w:tc>
          <w:tcPr>
            <w:tcW w:w="612" w:type="pct"/>
            <w:gridSpan w:val="3"/>
            <w:shd w:val="clear" w:color="auto" w:fill="auto"/>
            <w:vAlign w:val="center"/>
          </w:tcPr>
          <w:p w14:paraId="6EB12486">
            <w:pPr>
              <w:jc w:val="center"/>
              <w:rPr>
                <w:color w:val="auto"/>
                <w:sz w:val="18"/>
                <w:szCs w:val="18"/>
              </w:rPr>
            </w:pPr>
            <w:r>
              <w:rPr>
                <w:color w:val="auto"/>
                <w:sz w:val="18"/>
                <w:szCs w:val="18"/>
              </w:rPr>
              <w:t>M2 □</w:t>
            </w:r>
          </w:p>
        </w:tc>
        <w:tc>
          <w:tcPr>
            <w:tcW w:w="776" w:type="pct"/>
            <w:gridSpan w:val="6"/>
            <w:shd w:val="clear" w:color="auto" w:fill="auto"/>
            <w:vAlign w:val="center"/>
          </w:tcPr>
          <w:p w14:paraId="68C667E2">
            <w:pPr>
              <w:jc w:val="center"/>
              <w:rPr>
                <w:color w:val="auto"/>
                <w:sz w:val="18"/>
                <w:szCs w:val="18"/>
              </w:rPr>
            </w:pPr>
            <w:r>
              <w:rPr>
                <w:color w:val="auto"/>
                <w:sz w:val="18"/>
                <w:szCs w:val="18"/>
              </w:rPr>
              <w:t>M3 □</w:t>
            </w:r>
          </w:p>
        </w:tc>
        <w:tc>
          <w:tcPr>
            <w:tcW w:w="781" w:type="pct"/>
            <w:gridSpan w:val="4"/>
            <w:shd w:val="clear" w:color="auto" w:fill="auto"/>
            <w:vAlign w:val="center"/>
          </w:tcPr>
          <w:p w14:paraId="37E9DF01">
            <w:pPr>
              <w:jc w:val="center"/>
              <w:rPr>
                <w:color w:val="auto"/>
                <w:sz w:val="18"/>
                <w:szCs w:val="18"/>
              </w:rPr>
            </w:pPr>
            <w:r>
              <w:rPr>
                <w:color w:val="auto"/>
                <w:sz w:val="18"/>
                <w:szCs w:val="18"/>
              </w:rPr>
              <w:t xml:space="preserve">M4 </w:t>
            </w:r>
            <w:r>
              <w:rPr>
                <w:color w:val="auto"/>
                <w:sz w:val="18"/>
                <w:szCs w:val="18"/>
              </w:rPr>
              <w:sym w:font="Wingdings" w:char="F0FE"/>
            </w:r>
          </w:p>
        </w:tc>
      </w:tr>
      <w:tr w14:paraId="38E859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vMerge w:val="continue"/>
            <w:shd w:val="clear" w:color="auto" w:fill="auto"/>
            <w:vAlign w:val="center"/>
          </w:tcPr>
          <w:p w14:paraId="505D2FE2">
            <w:pPr>
              <w:jc w:val="center"/>
              <w:rPr>
                <w:color w:val="auto"/>
                <w:sz w:val="18"/>
                <w:szCs w:val="18"/>
              </w:rPr>
            </w:pPr>
          </w:p>
        </w:tc>
        <w:tc>
          <w:tcPr>
            <w:tcW w:w="562" w:type="pct"/>
            <w:shd w:val="clear" w:color="auto" w:fill="auto"/>
            <w:vAlign w:val="center"/>
          </w:tcPr>
          <w:p w14:paraId="765DB238">
            <w:pPr>
              <w:jc w:val="center"/>
              <w:rPr>
                <w:color w:val="auto"/>
                <w:sz w:val="18"/>
                <w:szCs w:val="18"/>
              </w:rPr>
            </w:pPr>
            <w:r>
              <w:rPr>
                <w:color w:val="auto"/>
                <w:sz w:val="18"/>
                <w:szCs w:val="18"/>
              </w:rPr>
              <w:t>P值</w:t>
            </w:r>
          </w:p>
        </w:tc>
        <w:tc>
          <w:tcPr>
            <w:tcW w:w="937" w:type="pct"/>
            <w:gridSpan w:val="5"/>
            <w:shd w:val="clear" w:color="auto" w:fill="auto"/>
            <w:vAlign w:val="center"/>
          </w:tcPr>
          <w:p w14:paraId="0A02D195">
            <w:pPr>
              <w:jc w:val="center"/>
              <w:rPr>
                <w:color w:val="auto"/>
                <w:sz w:val="18"/>
                <w:szCs w:val="18"/>
              </w:rPr>
            </w:pPr>
            <w:r>
              <w:rPr>
                <w:color w:val="auto"/>
                <w:sz w:val="18"/>
                <w:szCs w:val="18"/>
              </w:rPr>
              <w:t>P1 □</w:t>
            </w:r>
          </w:p>
        </w:tc>
        <w:tc>
          <w:tcPr>
            <w:tcW w:w="612" w:type="pct"/>
            <w:gridSpan w:val="3"/>
            <w:shd w:val="clear" w:color="auto" w:fill="auto"/>
            <w:vAlign w:val="center"/>
          </w:tcPr>
          <w:p w14:paraId="589D2057">
            <w:pPr>
              <w:jc w:val="center"/>
              <w:rPr>
                <w:color w:val="auto"/>
                <w:sz w:val="18"/>
                <w:szCs w:val="18"/>
              </w:rPr>
            </w:pPr>
            <w:r>
              <w:rPr>
                <w:color w:val="auto"/>
                <w:sz w:val="18"/>
                <w:szCs w:val="18"/>
              </w:rPr>
              <w:t>P2 □</w:t>
            </w:r>
          </w:p>
        </w:tc>
        <w:tc>
          <w:tcPr>
            <w:tcW w:w="776" w:type="pct"/>
            <w:gridSpan w:val="6"/>
            <w:shd w:val="clear" w:color="auto" w:fill="auto"/>
            <w:vAlign w:val="center"/>
          </w:tcPr>
          <w:p w14:paraId="79FFF703">
            <w:pPr>
              <w:jc w:val="center"/>
              <w:rPr>
                <w:color w:val="auto"/>
                <w:sz w:val="18"/>
                <w:szCs w:val="18"/>
              </w:rPr>
            </w:pPr>
            <w:r>
              <w:rPr>
                <w:color w:val="auto"/>
                <w:sz w:val="18"/>
                <w:szCs w:val="18"/>
              </w:rPr>
              <w:t>P3 □</w:t>
            </w:r>
          </w:p>
        </w:tc>
        <w:tc>
          <w:tcPr>
            <w:tcW w:w="781" w:type="pct"/>
            <w:gridSpan w:val="4"/>
            <w:shd w:val="clear" w:color="auto" w:fill="auto"/>
            <w:vAlign w:val="center"/>
          </w:tcPr>
          <w:p w14:paraId="3C0D8A38">
            <w:pPr>
              <w:jc w:val="center"/>
              <w:rPr>
                <w:color w:val="auto"/>
                <w:sz w:val="18"/>
                <w:szCs w:val="18"/>
              </w:rPr>
            </w:pPr>
            <w:r>
              <w:rPr>
                <w:color w:val="auto"/>
                <w:sz w:val="18"/>
                <w:szCs w:val="18"/>
              </w:rPr>
              <w:t xml:space="preserve">P4 </w:t>
            </w:r>
            <w:r>
              <w:rPr>
                <w:color w:val="auto"/>
                <w:sz w:val="18"/>
                <w:szCs w:val="18"/>
              </w:rPr>
              <w:sym w:font="Wingdings" w:char="F0FE"/>
            </w:r>
          </w:p>
        </w:tc>
      </w:tr>
      <w:tr w14:paraId="4FCE725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vMerge w:val="restart"/>
            <w:shd w:val="clear" w:color="auto" w:fill="auto"/>
            <w:vAlign w:val="center"/>
          </w:tcPr>
          <w:p w14:paraId="07F3B298">
            <w:pPr>
              <w:jc w:val="center"/>
              <w:rPr>
                <w:color w:val="auto"/>
                <w:sz w:val="18"/>
                <w:szCs w:val="18"/>
              </w:rPr>
            </w:pPr>
            <w:r>
              <w:rPr>
                <w:color w:val="auto"/>
                <w:sz w:val="18"/>
                <w:szCs w:val="18"/>
              </w:rPr>
              <w:t>环境敏感</w:t>
            </w:r>
          </w:p>
          <w:p w14:paraId="6CFB8D8D">
            <w:pPr>
              <w:jc w:val="center"/>
              <w:rPr>
                <w:color w:val="auto"/>
                <w:sz w:val="18"/>
                <w:szCs w:val="18"/>
              </w:rPr>
            </w:pPr>
            <w:r>
              <w:rPr>
                <w:color w:val="auto"/>
                <w:sz w:val="18"/>
                <w:szCs w:val="18"/>
              </w:rPr>
              <w:t>程度</w:t>
            </w:r>
          </w:p>
        </w:tc>
        <w:tc>
          <w:tcPr>
            <w:tcW w:w="562" w:type="pct"/>
            <w:shd w:val="clear" w:color="auto" w:fill="auto"/>
            <w:vAlign w:val="center"/>
          </w:tcPr>
          <w:p w14:paraId="7E261CED">
            <w:pPr>
              <w:jc w:val="center"/>
              <w:rPr>
                <w:color w:val="auto"/>
                <w:sz w:val="18"/>
                <w:szCs w:val="18"/>
              </w:rPr>
            </w:pPr>
            <w:r>
              <w:rPr>
                <w:color w:val="auto"/>
                <w:sz w:val="18"/>
                <w:szCs w:val="18"/>
              </w:rPr>
              <w:t>大气</w:t>
            </w:r>
          </w:p>
        </w:tc>
        <w:tc>
          <w:tcPr>
            <w:tcW w:w="1034" w:type="pct"/>
            <w:gridSpan w:val="6"/>
            <w:shd w:val="clear" w:color="auto" w:fill="auto"/>
            <w:vAlign w:val="center"/>
          </w:tcPr>
          <w:p w14:paraId="44899DBE">
            <w:pPr>
              <w:jc w:val="center"/>
              <w:rPr>
                <w:color w:val="auto"/>
                <w:sz w:val="18"/>
                <w:szCs w:val="18"/>
              </w:rPr>
            </w:pPr>
            <w:r>
              <w:rPr>
                <w:color w:val="auto"/>
                <w:sz w:val="18"/>
                <w:szCs w:val="18"/>
              </w:rPr>
              <w:t>E1□</w:t>
            </w:r>
          </w:p>
        </w:tc>
        <w:tc>
          <w:tcPr>
            <w:tcW w:w="1033" w:type="pct"/>
            <w:gridSpan w:val="6"/>
            <w:shd w:val="clear" w:color="auto" w:fill="auto"/>
            <w:vAlign w:val="center"/>
          </w:tcPr>
          <w:p w14:paraId="7FDF9A57">
            <w:pPr>
              <w:jc w:val="center"/>
              <w:rPr>
                <w:color w:val="auto"/>
                <w:sz w:val="18"/>
                <w:szCs w:val="18"/>
              </w:rPr>
            </w:pPr>
            <w:r>
              <w:rPr>
                <w:color w:val="auto"/>
                <w:sz w:val="18"/>
                <w:szCs w:val="18"/>
              </w:rPr>
              <w:t xml:space="preserve">E2 </w:t>
            </w:r>
            <w:r>
              <w:rPr>
                <w:color w:val="auto"/>
                <w:sz w:val="18"/>
                <w:szCs w:val="18"/>
              </w:rPr>
              <w:sym w:font="Wingdings" w:char="F0FE"/>
            </w:r>
          </w:p>
        </w:tc>
        <w:tc>
          <w:tcPr>
            <w:tcW w:w="1040" w:type="pct"/>
            <w:gridSpan w:val="6"/>
            <w:shd w:val="clear" w:color="auto" w:fill="auto"/>
            <w:vAlign w:val="center"/>
          </w:tcPr>
          <w:p w14:paraId="7562FF55">
            <w:pPr>
              <w:jc w:val="center"/>
              <w:rPr>
                <w:color w:val="auto"/>
                <w:sz w:val="18"/>
                <w:szCs w:val="18"/>
              </w:rPr>
            </w:pPr>
            <w:r>
              <w:rPr>
                <w:color w:val="auto"/>
                <w:sz w:val="18"/>
                <w:szCs w:val="18"/>
              </w:rPr>
              <w:t>E3 □</w:t>
            </w:r>
          </w:p>
        </w:tc>
      </w:tr>
      <w:tr w14:paraId="5B44BAA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vMerge w:val="continue"/>
            <w:shd w:val="clear" w:color="auto" w:fill="auto"/>
            <w:vAlign w:val="center"/>
          </w:tcPr>
          <w:p w14:paraId="25E4AAA5">
            <w:pPr>
              <w:jc w:val="center"/>
              <w:rPr>
                <w:color w:val="auto"/>
                <w:sz w:val="18"/>
                <w:szCs w:val="18"/>
              </w:rPr>
            </w:pPr>
          </w:p>
        </w:tc>
        <w:tc>
          <w:tcPr>
            <w:tcW w:w="562" w:type="pct"/>
            <w:shd w:val="clear" w:color="auto" w:fill="auto"/>
            <w:vAlign w:val="center"/>
          </w:tcPr>
          <w:p w14:paraId="0DC7E123">
            <w:pPr>
              <w:jc w:val="center"/>
              <w:rPr>
                <w:color w:val="auto"/>
                <w:sz w:val="18"/>
                <w:szCs w:val="18"/>
              </w:rPr>
            </w:pPr>
            <w:r>
              <w:rPr>
                <w:color w:val="auto"/>
                <w:sz w:val="18"/>
                <w:szCs w:val="18"/>
              </w:rPr>
              <w:t>地表水</w:t>
            </w:r>
          </w:p>
        </w:tc>
        <w:tc>
          <w:tcPr>
            <w:tcW w:w="1034" w:type="pct"/>
            <w:gridSpan w:val="6"/>
            <w:shd w:val="clear" w:color="auto" w:fill="auto"/>
            <w:vAlign w:val="center"/>
          </w:tcPr>
          <w:p w14:paraId="236CEBA4">
            <w:pPr>
              <w:jc w:val="center"/>
              <w:rPr>
                <w:color w:val="auto"/>
                <w:sz w:val="18"/>
                <w:szCs w:val="18"/>
              </w:rPr>
            </w:pPr>
            <w:r>
              <w:rPr>
                <w:color w:val="auto"/>
                <w:sz w:val="18"/>
                <w:szCs w:val="18"/>
              </w:rPr>
              <w:t>E1 □</w:t>
            </w:r>
          </w:p>
        </w:tc>
        <w:tc>
          <w:tcPr>
            <w:tcW w:w="1033" w:type="pct"/>
            <w:gridSpan w:val="6"/>
            <w:shd w:val="clear" w:color="auto" w:fill="auto"/>
            <w:vAlign w:val="center"/>
          </w:tcPr>
          <w:p w14:paraId="1E776256">
            <w:pPr>
              <w:jc w:val="center"/>
              <w:rPr>
                <w:color w:val="auto"/>
                <w:sz w:val="18"/>
                <w:szCs w:val="18"/>
              </w:rPr>
            </w:pPr>
            <w:r>
              <w:rPr>
                <w:color w:val="auto"/>
                <w:sz w:val="18"/>
                <w:szCs w:val="18"/>
              </w:rPr>
              <w:t>E2 □</w:t>
            </w:r>
          </w:p>
        </w:tc>
        <w:tc>
          <w:tcPr>
            <w:tcW w:w="1040" w:type="pct"/>
            <w:gridSpan w:val="6"/>
            <w:shd w:val="clear" w:color="auto" w:fill="auto"/>
            <w:vAlign w:val="center"/>
          </w:tcPr>
          <w:p w14:paraId="7C12584B">
            <w:pPr>
              <w:jc w:val="center"/>
              <w:rPr>
                <w:color w:val="auto"/>
                <w:sz w:val="18"/>
                <w:szCs w:val="18"/>
              </w:rPr>
            </w:pPr>
            <w:r>
              <w:rPr>
                <w:color w:val="auto"/>
                <w:sz w:val="18"/>
                <w:szCs w:val="18"/>
              </w:rPr>
              <w:t xml:space="preserve">E3 </w:t>
            </w:r>
            <w:r>
              <w:rPr>
                <w:color w:val="auto"/>
                <w:sz w:val="18"/>
                <w:szCs w:val="18"/>
              </w:rPr>
              <w:sym w:font="Wingdings" w:char="F0FE"/>
            </w:r>
          </w:p>
        </w:tc>
      </w:tr>
      <w:tr w14:paraId="5D8D6280">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vMerge w:val="continue"/>
            <w:shd w:val="clear" w:color="auto" w:fill="auto"/>
            <w:vAlign w:val="center"/>
          </w:tcPr>
          <w:p w14:paraId="79666EB6">
            <w:pPr>
              <w:jc w:val="center"/>
              <w:rPr>
                <w:color w:val="auto"/>
                <w:sz w:val="18"/>
                <w:szCs w:val="18"/>
              </w:rPr>
            </w:pPr>
          </w:p>
        </w:tc>
        <w:tc>
          <w:tcPr>
            <w:tcW w:w="562" w:type="pct"/>
            <w:shd w:val="clear" w:color="auto" w:fill="auto"/>
            <w:vAlign w:val="center"/>
          </w:tcPr>
          <w:p w14:paraId="7ACF9DA3">
            <w:pPr>
              <w:jc w:val="center"/>
              <w:rPr>
                <w:color w:val="auto"/>
                <w:sz w:val="18"/>
                <w:szCs w:val="18"/>
              </w:rPr>
            </w:pPr>
            <w:r>
              <w:rPr>
                <w:color w:val="auto"/>
                <w:sz w:val="18"/>
                <w:szCs w:val="18"/>
              </w:rPr>
              <w:t>地下水</w:t>
            </w:r>
          </w:p>
        </w:tc>
        <w:tc>
          <w:tcPr>
            <w:tcW w:w="1034" w:type="pct"/>
            <w:gridSpan w:val="6"/>
            <w:shd w:val="clear" w:color="auto" w:fill="auto"/>
            <w:vAlign w:val="center"/>
          </w:tcPr>
          <w:p w14:paraId="5B82193C">
            <w:pPr>
              <w:jc w:val="center"/>
              <w:rPr>
                <w:color w:val="auto"/>
                <w:sz w:val="18"/>
                <w:szCs w:val="18"/>
              </w:rPr>
            </w:pPr>
            <w:r>
              <w:rPr>
                <w:color w:val="auto"/>
                <w:sz w:val="18"/>
                <w:szCs w:val="18"/>
              </w:rPr>
              <w:t>E1 □</w:t>
            </w:r>
          </w:p>
        </w:tc>
        <w:tc>
          <w:tcPr>
            <w:tcW w:w="1033" w:type="pct"/>
            <w:gridSpan w:val="6"/>
            <w:shd w:val="clear" w:color="auto" w:fill="auto"/>
            <w:vAlign w:val="center"/>
          </w:tcPr>
          <w:p w14:paraId="158216AE">
            <w:pPr>
              <w:jc w:val="center"/>
              <w:rPr>
                <w:color w:val="auto"/>
                <w:sz w:val="18"/>
                <w:szCs w:val="18"/>
              </w:rPr>
            </w:pPr>
            <w:r>
              <w:rPr>
                <w:color w:val="auto"/>
                <w:sz w:val="18"/>
                <w:szCs w:val="18"/>
              </w:rPr>
              <w:t>E2 □</w:t>
            </w:r>
          </w:p>
        </w:tc>
        <w:tc>
          <w:tcPr>
            <w:tcW w:w="1040" w:type="pct"/>
            <w:gridSpan w:val="6"/>
            <w:shd w:val="clear" w:color="auto" w:fill="auto"/>
            <w:vAlign w:val="center"/>
          </w:tcPr>
          <w:p w14:paraId="49F0F984">
            <w:pPr>
              <w:jc w:val="center"/>
              <w:rPr>
                <w:color w:val="auto"/>
                <w:sz w:val="18"/>
                <w:szCs w:val="18"/>
              </w:rPr>
            </w:pPr>
            <w:r>
              <w:rPr>
                <w:color w:val="auto"/>
                <w:sz w:val="18"/>
                <w:szCs w:val="18"/>
              </w:rPr>
              <w:t>E3</w:t>
            </w:r>
            <w:r>
              <w:rPr>
                <w:color w:val="auto"/>
                <w:sz w:val="18"/>
                <w:szCs w:val="18"/>
              </w:rPr>
              <w:sym w:font="Wingdings" w:char="F0FE"/>
            </w:r>
          </w:p>
        </w:tc>
      </w:tr>
      <w:tr w14:paraId="7F915214">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shd w:val="clear" w:color="auto" w:fill="auto"/>
            <w:vAlign w:val="center"/>
          </w:tcPr>
          <w:p w14:paraId="1D65EAD0">
            <w:pPr>
              <w:jc w:val="center"/>
              <w:rPr>
                <w:color w:val="auto"/>
                <w:sz w:val="18"/>
                <w:szCs w:val="18"/>
              </w:rPr>
            </w:pPr>
            <w:r>
              <w:rPr>
                <w:color w:val="auto"/>
                <w:sz w:val="18"/>
                <w:szCs w:val="18"/>
              </w:rPr>
              <w:t>环境风险</w:t>
            </w:r>
          </w:p>
          <w:p w14:paraId="00F04EF8">
            <w:pPr>
              <w:jc w:val="center"/>
              <w:rPr>
                <w:color w:val="auto"/>
                <w:sz w:val="18"/>
                <w:szCs w:val="18"/>
              </w:rPr>
            </w:pPr>
            <w:r>
              <w:rPr>
                <w:color w:val="auto"/>
                <w:sz w:val="18"/>
                <w:szCs w:val="18"/>
              </w:rPr>
              <w:t>潜势</w:t>
            </w:r>
          </w:p>
        </w:tc>
        <w:tc>
          <w:tcPr>
            <w:tcW w:w="732" w:type="pct"/>
            <w:gridSpan w:val="2"/>
            <w:shd w:val="clear" w:color="auto" w:fill="auto"/>
            <w:vAlign w:val="center"/>
          </w:tcPr>
          <w:p w14:paraId="43D62929">
            <w:pPr>
              <w:jc w:val="center"/>
              <w:rPr>
                <w:color w:val="auto"/>
                <w:sz w:val="18"/>
                <w:szCs w:val="18"/>
              </w:rPr>
            </w:pPr>
            <w:r>
              <w:rPr>
                <w:rFonts w:hint="eastAsia"/>
                <w:color w:val="auto"/>
                <w:sz w:val="18"/>
                <w:szCs w:val="18"/>
              </w:rPr>
              <w:t>Ⅳ</w:t>
            </w:r>
            <w:r>
              <w:rPr>
                <w:color w:val="auto"/>
                <w:sz w:val="18"/>
                <w:szCs w:val="18"/>
                <w:vertAlign w:val="superscript"/>
              </w:rPr>
              <w:t>+</w:t>
            </w:r>
            <w:r>
              <w:rPr>
                <w:color w:val="auto"/>
                <w:sz w:val="18"/>
                <w:szCs w:val="18"/>
              </w:rPr>
              <w:t xml:space="preserve"> □</w:t>
            </w:r>
          </w:p>
        </w:tc>
        <w:tc>
          <w:tcPr>
            <w:tcW w:w="733" w:type="pct"/>
            <w:gridSpan w:val="3"/>
            <w:shd w:val="clear" w:color="auto" w:fill="auto"/>
            <w:vAlign w:val="center"/>
          </w:tcPr>
          <w:p w14:paraId="662116C5">
            <w:pPr>
              <w:jc w:val="center"/>
              <w:rPr>
                <w:color w:val="auto"/>
                <w:sz w:val="18"/>
                <w:szCs w:val="18"/>
              </w:rPr>
            </w:pPr>
            <w:r>
              <w:rPr>
                <w:rFonts w:hint="eastAsia"/>
                <w:color w:val="auto"/>
                <w:sz w:val="18"/>
                <w:szCs w:val="18"/>
              </w:rPr>
              <w:t>Ⅳ</w:t>
            </w:r>
            <w:r>
              <w:rPr>
                <w:color w:val="auto"/>
                <w:sz w:val="18"/>
                <w:szCs w:val="18"/>
              </w:rPr>
              <w:t xml:space="preserve"> □</w:t>
            </w:r>
          </w:p>
        </w:tc>
        <w:tc>
          <w:tcPr>
            <w:tcW w:w="731" w:type="pct"/>
            <w:gridSpan w:val="5"/>
            <w:shd w:val="clear" w:color="auto" w:fill="auto"/>
            <w:vAlign w:val="center"/>
          </w:tcPr>
          <w:p w14:paraId="0C89A8EF">
            <w:pPr>
              <w:jc w:val="center"/>
              <w:rPr>
                <w:color w:val="auto"/>
                <w:sz w:val="18"/>
                <w:szCs w:val="18"/>
              </w:rPr>
            </w:pPr>
            <w:r>
              <w:rPr>
                <w:rFonts w:hint="eastAsia"/>
                <w:color w:val="auto"/>
                <w:sz w:val="18"/>
                <w:szCs w:val="18"/>
              </w:rPr>
              <w:t>Ⅲ</w:t>
            </w:r>
            <w:r>
              <w:rPr>
                <w:color w:val="auto"/>
                <w:sz w:val="18"/>
                <w:szCs w:val="18"/>
              </w:rPr>
              <w:t>□</w:t>
            </w:r>
          </w:p>
        </w:tc>
        <w:tc>
          <w:tcPr>
            <w:tcW w:w="734" w:type="pct"/>
            <w:gridSpan w:val="7"/>
            <w:shd w:val="clear" w:color="auto" w:fill="auto"/>
            <w:vAlign w:val="center"/>
          </w:tcPr>
          <w:p w14:paraId="2B905D7D">
            <w:pPr>
              <w:jc w:val="center"/>
              <w:rPr>
                <w:color w:val="auto"/>
                <w:sz w:val="18"/>
                <w:szCs w:val="18"/>
              </w:rPr>
            </w:pPr>
            <w:r>
              <w:rPr>
                <w:rFonts w:hint="eastAsia"/>
                <w:color w:val="auto"/>
                <w:sz w:val="18"/>
                <w:szCs w:val="18"/>
              </w:rPr>
              <w:t>Ⅱ</w:t>
            </w:r>
            <w:r>
              <w:rPr>
                <w:color w:val="auto"/>
                <w:sz w:val="18"/>
                <w:szCs w:val="18"/>
              </w:rPr>
              <w:sym w:font="Wingdings" w:char="F0FE"/>
            </w:r>
          </w:p>
        </w:tc>
        <w:tc>
          <w:tcPr>
            <w:tcW w:w="738" w:type="pct"/>
            <w:gridSpan w:val="2"/>
            <w:shd w:val="clear" w:color="auto" w:fill="auto"/>
            <w:vAlign w:val="center"/>
          </w:tcPr>
          <w:p w14:paraId="53CE2486">
            <w:pPr>
              <w:jc w:val="center"/>
              <w:rPr>
                <w:color w:val="auto"/>
                <w:sz w:val="18"/>
                <w:szCs w:val="18"/>
              </w:rPr>
            </w:pPr>
            <w:r>
              <w:rPr>
                <w:color w:val="auto"/>
                <w:sz w:val="18"/>
                <w:szCs w:val="18"/>
              </w:rPr>
              <w:t xml:space="preserve">I </w:t>
            </w:r>
            <w:r>
              <w:rPr>
                <w:color w:val="auto"/>
                <w:sz w:val="18"/>
                <w:szCs w:val="18"/>
              </w:rPr>
              <w:sym w:font="Wingdings 2" w:char="0052"/>
            </w:r>
          </w:p>
        </w:tc>
      </w:tr>
      <w:tr w14:paraId="0B4CCD0B">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shd w:val="clear" w:color="auto" w:fill="auto"/>
            <w:vAlign w:val="center"/>
          </w:tcPr>
          <w:p w14:paraId="5D777A11">
            <w:pPr>
              <w:jc w:val="center"/>
              <w:rPr>
                <w:color w:val="auto"/>
                <w:sz w:val="18"/>
                <w:szCs w:val="18"/>
              </w:rPr>
            </w:pPr>
            <w:r>
              <w:rPr>
                <w:color w:val="auto"/>
                <w:sz w:val="18"/>
                <w:szCs w:val="18"/>
              </w:rPr>
              <w:t>评价等级</w:t>
            </w:r>
          </w:p>
        </w:tc>
        <w:tc>
          <w:tcPr>
            <w:tcW w:w="917" w:type="pct"/>
            <w:gridSpan w:val="3"/>
            <w:shd w:val="clear" w:color="auto" w:fill="auto"/>
            <w:vAlign w:val="center"/>
          </w:tcPr>
          <w:p w14:paraId="6D3B8328">
            <w:pPr>
              <w:jc w:val="center"/>
              <w:rPr>
                <w:color w:val="auto"/>
                <w:sz w:val="18"/>
                <w:szCs w:val="18"/>
              </w:rPr>
            </w:pPr>
            <w:r>
              <w:rPr>
                <w:color w:val="auto"/>
                <w:sz w:val="18"/>
                <w:szCs w:val="18"/>
              </w:rPr>
              <w:t>一级 □</w:t>
            </w:r>
          </w:p>
        </w:tc>
        <w:tc>
          <w:tcPr>
            <w:tcW w:w="913" w:type="pct"/>
            <w:gridSpan w:val="5"/>
            <w:shd w:val="clear" w:color="auto" w:fill="auto"/>
            <w:vAlign w:val="center"/>
          </w:tcPr>
          <w:p w14:paraId="7702B951">
            <w:pPr>
              <w:jc w:val="center"/>
              <w:rPr>
                <w:color w:val="auto"/>
                <w:sz w:val="18"/>
                <w:szCs w:val="18"/>
              </w:rPr>
            </w:pPr>
            <w:r>
              <w:rPr>
                <w:color w:val="auto"/>
                <w:sz w:val="18"/>
                <w:szCs w:val="18"/>
              </w:rPr>
              <w:t>二级□</w:t>
            </w:r>
          </w:p>
        </w:tc>
        <w:tc>
          <w:tcPr>
            <w:tcW w:w="917" w:type="pct"/>
            <w:gridSpan w:val="6"/>
            <w:shd w:val="clear" w:color="auto" w:fill="auto"/>
            <w:vAlign w:val="center"/>
          </w:tcPr>
          <w:p w14:paraId="02B3FF34">
            <w:pPr>
              <w:jc w:val="center"/>
              <w:rPr>
                <w:color w:val="auto"/>
                <w:sz w:val="18"/>
                <w:szCs w:val="18"/>
              </w:rPr>
            </w:pPr>
            <w:r>
              <w:rPr>
                <w:color w:val="auto"/>
                <w:sz w:val="18"/>
                <w:szCs w:val="18"/>
              </w:rPr>
              <w:t xml:space="preserve">三级 </w:t>
            </w:r>
            <w:r>
              <w:rPr>
                <w:color w:val="auto"/>
                <w:sz w:val="18"/>
                <w:szCs w:val="18"/>
              </w:rPr>
              <w:sym w:font="Wingdings" w:char="F0FE"/>
            </w:r>
          </w:p>
        </w:tc>
        <w:tc>
          <w:tcPr>
            <w:tcW w:w="921" w:type="pct"/>
            <w:gridSpan w:val="5"/>
            <w:shd w:val="clear" w:color="auto" w:fill="auto"/>
            <w:vAlign w:val="center"/>
          </w:tcPr>
          <w:p w14:paraId="7D2989FD">
            <w:pPr>
              <w:jc w:val="center"/>
              <w:rPr>
                <w:color w:val="auto"/>
                <w:sz w:val="18"/>
                <w:szCs w:val="18"/>
              </w:rPr>
            </w:pPr>
            <w:r>
              <w:rPr>
                <w:color w:val="auto"/>
                <w:sz w:val="18"/>
                <w:szCs w:val="18"/>
              </w:rPr>
              <w:t xml:space="preserve">简单分析 </w:t>
            </w:r>
            <w:r>
              <w:rPr>
                <w:color w:val="auto"/>
                <w:sz w:val="18"/>
                <w:szCs w:val="18"/>
              </w:rPr>
              <w:sym w:font="Wingdings" w:char="F0FE"/>
            </w:r>
          </w:p>
        </w:tc>
      </w:tr>
      <w:tr w14:paraId="43C9418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restart"/>
            <w:shd w:val="clear" w:color="auto" w:fill="auto"/>
            <w:vAlign w:val="center"/>
          </w:tcPr>
          <w:p w14:paraId="5D269774">
            <w:pPr>
              <w:jc w:val="center"/>
              <w:rPr>
                <w:color w:val="auto"/>
                <w:sz w:val="18"/>
                <w:szCs w:val="18"/>
              </w:rPr>
            </w:pPr>
            <w:r>
              <w:rPr>
                <w:color w:val="auto"/>
                <w:sz w:val="18"/>
                <w:szCs w:val="18"/>
              </w:rPr>
              <w:t>风</w:t>
            </w:r>
          </w:p>
          <w:p w14:paraId="6708697B">
            <w:pPr>
              <w:jc w:val="center"/>
              <w:rPr>
                <w:color w:val="auto"/>
                <w:sz w:val="18"/>
                <w:szCs w:val="18"/>
              </w:rPr>
            </w:pPr>
            <w:r>
              <w:rPr>
                <w:color w:val="auto"/>
                <w:sz w:val="18"/>
                <w:szCs w:val="18"/>
              </w:rPr>
              <w:t>险</w:t>
            </w:r>
          </w:p>
          <w:p w14:paraId="64321BC0">
            <w:pPr>
              <w:jc w:val="center"/>
              <w:rPr>
                <w:color w:val="auto"/>
                <w:sz w:val="18"/>
                <w:szCs w:val="18"/>
              </w:rPr>
            </w:pPr>
            <w:r>
              <w:rPr>
                <w:color w:val="auto"/>
                <w:sz w:val="18"/>
                <w:szCs w:val="18"/>
              </w:rPr>
              <w:t>识</w:t>
            </w:r>
          </w:p>
          <w:p w14:paraId="0AA5B28E">
            <w:pPr>
              <w:jc w:val="center"/>
              <w:rPr>
                <w:color w:val="auto"/>
                <w:sz w:val="18"/>
                <w:szCs w:val="18"/>
              </w:rPr>
            </w:pPr>
            <w:r>
              <w:rPr>
                <w:color w:val="auto"/>
                <w:sz w:val="18"/>
                <w:szCs w:val="18"/>
              </w:rPr>
              <w:t>别</w:t>
            </w:r>
          </w:p>
        </w:tc>
        <w:tc>
          <w:tcPr>
            <w:tcW w:w="823" w:type="pct"/>
            <w:shd w:val="clear" w:color="auto" w:fill="auto"/>
            <w:vAlign w:val="center"/>
          </w:tcPr>
          <w:p w14:paraId="1F63BFBC">
            <w:pPr>
              <w:jc w:val="center"/>
              <w:rPr>
                <w:color w:val="auto"/>
                <w:sz w:val="18"/>
                <w:szCs w:val="18"/>
              </w:rPr>
            </w:pPr>
            <w:r>
              <w:rPr>
                <w:color w:val="auto"/>
                <w:sz w:val="18"/>
                <w:szCs w:val="18"/>
              </w:rPr>
              <w:t>物质危险性</w:t>
            </w:r>
          </w:p>
        </w:tc>
        <w:tc>
          <w:tcPr>
            <w:tcW w:w="1830" w:type="pct"/>
            <w:gridSpan w:val="8"/>
            <w:shd w:val="clear" w:color="auto" w:fill="auto"/>
            <w:vAlign w:val="center"/>
          </w:tcPr>
          <w:p w14:paraId="284DE6CA">
            <w:pPr>
              <w:jc w:val="center"/>
              <w:rPr>
                <w:color w:val="auto"/>
                <w:sz w:val="18"/>
                <w:szCs w:val="18"/>
              </w:rPr>
            </w:pPr>
            <w:r>
              <w:rPr>
                <w:color w:val="auto"/>
                <w:sz w:val="18"/>
                <w:szCs w:val="18"/>
              </w:rPr>
              <w:t xml:space="preserve">有毒有害  </w:t>
            </w:r>
            <w:r>
              <w:rPr>
                <w:rFonts w:ascii="Segoe UI Symbol" w:hAnsi="Segoe UI Symbol" w:eastAsia="MS Mincho" w:cs="Segoe UI Symbol"/>
                <w:color w:val="auto"/>
                <w:sz w:val="18"/>
                <w:szCs w:val="18"/>
              </w:rPr>
              <w:t>☑</w:t>
            </w:r>
          </w:p>
        </w:tc>
        <w:tc>
          <w:tcPr>
            <w:tcW w:w="1838" w:type="pct"/>
            <w:gridSpan w:val="11"/>
            <w:shd w:val="clear" w:color="auto" w:fill="auto"/>
            <w:vAlign w:val="center"/>
          </w:tcPr>
          <w:p w14:paraId="77500AEA">
            <w:pPr>
              <w:jc w:val="center"/>
              <w:rPr>
                <w:color w:val="auto"/>
                <w:sz w:val="18"/>
                <w:szCs w:val="18"/>
              </w:rPr>
            </w:pPr>
            <w:r>
              <w:rPr>
                <w:color w:val="auto"/>
                <w:sz w:val="18"/>
                <w:szCs w:val="18"/>
              </w:rPr>
              <w:t xml:space="preserve">易燃易爆 </w:t>
            </w:r>
            <w:r>
              <w:rPr>
                <w:rFonts w:ascii="Segoe UI Symbol" w:hAnsi="Segoe UI Symbol" w:eastAsia="MS Mincho" w:cs="Segoe UI Symbol"/>
                <w:color w:val="auto"/>
                <w:sz w:val="18"/>
                <w:szCs w:val="18"/>
              </w:rPr>
              <w:t>☑</w:t>
            </w:r>
          </w:p>
        </w:tc>
      </w:tr>
      <w:tr w14:paraId="27FB9AA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46BE1E40">
            <w:pPr>
              <w:jc w:val="center"/>
              <w:rPr>
                <w:color w:val="auto"/>
                <w:sz w:val="18"/>
                <w:szCs w:val="18"/>
              </w:rPr>
            </w:pPr>
          </w:p>
        </w:tc>
        <w:tc>
          <w:tcPr>
            <w:tcW w:w="823" w:type="pct"/>
            <w:shd w:val="clear" w:color="auto" w:fill="auto"/>
            <w:vAlign w:val="center"/>
          </w:tcPr>
          <w:p w14:paraId="6BD9F09B">
            <w:pPr>
              <w:jc w:val="center"/>
              <w:rPr>
                <w:color w:val="auto"/>
                <w:sz w:val="18"/>
                <w:szCs w:val="18"/>
              </w:rPr>
            </w:pPr>
            <w:r>
              <w:rPr>
                <w:color w:val="auto"/>
                <w:sz w:val="18"/>
                <w:szCs w:val="18"/>
              </w:rPr>
              <w:t>环境风险</w:t>
            </w:r>
          </w:p>
          <w:p w14:paraId="587F325D">
            <w:pPr>
              <w:jc w:val="center"/>
              <w:rPr>
                <w:color w:val="auto"/>
                <w:sz w:val="18"/>
                <w:szCs w:val="18"/>
              </w:rPr>
            </w:pPr>
            <w:r>
              <w:rPr>
                <w:color w:val="auto"/>
                <w:sz w:val="18"/>
                <w:szCs w:val="18"/>
              </w:rPr>
              <w:t>类型</w:t>
            </w:r>
          </w:p>
        </w:tc>
        <w:tc>
          <w:tcPr>
            <w:tcW w:w="1830" w:type="pct"/>
            <w:gridSpan w:val="8"/>
            <w:shd w:val="clear" w:color="auto" w:fill="auto"/>
            <w:vAlign w:val="center"/>
          </w:tcPr>
          <w:p w14:paraId="1B8B4ADF">
            <w:pPr>
              <w:jc w:val="center"/>
              <w:rPr>
                <w:color w:val="auto"/>
                <w:sz w:val="18"/>
                <w:szCs w:val="18"/>
              </w:rPr>
            </w:pPr>
            <w:r>
              <w:rPr>
                <w:color w:val="auto"/>
                <w:sz w:val="18"/>
                <w:szCs w:val="18"/>
              </w:rPr>
              <w:t xml:space="preserve">泄漏 </w:t>
            </w:r>
            <w:r>
              <w:rPr>
                <w:rFonts w:ascii="Segoe UI Symbol" w:hAnsi="Segoe UI Symbol" w:eastAsia="MS Mincho" w:cs="Segoe UI Symbol"/>
                <w:color w:val="auto"/>
                <w:sz w:val="18"/>
                <w:szCs w:val="18"/>
              </w:rPr>
              <w:t>☑</w:t>
            </w:r>
          </w:p>
        </w:tc>
        <w:tc>
          <w:tcPr>
            <w:tcW w:w="1838" w:type="pct"/>
            <w:gridSpan w:val="11"/>
            <w:shd w:val="clear" w:color="auto" w:fill="auto"/>
            <w:vAlign w:val="center"/>
          </w:tcPr>
          <w:p w14:paraId="3E8390C1">
            <w:pPr>
              <w:jc w:val="center"/>
              <w:rPr>
                <w:color w:val="auto"/>
                <w:sz w:val="18"/>
                <w:szCs w:val="18"/>
              </w:rPr>
            </w:pPr>
            <w:r>
              <w:rPr>
                <w:color w:val="auto"/>
                <w:sz w:val="18"/>
                <w:szCs w:val="18"/>
              </w:rPr>
              <w:t xml:space="preserve">火灾、爆炸引发伴生/次生污染物排放 </w:t>
            </w:r>
            <w:r>
              <w:rPr>
                <w:rFonts w:ascii="Segoe UI Symbol" w:hAnsi="Segoe UI Symbol" w:eastAsia="MS Mincho" w:cs="Segoe UI Symbol"/>
                <w:color w:val="auto"/>
                <w:sz w:val="18"/>
                <w:szCs w:val="18"/>
              </w:rPr>
              <w:t>☑</w:t>
            </w:r>
          </w:p>
        </w:tc>
      </w:tr>
      <w:tr w14:paraId="0240569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31471EFF">
            <w:pPr>
              <w:jc w:val="center"/>
              <w:rPr>
                <w:color w:val="auto"/>
                <w:sz w:val="18"/>
                <w:szCs w:val="18"/>
              </w:rPr>
            </w:pPr>
          </w:p>
        </w:tc>
        <w:tc>
          <w:tcPr>
            <w:tcW w:w="823" w:type="pct"/>
            <w:shd w:val="clear" w:color="auto" w:fill="auto"/>
            <w:vAlign w:val="center"/>
          </w:tcPr>
          <w:p w14:paraId="38C916EC">
            <w:pPr>
              <w:jc w:val="center"/>
              <w:rPr>
                <w:color w:val="auto"/>
                <w:sz w:val="18"/>
                <w:szCs w:val="18"/>
              </w:rPr>
            </w:pPr>
            <w:r>
              <w:rPr>
                <w:color w:val="auto"/>
                <w:sz w:val="18"/>
                <w:szCs w:val="18"/>
              </w:rPr>
              <w:t>影响途径</w:t>
            </w:r>
          </w:p>
        </w:tc>
        <w:tc>
          <w:tcPr>
            <w:tcW w:w="1221" w:type="pct"/>
            <w:gridSpan w:val="4"/>
            <w:shd w:val="clear" w:color="auto" w:fill="auto"/>
            <w:vAlign w:val="center"/>
          </w:tcPr>
          <w:p w14:paraId="471C98E4">
            <w:pPr>
              <w:jc w:val="center"/>
              <w:rPr>
                <w:color w:val="auto"/>
                <w:sz w:val="18"/>
                <w:szCs w:val="18"/>
              </w:rPr>
            </w:pPr>
            <w:r>
              <w:rPr>
                <w:color w:val="auto"/>
                <w:sz w:val="18"/>
                <w:szCs w:val="18"/>
              </w:rPr>
              <w:t xml:space="preserve">大气 </w:t>
            </w:r>
            <w:r>
              <w:rPr>
                <w:color w:val="auto"/>
                <w:sz w:val="18"/>
                <w:szCs w:val="18"/>
              </w:rPr>
              <w:sym w:font="Wingdings 2" w:char="0052"/>
            </w:r>
          </w:p>
        </w:tc>
        <w:tc>
          <w:tcPr>
            <w:tcW w:w="1219" w:type="pct"/>
            <w:gridSpan w:val="7"/>
            <w:shd w:val="clear" w:color="auto" w:fill="auto"/>
            <w:vAlign w:val="center"/>
          </w:tcPr>
          <w:p w14:paraId="2E13E41B">
            <w:pPr>
              <w:jc w:val="center"/>
              <w:rPr>
                <w:color w:val="auto"/>
                <w:sz w:val="18"/>
                <w:szCs w:val="18"/>
              </w:rPr>
            </w:pPr>
            <w:r>
              <w:rPr>
                <w:color w:val="auto"/>
                <w:sz w:val="18"/>
                <w:szCs w:val="18"/>
              </w:rPr>
              <w:t>地表水 □</w:t>
            </w:r>
          </w:p>
        </w:tc>
        <w:tc>
          <w:tcPr>
            <w:tcW w:w="1228" w:type="pct"/>
            <w:gridSpan w:val="8"/>
            <w:shd w:val="clear" w:color="auto" w:fill="auto"/>
            <w:vAlign w:val="center"/>
          </w:tcPr>
          <w:p w14:paraId="501CBBB6">
            <w:pPr>
              <w:jc w:val="center"/>
              <w:rPr>
                <w:color w:val="auto"/>
                <w:sz w:val="18"/>
                <w:szCs w:val="18"/>
              </w:rPr>
            </w:pPr>
            <w:r>
              <w:rPr>
                <w:color w:val="auto"/>
                <w:sz w:val="18"/>
                <w:szCs w:val="18"/>
              </w:rPr>
              <w:t xml:space="preserve">地下水  </w:t>
            </w:r>
            <w:r>
              <w:rPr>
                <w:color w:val="auto"/>
                <w:sz w:val="18"/>
                <w:szCs w:val="18"/>
              </w:rPr>
              <w:sym w:font="Wingdings 2" w:char="0052"/>
            </w:r>
          </w:p>
        </w:tc>
      </w:tr>
      <w:tr w14:paraId="28FC99CF">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shd w:val="clear" w:color="auto" w:fill="auto"/>
            <w:vAlign w:val="center"/>
          </w:tcPr>
          <w:p w14:paraId="5C980DAF">
            <w:pPr>
              <w:jc w:val="center"/>
              <w:rPr>
                <w:color w:val="auto"/>
                <w:sz w:val="18"/>
                <w:szCs w:val="18"/>
              </w:rPr>
            </w:pPr>
            <w:r>
              <w:rPr>
                <w:color w:val="auto"/>
                <w:sz w:val="18"/>
                <w:szCs w:val="18"/>
              </w:rPr>
              <w:t xml:space="preserve">事故情形分析 </w:t>
            </w:r>
          </w:p>
        </w:tc>
        <w:tc>
          <w:tcPr>
            <w:tcW w:w="917" w:type="pct"/>
            <w:gridSpan w:val="3"/>
            <w:shd w:val="clear" w:color="auto" w:fill="auto"/>
            <w:vAlign w:val="center"/>
          </w:tcPr>
          <w:p w14:paraId="45BD20EA">
            <w:pPr>
              <w:jc w:val="center"/>
              <w:rPr>
                <w:color w:val="auto"/>
                <w:sz w:val="18"/>
                <w:szCs w:val="18"/>
              </w:rPr>
            </w:pPr>
            <w:r>
              <w:rPr>
                <w:color w:val="auto"/>
                <w:sz w:val="18"/>
                <w:szCs w:val="18"/>
              </w:rPr>
              <w:t>源强设定方法</w:t>
            </w:r>
          </w:p>
        </w:tc>
        <w:tc>
          <w:tcPr>
            <w:tcW w:w="913" w:type="pct"/>
            <w:gridSpan w:val="5"/>
            <w:shd w:val="clear" w:color="auto" w:fill="auto"/>
            <w:vAlign w:val="center"/>
          </w:tcPr>
          <w:p w14:paraId="3D99FEDB">
            <w:pPr>
              <w:jc w:val="center"/>
              <w:rPr>
                <w:color w:val="auto"/>
                <w:sz w:val="18"/>
                <w:szCs w:val="18"/>
              </w:rPr>
            </w:pPr>
            <w:r>
              <w:rPr>
                <w:color w:val="auto"/>
                <w:sz w:val="18"/>
                <w:szCs w:val="18"/>
              </w:rPr>
              <w:t>计算法 □</w:t>
            </w:r>
          </w:p>
        </w:tc>
        <w:tc>
          <w:tcPr>
            <w:tcW w:w="917" w:type="pct"/>
            <w:gridSpan w:val="6"/>
            <w:shd w:val="clear" w:color="auto" w:fill="auto"/>
            <w:vAlign w:val="center"/>
          </w:tcPr>
          <w:p w14:paraId="4FCBEBE7">
            <w:pPr>
              <w:jc w:val="center"/>
              <w:rPr>
                <w:color w:val="auto"/>
                <w:sz w:val="18"/>
                <w:szCs w:val="18"/>
              </w:rPr>
            </w:pPr>
            <w:r>
              <w:rPr>
                <w:color w:val="auto"/>
                <w:sz w:val="18"/>
                <w:szCs w:val="18"/>
              </w:rPr>
              <w:t>经验估算法 □</w:t>
            </w:r>
          </w:p>
        </w:tc>
        <w:tc>
          <w:tcPr>
            <w:tcW w:w="921" w:type="pct"/>
            <w:gridSpan w:val="5"/>
            <w:shd w:val="clear" w:color="auto" w:fill="auto"/>
            <w:vAlign w:val="center"/>
          </w:tcPr>
          <w:p w14:paraId="652BE1EF">
            <w:pPr>
              <w:jc w:val="center"/>
              <w:rPr>
                <w:color w:val="auto"/>
                <w:sz w:val="18"/>
                <w:szCs w:val="18"/>
              </w:rPr>
            </w:pPr>
            <w:r>
              <w:rPr>
                <w:color w:val="auto"/>
                <w:sz w:val="18"/>
                <w:szCs w:val="18"/>
              </w:rPr>
              <w:t>其他估算法 □</w:t>
            </w:r>
          </w:p>
        </w:tc>
      </w:tr>
      <w:tr w14:paraId="06DB677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restart"/>
            <w:shd w:val="clear" w:color="auto" w:fill="auto"/>
            <w:vAlign w:val="center"/>
          </w:tcPr>
          <w:p w14:paraId="723E64CF">
            <w:pPr>
              <w:jc w:val="center"/>
              <w:rPr>
                <w:color w:val="auto"/>
                <w:sz w:val="18"/>
                <w:szCs w:val="18"/>
              </w:rPr>
            </w:pPr>
            <w:r>
              <w:rPr>
                <w:color w:val="auto"/>
                <w:sz w:val="18"/>
                <w:szCs w:val="18"/>
              </w:rPr>
              <w:t>风险</w:t>
            </w:r>
          </w:p>
          <w:p w14:paraId="7730F37D">
            <w:pPr>
              <w:jc w:val="center"/>
              <w:rPr>
                <w:color w:val="auto"/>
                <w:sz w:val="18"/>
                <w:szCs w:val="18"/>
              </w:rPr>
            </w:pPr>
            <w:r>
              <w:rPr>
                <w:color w:val="auto"/>
                <w:sz w:val="18"/>
                <w:szCs w:val="18"/>
              </w:rPr>
              <w:t>预测</w:t>
            </w:r>
          </w:p>
          <w:p w14:paraId="59FC5706">
            <w:pPr>
              <w:jc w:val="center"/>
              <w:rPr>
                <w:color w:val="auto"/>
                <w:sz w:val="18"/>
                <w:szCs w:val="18"/>
              </w:rPr>
            </w:pPr>
            <w:r>
              <w:rPr>
                <w:color w:val="auto"/>
                <w:sz w:val="18"/>
                <w:szCs w:val="18"/>
              </w:rPr>
              <w:t>与</w:t>
            </w:r>
          </w:p>
          <w:p w14:paraId="5325C1C0">
            <w:pPr>
              <w:jc w:val="center"/>
              <w:rPr>
                <w:color w:val="auto"/>
                <w:sz w:val="18"/>
                <w:szCs w:val="18"/>
              </w:rPr>
            </w:pPr>
            <w:r>
              <w:rPr>
                <w:color w:val="auto"/>
                <w:sz w:val="18"/>
                <w:szCs w:val="18"/>
              </w:rPr>
              <w:t>评价</w:t>
            </w:r>
          </w:p>
        </w:tc>
        <w:tc>
          <w:tcPr>
            <w:tcW w:w="823" w:type="pct"/>
            <w:vMerge w:val="restart"/>
            <w:shd w:val="clear" w:color="auto" w:fill="auto"/>
            <w:vAlign w:val="center"/>
          </w:tcPr>
          <w:p w14:paraId="49A72E40">
            <w:pPr>
              <w:jc w:val="center"/>
              <w:rPr>
                <w:color w:val="auto"/>
                <w:sz w:val="18"/>
                <w:szCs w:val="18"/>
              </w:rPr>
            </w:pPr>
            <w:r>
              <w:rPr>
                <w:color w:val="auto"/>
                <w:sz w:val="18"/>
                <w:szCs w:val="18"/>
              </w:rPr>
              <w:t>大气</w:t>
            </w:r>
          </w:p>
        </w:tc>
        <w:tc>
          <w:tcPr>
            <w:tcW w:w="917" w:type="pct"/>
            <w:gridSpan w:val="3"/>
            <w:shd w:val="clear" w:color="auto" w:fill="auto"/>
            <w:vAlign w:val="center"/>
          </w:tcPr>
          <w:p w14:paraId="37E28F9F">
            <w:pPr>
              <w:jc w:val="center"/>
              <w:rPr>
                <w:color w:val="auto"/>
                <w:sz w:val="18"/>
                <w:szCs w:val="18"/>
              </w:rPr>
            </w:pPr>
            <w:r>
              <w:rPr>
                <w:color w:val="auto"/>
                <w:sz w:val="18"/>
                <w:szCs w:val="18"/>
              </w:rPr>
              <w:t>预测模型</w:t>
            </w:r>
          </w:p>
        </w:tc>
        <w:tc>
          <w:tcPr>
            <w:tcW w:w="913" w:type="pct"/>
            <w:gridSpan w:val="5"/>
            <w:shd w:val="clear" w:color="auto" w:fill="auto"/>
            <w:vAlign w:val="center"/>
          </w:tcPr>
          <w:p w14:paraId="5562A2ED">
            <w:pPr>
              <w:jc w:val="center"/>
              <w:rPr>
                <w:color w:val="auto"/>
                <w:sz w:val="18"/>
                <w:szCs w:val="18"/>
              </w:rPr>
            </w:pPr>
            <w:r>
              <w:rPr>
                <w:color w:val="auto"/>
                <w:sz w:val="18"/>
                <w:szCs w:val="18"/>
              </w:rPr>
              <w:t>SLAB □</w:t>
            </w:r>
          </w:p>
        </w:tc>
        <w:tc>
          <w:tcPr>
            <w:tcW w:w="917" w:type="pct"/>
            <w:gridSpan w:val="6"/>
            <w:shd w:val="clear" w:color="auto" w:fill="auto"/>
            <w:vAlign w:val="center"/>
          </w:tcPr>
          <w:p w14:paraId="533B0D2C">
            <w:pPr>
              <w:jc w:val="center"/>
              <w:rPr>
                <w:color w:val="auto"/>
                <w:sz w:val="18"/>
                <w:szCs w:val="18"/>
              </w:rPr>
            </w:pPr>
            <w:r>
              <w:rPr>
                <w:color w:val="auto"/>
                <w:sz w:val="18"/>
                <w:szCs w:val="18"/>
              </w:rPr>
              <w:t>AFTOX□</w:t>
            </w:r>
          </w:p>
        </w:tc>
        <w:tc>
          <w:tcPr>
            <w:tcW w:w="921" w:type="pct"/>
            <w:gridSpan w:val="5"/>
            <w:shd w:val="clear" w:color="auto" w:fill="auto"/>
            <w:vAlign w:val="center"/>
          </w:tcPr>
          <w:p w14:paraId="56701A72">
            <w:pPr>
              <w:jc w:val="center"/>
              <w:rPr>
                <w:color w:val="auto"/>
                <w:sz w:val="18"/>
                <w:szCs w:val="18"/>
              </w:rPr>
            </w:pPr>
            <w:r>
              <w:rPr>
                <w:color w:val="auto"/>
                <w:sz w:val="18"/>
                <w:szCs w:val="18"/>
              </w:rPr>
              <w:t>其他 □</w:t>
            </w:r>
          </w:p>
        </w:tc>
      </w:tr>
      <w:tr w14:paraId="6C0AF35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03459FE0">
            <w:pPr>
              <w:jc w:val="center"/>
              <w:rPr>
                <w:color w:val="auto"/>
                <w:sz w:val="18"/>
                <w:szCs w:val="18"/>
              </w:rPr>
            </w:pPr>
          </w:p>
        </w:tc>
        <w:tc>
          <w:tcPr>
            <w:tcW w:w="823" w:type="pct"/>
            <w:vMerge w:val="continue"/>
            <w:shd w:val="clear" w:color="auto" w:fill="auto"/>
            <w:vAlign w:val="center"/>
          </w:tcPr>
          <w:p w14:paraId="01611653">
            <w:pPr>
              <w:jc w:val="center"/>
              <w:rPr>
                <w:color w:val="auto"/>
                <w:sz w:val="18"/>
                <w:szCs w:val="18"/>
              </w:rPr>
            </w:pPr>
          </w:p>
        </w:tc>
        <w:tc>
          <w:tcPr>
            <w:tcW w:w="917" w:type="pct"/>
            <w:gridSpan w:val="3"/>
            <w:vMerge w:val="restart"/>
            <w:shd w:val="clear" w:color="auto" w:fill="auto"/>
            <w:vAlign w:val="center"/>
          </w:tcPr>
          <w:p w14:paraId="349B31F8">
            <w:pPr>
              <w:jc w:val="center"/>
              <w:rPr>
                <w:color w:val="auto"/>
                <w:sz w:val="18"/>
                <w:szCs w:val="18"/>
              </w:rPr>
            </w:pPr>
            <w:r>
              <w:rPr>
                <w:color w:val="auto"/>
                <w:sz w:val="18"/>
                <w:szCs w:val="18"/>
              </w:rPr>
              <w:t>预测结果</w:t>
            </w:r>
          </w:p>
        </w:tc>
        <w:tc>
          <w:tcPr>
            <w:tcW w:w="2751" w:type="pct"/>
            <w:gridSpan w:val="16"/>
            <w:shd w:val="clear" w:color="auto" w:fill="auto"/>
            <w:vAlign w:val="center"/>
          </w:tcPr>
          <w:p w14:paraId="2542FD5F">
            <w:pPr>
              <w:jc w:val="center"/>
              <w:rPr>
                <w:color w:val="auto"/>
                <w:sz w:val="18"/>
                <w:szCs w:val="18"/>
              </w:rPr>
            </w:pPr>
            <w:r>
              <w:rPr>
                <w:color w:val="auto"/>
                <w:sz w:val="18"/>
                <w:szCs w:val="18"/>
              </w:rPr>
              <w:t>大气毒性终点浓度-1 最大影响范围</w:t>
            </w:r>
            <w:r>
              <w:rPr>
                <w:color w:val="auto"/>
                <w:sz w:val="18"/>
                <w:szCs w:val="18"/>
                <w:u w:val="single"/>
              </w:rPr>
              <w:t xml:space="preserve">    </w:t>
            </w:r>
            <w:r>
              <w:rPr>
                <w:color w:val="auto"/>
                <w:sz w:val="18"/>
                <w:szCs w:val="18"/>
              </w:rPr>
              <w:t>m</w:t>
            </w:r>
          </w:p>
        </w:tc>
      </w:tr>
      <w:tr w14:paraId="0416518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75E2E4A2">
            <w:pPr>
              <w:jc w:val="center"/>
              <w:rPr>
                <w:color w:val="auto"/>
                <w:sz w:val="18"/>
                <w:szCs w:val="18"/>
              </w:rPr>
            </w:pPr>
          </w:p>
        </w:tc>
        <w:tc>
          <w:tcPr>
            <w:tcW w:w="823" w:type="pct"/>
            <w:vMerge w:val="continue"/>
            <w:shd w:val="clear" w:color="auto" w:fill="auto"/>
            <w:vAlign w:val="center"/>
          </w:tcPr>
          <w:p w14:paraId="4F8A242F">
            <w:pPr>
              <w:jc w:val="center"/>
              <w:rPr>
                <w:color w:val="auto"/>
                <w:sz w:val="18"/>
                <w:szCs w:val="18"/>
              </w:rPr>
            </w:pPr>
          </w:p>
        </w:tc>
        <w:tc>
          <w:tcPr>
            <w:tcW w:w="917" w:type="pct"/>
            <w:gridSpan w:val="3"/>
            <w:vMerge w:val="continue"/>
            <w:shd w:val="clear" w:color="auto" w:fill="auto"/>
            <w:vAlign w:val="center"/>
          </w:tcPr>
          <w:p w14:paraId="59CACB02">
            <w:pPr>
              <w:jc w:val="center"/>
              <w:rPr>
                <w:color w:val="auto"/>
                <w:sz w:val="18"/>
                <w:szCs w:val="18"/>
              </w:rPr>
            </w:pPr>
          </w:p>
        </w:tc>
        <w:tc>
          <w:tcPr>
            <w:tcW w:w="2751" w:type="pct"/>
            <w:gridSpan w:val="16"/>
            <w:shd w:val="clear" w:color="auto" w:fill="auto"/>
            <w:vAlign w:val="center"/>
          </w:tcPr>
          <w:p w14:paraId="20F86B40">
            <w:pPr>
              <w:jc w:val="center"/>
              <w:rPr>
                <w:color w:val="auto"/>
                <w:sz w:val="18"/>
                <w:szCs w:val="18"/>
              </w:rPr>
            </w:pPr>
            <w:r>
              <w:rPr>
                <w:color w:val="auto"/>
                <w:sz w:val="18"/>
                <w:szCs w:val="18"/>
              </w:rPr>
              <w:t>大气毒性终点浓度-2 最大影响范围</w:t>
            </w:r>
            <w:r>
              <w:rPr>
                <w:color w:val="auto"/>
                <w:sz w:val="18"/>
                <w:szCs w:val="18"/>
                <w:u w:val="single"/>
              </w:rPr>
              <w:t xml:space="preserve">    </w:t>
            </w:r>
            <w:r>
              <w:rPr>
                <w:color w:val="auto"/>
                <w:sz w:val="18"/>
                <w:szCs w:val="18"/>
              </w:rPr>
              <w:t>m</w:t>
            </w:r>
          </w:p>
        </w:tc>
      </w:tr>
      <w:tr w14:paraId="06C9C30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5C7F873A">
            <w:pPr>
              <w:jc w:val="center"/>
              <w:rPr>
                <w:color w:val="auto"/>
                <w:sz w:val="18"/>
                <w:szCs w:val="18"/>
              </w:rPr>
            </w:pPr>
          </w:p>
        </w:tc>
        <w:tc>
          <w:tcPr>
            <w:tcW w:w="823" w:type="pct"/>
            <w:shd w:val="clear" w:color="auto" w:fill="auto"/>
            <w:vAlign w:val="center"/>
          </w:tcPr>
          <w:p w14:paraId="58B727C8">
            <w:pPr>
              <w:jc w:val="center"/>
              <w:rPr>
                <w:color w:val="auto"/>
                <w:sz w:val="18"/>
                <w:szCs w:val="18"/>
              </w:rPr>
            </w:pPr>
            <w:r>
              <w:rPr>
                <w:color w:val="auto"/>
                <w:sz w:val="18"/>
                <w:szCs w:val="18"/>
              </w:rPr>
              <w:t>地表水</w:t>
            </w:r>
          </w:p>
        </w:tc>
        <w:tc>
          <w:tcPr>
            <w:tcW w:w="3668" w:type="pct"/>
            <w:gridSpan w:val="19"/>
            <w:shd w:val="clear" w:color="auto" w:fill="auto"/>
            <w:vAlign w:val="center"/>
          </w:tcPr>
          <w:p w14:paraId="56653B4B">
            <w:pPr>
              <w:jc w:val="center"/>
              <w:rPr>
                <w:color w:val="auto"/>
                <w:sz w:val="18"/>
                <w:szCs w:val="18"/>
              </w:rPr>
            </w:pPr>
            <w:r>
              <w:rPr>
                <w:color w:val="auto"/>
                <w:sz w:val="18"/>
                <w:szCs w:val="18"/>
              </w:rPr>
              <w:t>最近环境敏感目标</w:t>
            </w:r>
            <w:r>
              <w:rPr>
                <w:color w:val="auto"/>
                <w:sz w:val="18"/>
                <w:szCs w:val="18"/>
                <w:u w:val="single"/>
              </w:rPr>
              <w:t xml:space="preserve">      </w:t>
            </w:r>
            <w:r>
              <w:rPr>
                <w:rFonts w:hint="eastAsia"/>
                <w:color w:val="auto"/>
                <w:sz w:val="18"/>
                <w:szCs w:val="18"/>
                <w:lang w:eastAsia="zh-CN"/>
              </w:rPr>
              <w:t>，</w:t>
            </w:r>
            <w:r>
              <w:rPr>
                <w:color w:val="auto"/>
                <w:sz w:val="18"/>
                <w:szCs w:val="18"/>
              </w:rPr>
              <w:t>到达时间</w:t>
            </w:r>
            <w:r>
              <w:rPr>
                <w:color w:val="auto"/>
                <w:sz w:val="18"/>
                <w:szCs w:val="18"/>
                <w:u w:val="single"/>
              </w:rPr>
              <w:t xml:space="preserve">      </w:t>
            </w:r>
            <w:r>
              <w:rPr>
                <w:color w:val="auto"/>
                <w:sz w:val="18"/>
                <w:szCs w:val="18"/>
              </w:rPr>
              <w:t>h</w:t>
            </w:r>
          </w:p>
        </w:tc>
      </w:tr>
      <w:tr w14:paraId="60CDB462">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4E596D4D">
            <w:pPr>
              <w:jc w:val="center"/>
              <w:rPr>
                <w:color w:val="auto"/>
                <w:sz w:val="18"/>
                <w:szCs w:val="18"/>
              </w:rPr>
            </w:pPr>
          </w:p>
        </w:tc>
        <w:tc>
          <w:tcPr>
            <w:tcW w:w="823" w:type="pct"/>
            <w:vMerge w:val="restart"/>
            <w:shd w:val="clear" w:color="auto" w:fill="auto"/>
            <w:vAlign w:val="center"/>
          </w:tcPr>
          <w:p w14:paraId="3E9086EB">
            <w:pPr>
              <w:jc w:val="center"/>
              <w:rPr>
                <w:color w:val="auto"/>
                <w:sz w:val="18"/>
                <w:szCs w:val="18"/>
              </w:rPr>
            </w:pPr>
            <w:r>
              <w:rPr>
                <w:color w:val="auto"/>
                <w:sz w:val="18"/>
                <w:szCs w:val="18"/>
              </w:rPr>
              <w:t>地下水</w:t>
            </w:r>
          </w:p>
        </w:tc>
        <w:tc>
          <w:tcPr>
            <w:tcW w:w="3668" w:type="pct"/>
            <w:gridSpan w:val="19"/>
            <w:shd w:val="clear" w:color="auto" w:fill="auto"/>
            <w:vAlign w:val="center"/>
          </w:tcPr>
          <w:p w14:paraId="3E88F521">
            <w:pPr>
              <w:jc w:val="center"/>
              <w:rPr>
                <w:color w:val="auto"/>
                <w:sz w:val="18"/>
                <w:szCs w:val="18"/>
              </w:rPr>
            </w:pPr>
            <w:r>
              <w:rPr>
                <w:color w:val="auto"/>
                <w:sz w:val="18"/>
                <w:szCs w:val="18"/>
              </w:rPr>
              <w:t>下游厂区边界到达时间</w:t>
            </w:r>
            <w:r>
              <w:rPr>
                <w:color w:val="auto"/>
                <w:sz w:val="18"/>
                <w:szCs w:val="18"/>
                <w:u w:val="single"/>
              </w:rPr>
              <w:t xml:space="preserve">      </w:t>
            </w:r>
            <w:r>
              <w:rPr>
                <w:color w:val="auto"/>
                <w:sz w:val="18"/>
                <w:szCs w:val="18"/>
              </w:rPr>
              <w:t>d</w:t>
            </w:r>
          </w:p>
        </w:tc>
      </w:tr>
      <w:tr w14:paraId="25DE8A37">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9" w:type="pct"/>
            <w:vMerge w:val="continue"/>
            <w:shd w:val="clear" w:color="auto" w:fill="auto"/>
            <w:vAlign w:val="center"/>
          </w:tcPr>
          <w:p w14:paraId="0A550594">
            <w:pPr>
              <w:jc w:val="center"/>
              <w:rPr>
                <w:color w:val="auto"/>
                <w:sz w:val="18"/>
                <w:szCs w:val="18"/>
              </w:rPr>
            </w:pPr>
          </w:p>
        </w:tc>
        <w:tc>
          <w:tcPr>
            <w:tcW w:w="823" w:type="pct"/>
            <w:vMerge w:val="continue"/>
            <w:shd w:val="clear" w:color="auto" w:fill="auto"/>
            <w:vAlign w:val="center"/>
          </w:tcPr>
          <w:p w14:paraId="15FDE212">
            <w:pPr>
              <w:jc w:val="center"/>
              <w:rPr>
                <w:color w:val="auto"/>
                <w:sz w:val="18"/>
                <w:szCs w:val="18"/>
              </w:rPr>
            </w:pPr>
          </w:p>
        </w:tc>
        <w:tc>
          <w:tcPr>
            <w:tcW w:w="3668" w:type="pct"/>
            <w:gridSpan w:val="19"/>
            <w:shd w:val="clear" w:color="auto" w:fill="auto"/>
            <w:vAlign w:val="center"/>
          </w:tcPr>
          <w:p w14:paraId="3807A7B8">
            <w:pPr>
              <w:jc w:val="center"/>
              <w:rPr>
                <w:color w:val="auto"/>
                <w:sz w:val="18"/>
                <w:szCs w:val="18"/>
              </w:rPr>
            </w:pPr>
            <w:r>
              <w:rPr>
                <w:color w:val="auto"/>
                <w:sz w:val="18"/>
                <w:szCs w:val="18"/>
              </w:rPr>
              <w:t>最近环境敏感目标</w:t>
            </w:r>
            <w:r>
              <w:rPr>
                <w:color w:val="auto"/>
                <w:sz w:val="18"/>
                <w:szCs w:val="18"/>
                <w:u w:val="single"/>
              </w:rPr>
              <w:t xml:space="preserve">      </w:t>
            </w:r>
            <w:r>
              <w:rPr>
                <w:rFonts w:hint="eastAsia"/>
                <w:color w:val="auto"/>
                <w:sz w:val="18"/>
                <w:szCs w:val="18"/>
                <w:lang w:eastAsia="zh-CN"/>
              </w:rPr>
              <w:t>，</w:t>
            </w:r>
            <w:r>
              <w:rPr>
                <w:color w:val="auto"/>
                <w:sz w:val="18"/>
                <w:szCs w:val="18"/>
              </w:rPr>
              <w:t>到达时间</w:t>
            </w:r>
            <w:r>
              <w:rPr>
                <w:color w:val="auto"/>
                <w:sz w:val="18"/>
                <w:szCs w:val="18"/>
                <w:u w:val="single"/>
              </w:rPr>
              <w:t xml:space="preserve">      </w:t>
            </w:r>
            <w:r>
              <w:rPr>
                <w:color w:val="auto"/>
                <w:sz w:val="18"/>
                <w:szCs w:val="18"/>
              </w:rPr>
              <w:t>d</w:t>
            </w:r>
          </w:p>
        </w:tc>
      </w:tr>
      <w:tr w14:paraId="04B4D0B8">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shd w:val="clear" w:color="auto" w:fill="auto"/>
            <w:vAlign w:val="center"/>
          </w:tcPr>
          <w:p w14:paraId="24BCF83D">
            <w:pPr>
              <w:jc w:val="center"/>
              <w:rPr>
                <w:color w:val="auto"/>
                <w:sz w:val="18"/>
                <w:szCs w:val="18"/>
              </w:rPr>
            </w:pPr>
            <w:r>
              <w:rPr>
                <w:color w:val="auto"/>
                <w:sz w:val="18"/>
                <w:szCs w:val="18"/>
              </w:rPr>
              <w:t>重点风险防范措施</w:t>
            </w:r>
          </w:p>
        </w:tc>
        <w:tc>
          <w:tcPr>
            <w:tcW w:w="3668" w:type="pct"/>
            <w:gridSpan w:val="19"/>
            <w:shd w:val="clear" w:color="auto" w:fill="auto"/>
            <w:vAlign w:val="center"/>
          </w:tcPr>
          <w:p w14:paraId="21E977FA">
            <w:pPr>
              <w:jc w:val="center"/>
              <w:rPr>
                <w:color w:val="auto"/>
                <w:sz w:val="18"/>
                <w:szCs w:val="18"/>
              </w:rPr>
            </w:pPr>
            <w:r>
              <w:rPr>
                <w:rFonts w:hint="eastAsia"/>
                <w:color w:val="auto"/>
                <w:sz w:val="18"/>
                <w:szCs w:val="18"/>
              </w:rPr>
              <w:t>生产区和存储区四周设置0</w:t>
            </w:r>
            <w:r>
              <w:rPr>
                <w:color w:val="auto"/>
                <w:sz w:val="18"/>
                <w:szCs w:val="18"/>
              </w:rPr>
              <w:t>.</w:t>
            </w:r>
            <w:r>
              <w:rPr>
                <w:rFonts w:hint="eastAsia"/>
                <w:color w:val="auto"/>
                <w:sz w:val="18"/>
                <w:szCs w:val="18"/>
                <w:lang w:val="en-US" w:eastAsia="zh-CN"/>
              </w:rPr>
              <w:t>5</w:t>
            </w:r>
            <w:r>
              <w:rPr>
                <w:rFonts w:hint="eastAsia"/>
                <w:color w:val="auto"/>
                <w:sz w:val="18"/>
                <w:szCs w:val="18"/>
              </w:rPr>
              <w:t>m高防渗围堰</w:t>
            </w:r>
            <w:r>
              <w:rPr>
                <w:rFonts w:hint="eastAsia"/>
                <w:color w:val="auto"/>
                <w:sz w:val="18"/>
                <w:szCs w:val="18"/>
                <w:lang w:eastAsia="zh-CN"/>
              </w:rPr>
              <w:t>，</w:t>
            </w:r>
            <w:r>
              <w:rPr>
                <w:rFonts w:hint="eastAsia"/>
                <w:color w:val="auto"/>
                <w:sz w:val="18"/>
                <w:szCs w:val="18"/>
              </w:rPr>
              <w:t>采用防渗混凝土结构</w:t>
            </w:r>
            <w:r>
              <w:rPr>
                <w:rFonts w:hint="eastAsia"/>
                <w:color w:val="auto"/>
                <w:sz w:val="18"/>
                <w:szCs w:val="18"/>
                <w:lang w:eastAsia="zh-CN"/>
              </w:rPr>
              <w:t>，</w:t>
            </w:r>
            <w:r>
              <w:rPr>
                <w:color w:val="auto"/>
                <w:sz w:val="18"/>
                <w:szCs w:val="18"/>
              </w:rPr>
              <w:t>渗透系数≤10</w:t>
            </w:r>
            <w:r>
              <w:rPr>
                <w:color w:val="auto"/>
                <w:sz w:val="18"/>
                <w:szCs w:val="18"/>
                <w:vertAlign w:val="superscript"/>
              </w:rPr>
              <w:t>-10</w:t>
            </w:r>
            <w:r>
              <w:rPr>
                <w:color w:val="auto"/>
                <w:sz w:val="18"/>
                <w:szCs w:val="18"/>
              </w:rPr>
              <w:t>cm/s</w:t>
            </w:r>
            <w:r>
              <w:rPr>
                <w:rFonts w:hint="eastAsia"/>
                <w:color w:val="auto"/>
                <w:sz w:val="18"/>
                <w:szCs w:val="18"/>
                <w:lang w:eastAsia="zh-CN"/>
              </w:rPr>
              <w:t>，</w:t>
            </w:r>
            <w:r>
              <w:rPr>
                <w:rFonts w:hint="eastAsia"/>
                <w:color w:val="auto"/>
                <w:sz w:val="18"/>
                <w:szCs w:val="18"/>
              </w:rPr>
              <w:t>围堰内有效容积</w:t>
            </w:r>
            <w:r>
              <w:rPr>
                <w:color w:val="auto"/>
                <w:sz w:val="18"/>
                <w:szCs w:val="18"/>
              </w:rPr>
              <w:t>48</w:t>
            </w:r>
            <w:r>
              <w:rPr>
                <w:rFonts w:hint="eastAsia"/>
                <w:color w:val="auto"/>
                <w:sz w:val="18"/>
                <w:szCs w:val="18"/>
              </w:rPr>
              <w:t>m</w:t>
            </w:r>
            <w:r>
              <w:rPr>
                <w:color w:val="auto"/>
                <w:sz w:val="18"/>
                <w:szCs w:val="18"/>
                <w:vertAlign w:val="superscript"/>
              </w:rPr>
              <w:t>3</w:t>
            </w:r>
            <w:r>
              <w:rPr>
                <w:rFonts w:hint="eastAsia"/>
                <w:color w:val="auto"/>
                <w:sz w:val="18"/>
                <w:szCs w:val="18"/>
              </w:rPr>
              <w:t>（大于车间总的物料存在量）；车间设置泄漏报警及监控装置</w:t>
            </w:r>
            <w:r>
              <w:rPr>
                <w:rFonts w:hint="eastAsia"/>
                <w:color w:val="auto"/>
                <w:sz w:val="18"/>
                <w:szCs w:val="18"/>
                <w:lang w:eastAsia="zh-CN"/>
              </w:rPr>
              <w:t>，</w:t>
            </w:r>
            <w:r>
              <w:rPr>
                <w:rFonts w:hint="eastAsia"/>
                <w:color w:val="auto"/>
                <w:sz w:val="18"/>
                <w:szCs w:val="18"/>
              </w:rPr>
              <w:t>一旦泄漏及时发现并处理。</w:t>
            </w:r>
            <w:r>
              <w:rPr>
                <w:rFonts w:hint="eastAsia"/>
                <w:color w:val="auto"/>
                <w:sz w:val="18"/>
                <w:szCs w:val="18"/>
                <w:lang w:eastAsia="zh-CN"/>
              </w:rPr>
              <w:t>，</w:t>
            </w:r>
            <w:r>
              <w:rPr>
                <w:bCs/>
                <w:color w:val="auto"/>
                <w:sz w:val="18"/>
                <w:szCs w:val="18"/>
              </w:rPr>
              <w:t>制定风险应急预案</w:t>
            </w:r>
          </w:p>
        </w:tc>
      </w:tr>
      <w:tr w14:paraId="5DA181ED">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1332" w:type="pct"/>
            <w:gridSpan w:val="2"/>
            <w:shd w:val="clear" w:color="auto" w:fill="auto"/>
            <w:vAlign w:val="center"/>
          </w:tcPr>
          <w:p w14:paraId="3DAAF97B">
            <w:pPr>
              <w:jc w:val="center"/>
              <w:rPr>
                <w:color w:val="auto"/>
                <w:sz w:val="18"/>
                <w:szCs w:val="18"/>
              </w:rPr>
            </w:pPr>
            <w:r>
              <w:rPr>
                <w:color w:val="auto"/>
                <w:sz w:val="18"/>
                <w:szCs w:val="18"/>
              </w:rPr>
              <w:t>评价结论与建议</w:t>
            </w:r>
          </w:p>
        </w:tc>
        <w:tc>
          <w:tcPr>
            <w:tcW w:w="3668" w:type="pct"/>
            <w:gridSpan w:val="19"/>
            <w:shd w:val="clear" w:color="auto" w:fill="auto"/>
            <w:vAlign w:val="center"/>
          </w:tcPr>
          <w:p w14:paraId="1945777B">
            <w:pPr>
              <w:pStyle w:val="101"/>
              <w:rPr>
                <w:color w:val="auto"/>
                <w:sz w:val="18"/>
                <w:szCs w:val="18"/>
              </w:rPr>
            </w:pPr>
            <w:r>
              <w:rPr>
                <w:color w:val="auto"/>
                <w:sz w:val="18"/>
                <w:szCs w:val="18"/>
              </w:rPr>
              <w:t>对照《建设项目环境风险评价技术导则》（HJ169-2018）附录B</w:t>
            </w:r>
            <w:r>
              <w:rPr>
                <w:rFonts w:hint="eastAsia"/>
                <w:color w:val="auto"/>
                <w:sz w:val="18"/>
                <w:szCs w:val="18"/>
                <w:lang w:eastAsia="zh-CN"/>
              </w:rPr>
              <w:t>，</w:t>
            </w:r>
            <w:r>
              <w:rPr>
                <w:color w:val="auto"/>
                <w:sz w:val="18"/>
                <w:szCs w:val="18"/>
              </w:rPr>
              <w:t>项目涉及的主要危险物质为</w:t>
            </w:r>
            <w:r>
              <w:rPr>
                <w:rFonts w:hint="eastAsia"/>
                <w:color w:val="auto"/>
                <w:sz w:val="18"/>
              </w:rPr>
              <w:t>聚合M</w:t>
            </w:r>
            <w:r>
              <w:rPr>
                <w:color w:val="auto"/>
                <w:sz w:val="18"/>
              </w:rPr>
              <w:t>DI</w:t>
            </w:r>
            <w:r>
              <w:rPr>
                <w:rFonts w:hint="eastAsia"/>
                <w:color w:val="auto"/>
                <w:sz w:val="18"/>
              </w:rPr>
              <w:t>、二丁酯</w:t>
            </w:r>
            <w:r>
              <w:rPr>
                <w:rFonts w:hint="eastAsia"/>
                <w:color w:val="auto"/>
                <w:sz w:val="18"/>
                <w:szCs w:val="18"/>
                <w:lang w:eastAsia="zh-CN"/>
              </w:rPr>
              <w:t>，</w:t>
            </w:r>
            <w:r>
              <w:rPr>
                <w:rFonts w:hint="eastAsia"/>
                <w:color w:val="auto"/>
                <w:sz w:val="18"/>
                <w:szCs w:val="18"/>
              </w:rPr>
              <w:t>使用过程中存在化学品泄漏、火灾等突发性事故</w:t>
            </w:r>
            <w:r>
              <w:rPr>
                <w:rFonts w:hint="eastAsia"/>
                <w:color w:val="auto"/>
                <w:sz w:val="18"/>
                <w:szCs w:val="18"/>
                <w:lang w:eastAsia="zh-CN"/>
              </w:rPr>
              <w:t>，</w:t>
            </w:r>
            <w:r>
              <w:rPr>
                <w:rFonts w:hint="eastAsia"/>
                <w:color w:val="auto"/>
                <w:sz w:val="18"/>
                <w:szCs w:val="18"/>
              </w:rPr>
              <w:t>在严格落实风险管理及应急措施后</w:t>
            </w:r>
            <w:r>
              <w:rPr>
                <w:rFonts w:hint="eastAsia"/>
                <w:color w:val="auto"/>
                <w:sz w:val="18"/>
                <w:szCs w:val="18"/>
                <w:lang w:eastAsia="zh-CN"/>
              </w:rPr>
              <w:t>，</w:t>
            </w:r>
            <w:r>
              <w:rPr>
                <w:rFonts w:hint="eastAsia"/>
                <w:color w:val="auto"/>
                <w:sz w:val="18"/>
                <w:szCs w:val="18"/>
              </w:rPr>
              <w:t>制定风险应急预案</w:t>
            </w:r>
            <w:r>
              <w:rPr>
                <w:rFonts w:hint="eastAsia"/>
                <w:color w:val="auto"/>
                <w:sz w:val="18"/>
                <w:szCs w:val="18"/>
                <w:lang w:eastAsia="zh-CN"/>
              </w:rPr>
              <w:t>，</w:t>
            </w:r>
            <w:r>
              <w:rPr>
                <w:rFonts w:hint="eastAsia"/>
                <w:color w:val="auto"/>
                <w:sz w:val="18"/>
                <w:szCs w:val="18"/>
              </w:rPr>
              <w:t>可将风险发生的概率和影响后果降到最低限度。</w:t>
            </w:r>
          </w:p>
        </w:tc>
      </w:tr>
      <w:tr w14:paraId="2126CB49">
        <w:tblPrEx>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0" w:type="pct"/>
            <w:gridSpan w:val="21"/>
            <w:shd w:val="clear" w:color="auto" w:fill="auto"/>
            <w:vAlign w:val="center"/>
          </w:tcPr>
          <w:p w14:paraId="5662550F">
            <w:pPr>
              <w:rPr>
                <w:color w:val="auto"/>
                <w:sz w:val="18"/>
                <w:szCs w:val="18"/>
              </w:rPr>
            </w:pPr>
            <w:r>
              <w:rPr>
                <w:color w:val="auto"/>
                <w:sz w:val="18"/>
                <w:szCs w:val="18"/>
              </w:rPr>
              <w:t>注：“□”为勾选项</w:t>
            </w:r>
            <w:r>
              <w:rPr>
                <w:rFonts w:hint="eastAsia"/>
                <w:color w:val="auto"/>
                <w:sz w:val="18"/>
                <w:szCs w:val="18"/>
                <w:lang w:eastAsia="zh-CN"/>
              </w:rPr>
              <w:t>，</w:t>
            </w:r>
            <w:r>
              <w:rPr>
                <w:color w:val="auto"/>
                <w:sz w:val="18"/>
                <w:szCs w:val="18"/>
              </w:rPr>
              <w:t>“ ”为填写项。</w:t>
            </w:r>
          </w:p>
        </w:tc>
      </w:tr>
    </w:tbl>
    <w:p w14:paraId="4E0EB644">
      <w:pPr>
        <w:rPr>
          <w:color w:val="auto"/>
        </w:rPr>
        <w:sectPr>
          <w:pgSz w:w="16838" w:h="11906" w:orient="landscape"/>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1457819E">
      <w:pPr>
        <w:keepNext/>
        <w:adjustRightInd w:val="0"/>
        <w:snapToGrid w:val="0"/>
        <w:spacing w:line="500" w:lineRule="exact"/>
        <w:outlineLvl w:val="0"/>
        <w:rPr>
          <w:b/>
          <w:color w:val="auto"/>
          <w:sz w:val="24"/>
        </w:rPr>
      </w:pPr>
      <w:bookmarkStart w:id="13" w:name="_Toc83393938"/>
      <w:bookmarkStart w:id="14" w:name="_Toc18399450"/>
      <w:r>
        <w:rPr>
          <w:b/>
          <w:color w:val="auto"/>
          <w:sz w:val="24"/>
        </w:rPr>
        <w:t>附图1  地理位置图</w:t>
      </w:r>
      <w:bookmarkEnd w:id="13"/>
    </w:p>
    <w:p w14:paraId="26C28C66">
      <w:pPr>
        <w:rPr>
          <w:rFonts w:hint="eastAsia" w:eastAsia="宋体"/>
          <w:color w:val="auto"/>
          <w:lang w:eastAsia="zh-CN"/>
        </w:rPr>
      </w:pPr>
      <w:r>
        <w:rPr>
          <w:rFonts w:hint="eastAsia" w:eastAsia="宋体"/>
          <w:color w:val="auto"/>
          <w:lang w:eastAsia="zh-CN"/>
        </w:rPr>
        <w:drawing>
          <wp:anchor distT="0" distB="0" distL="114300" distR="114300" simplePos="0" relativeHeight="251661312" behindDoc="1" locked="0" layoutInCell="1" allowOverlap="1">
            <wp:simplePos x="0" y="0"/>
            <wp:positionH relativeFrom="column">
              <wp:posOffset>548005</wp:posOffset>
            </wp:positionH>
            <wp:positionV relativeFrom="paragraph">
              <wp:posOffset>15875</wp:posOffset>
            </wp:positionV>
            <wp:extent cx="6647815" cy="5042535"/>
            <wp:effectExtent l="9525" t="9525" r="10160" b="15240"/>
            <wp:wrapNone/>
            <wp:docPr id="4" name="图片 4" descr="地理位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descr="地理位置图"/>
                    <pic:cNvPicPr>
                      <a:picLocks noChangeAspect="1"/>
                    </pic:cNvPicPr>
                  </pic:nvPicPr>
                  <pic:blipFill>
                    <a:blip r:embed="rId22"/>
                    <a:stretch>
                      <a:fillRect/>
                    </a:stretch>
                  </pic:blipFill>
                  <pic:spPr>
                    <a:xfrm>
                      <a:off x="0" y="0"/>
                      <a:ext cx="6647815" cy="5042535"/>
                    </a:xfrm>
                    <a:prstGeom prst="rect">
                      <a:avLst/>
                    </a:prstGeom>
                    <a:ln>
                      <a:solidFill>
                        <a:schemeClr val="tx1"/>
                      </a:solidFill>
                    </a:ln>
                  </pic:spPr>
                </pic:pic>
              </a:graphicData>
            </a:graphic>
          </wp:anchor>
        </w:drawing>
      </w:r>
    </w:p>
    <w:p w14:paraId="4CCE0A59">
      <w:pPr>
        <w:jc w:val="center"/>
        <w:rPr>
          <w:color w:val="auto"/>
        </w:rPr>
        <w:sectPr>
          <w:footerReference r:id="rId7" w:type="default"/>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59A7EEEB">
      <w:pPr>
        <w:keepNext/>
        <w:adjustRightInd w:val="0"/>
        <w:snapToGrid w:val="0"/>
        <w:spacing w:line="500" w:lineRule="exact"/>
        <w:outlineLvl w:val="0"/>
        <w:rPr>
          <w:rFonts w:hint="eastAsia"/>
          <w:b/>
          <w:color w:val="auto"/>
          <w:sz w:val="24"/>
        </w:rPr>
      </w:pPr>
      <w:bookmarkStart w:id="15" w:name="_Toc83393939"/>
      <w:r>
        <w:rPr>
          <w:b/>
          <w:color w:val="auto"/>
          <w:sz w:val="24"/>
        </w:rPr>
        <w:t>附</w:t>
      </w:r>
      <w:r>
        <w:rPr>
          <w:rFonts w:hint="eastAsia"/>
          <w:b/>
          <w:color w:val="auto"/>
          <w:sz w:val="24"/>
        </w:rPr>
        <w:t>图</w:t>
      </w:r>
      <w:r>
        <w:rPr>
          <w:b/>
          <w:color w:val="auto"/>
          <w:sz w:val="24"/>
        </w:rPr>
        <w:t xml:space="preserve">2  </w:t>
      </w:r>
      <w:r>
        <w:rPr>
          <w:rFonts w:hint="eastAsia"/>
          <w:b/>
          <w:color w:val="auto"/>
          <w:sz w:val="24"/>
        </w:rPr>
        <w:t>厂区平面布置</w:t>
      </w:r>
    </w:p>
    <w:p w14:paraId="0ABF7231">
      <w:pPr>
        <w:rPr>
          <w:rFonts w:hint="eastAsia" w:eastAsia="宋体"/>
          <w:b/>
          <w:color w:val="auto"/>
          <w:sz w:val="24"/>
          <w:lang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eastAsia="宋体"/>
          <w:b/>
          <w:color w:val="auto"/>
          <w:sz w:val="24"/>
          <w:lang w:eastAsia="zh-CN"/>
        </w:rPr>
        <w:drawing>
          <wp:anchor distT="0" distB="0" distL="114300" distR="114300" simplePos="0" relativeHeight="251661312" behindDoc="1" locked="0" layoutInCell="1" allowOverlap="1">
            <wp:simplePos x="0" y="0"/>
            <wp:positionH relativeFrom="column">
              <wp:posOffset>-190500</wp:posOffset>
            </wp:positionH>
            <wp:positionV relativeFrom="paragraph">
              <wp:posOffset>127000</wp:posOffset>
            </wp:positionV>
            <wp:extent cx="5615940" cy="7068820"/>
            <wp:effectExtent l="0" t="0" r="3810" b="17780"/>
            <wp:wrapNone/>
            <wp:docPr id="8" name="图片 8" descr="厂区平面布置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descr="厂区平面布置图"/>
                    <pic:cNvPicPr>
                      <a:picLocks noChangeAspect="1"/>
                    </pic:cNvPicPr>
                  </pic:nvPicPr>
                  <pic:blipFill>
                    <a:blip r:embed="rId23"/>
                    <a:stretch>
                      <a:fillRect/>
                    </a:stretch>
                  </pic:blipFill>
                  <pic:spPr>
                    <a:xfrm>
                      <a:off x="0" y="0"/>
                      <a:ext cx="5615940" cy="7068820"/>
                    </a:xfrm>
                    <a:prstGeom prst="rect">
                      <a:avLst/>
                    </a:prstGeom>
                  </pic:spPr>
                </pic:pic>
              </a:graphicData>
            </a:graphic>
          </wp:anchor>
        </w:drawing>
      </w:r>
      <w:r>
        <w:rPr>
          <w:rFonts w:hint="eastAsia"/>
          <w:b/>
          <w:color w:val="auto"/>
          <w:sz w:val="24"/>
        </w:rPr>
        <w:br w:type="page"/>
      </w:r>
    </w:p>
    <w:p w14:paraId="5FFE0100">
      <w:pPr>
        <w:keepNext/>
        <w:adjustRightInd w:val="0"/>
        <w:snapToGrid w:val="0"/>
        <w:spacing w:line="500" w:lineRule="exact"/>
        <w:outlineLvl w:val="0"/>
        <w:rPr>
          <w:b/>
          <w:color w:val="auto"/>
          <w:sz w:val="24"/>
          <w:highlight w:val="none"/>
        </w:rPr>
      </w:pPr>
      <w:r>
        <w:rPr>
          <w:rFonts w:hint="eastAsia" w:eastAsia="宋体"/>
          <w:color w:val="auto"/>
          <w:highlight w:val="none"/>
          <w:lang w:eastAsia="zh-CN"/>
        </w:rPr>
        <w:drawing>
          <wp:anchor distT="0" distB="0" distL="114300" distR="114300" simplePos="0" relativeHeight="251661312" behindDoc="1" locked="0" layoutInCell="1" allowOverlap="1">
            <wp:simplePos x="0" y="0"/>
            <wp:positionH relativeFrom="column">
              <wp:posOffset>261620</wp:posOffset>
            </wp:positionH>
            <wp:positionV relativeFrom="paragraph">
              <wp:posOffset>298450</wp:posOffset>
            </wp:positionV>
            <wp:extent cx="7589520" cy="5218430"/>
            <wp:effectExtent l="9525" t="9525" r="20955" b="10795"/>
            <wp:wrapNone/>
            <wp:docPr id="5" name="图片 5" descr="周边关系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descr="周边关系图"/>
                    <pic:cNvPicPr>
                      <a:picLocks noChangeAspect="1"/>
                    </pic:cNvPicPr>
                  </pic:nvPicPr>
                  <pic:blipFill>
                    <a:blip r:embed="rId24"/>
                    <a:stretch>
                      <a:fillRect/>
                    </a:stretch>
                  </pic:blipFill>
                  <pic:spPr>
                    <a:xfrm>
                      <a:off x="0" y="0"/>
                      <a:ext cx="7589520" cy="5218430"/>
                    </a:xfrm>
                    <a:prstGeom prst="rect">
                      <a:avLst/>
                    </a:prstGeom>
                    <a:ln>
                      <a:solidFill>
                        <a:schemeClr val="tx1"/>
                      </a:solidFill>
                    </a:ln>
                  </pic:spPr>
                </pic:pic>
              </a:graphicData>
            </a:graphic>
          </wp:anchor>
        </w:drawing>
      </w:r>
      <w:r>
        <w:rPr>
          <w:rFonts w:hint="eastAsia"/>
          <w:b/>
          <w:color w:val="auto"/>
          <w:sz w:val="24"/>
          <w:highlight w:val="none"/>
          <w:lang w:val="en-US" w:eastAsia="zh-CN"/>
        </w:rPr>
        <w:t>附图3：</w:t>
      </w:r>
      <w:r>
        <w:rPr>
          <w:rFonts w:hint="eastAsia"/>
          <w:b/>
          <w:color w:val="auto"/>
          <w:sz w:val="24"/>
          <w:highlight w:val="none"/>
        </w:rPr>
        <w:t>周</w:t>
      </w:r>
      <w:r>
        <w:rPr>
          <w:rFonts w:hint="eastAsia"/>
          <w:b/>
          <w:color w:val="auto"/>
          <w:sz w:val="24"/>
          <w:highlight w:val="none"/>
          <w:lang w:val="en-US" w:eastAsia="zh-CN"/>
        </w:rPr>
        <w:t>边</w:t>
      </w:r>
      <w:r>
        <w:rPr>
          <w:rFonts w:hint="eastAsia"/>
          <w:b/>
          <w:color w:val="auto"/>
          <w:sz w:val="24"/>
          <w:highlight w:val="none"/>
        </w:rPr>
        <w:t>环境关系示意图</w:t>
      </w:r>
      <w:bookmarkEnd w:id="15"/>
    </w:p>
    <w:p w14:paraId="6B8CB25B">
      <w:pPr>
        <w:rPr>
          <w:rFonts w:hint="eastAsia" w:eastAsia="宋体"/>
          <w:color w:val="auto"/>
          <w:highlight w:val="none"/>
          <w:lang w:eastAsia="zh-CN"/>
        </w:rPr>
      </w:pPr>
    </w:p>
    <w:p w14:paraId="7BE3FBA8">
      <w:pPr>
        <w:jc w:val="center"/>
        <w:rPr>
          <w:color w:val="auto"/>
          <w:highlight w:val="none"/>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05B2FF58">
      <w:pPr>
        <w:keepNext/>
        <w:adjustRightInd w:val="0"/>
        <w:snapToGrid w:val="0"/>
        <w:spacing w:line="500" w:lineRule="exact"/>
        <w:outlineLvl w:val="0"/>
        <w:rPr>
          <w:rFonts w:hint="eastAsia"/>
          <w:b/>
          <w:color w:val="auto"/>
          <w:sz w:val="24"/>
          <w:highlight w:val="none"/>
        </w:rPr>
      </w:pPr>
      <w:bookmarkStart w:id="16" w:name="_Toc83393940"/>
      <w:r>
        <w:rPr>
          <w:b/>
          <w:color w:val="auto"/>
          <w:sz w:val="24"/>
          <w:highlight w:val="none"/>
        </w:rPr>
        <w:t>附</w:t>
      </w:r>
      <w:r>
        <w:rPr>
          <w:rFonts w:hint="eastAsia"/>
          <w:b/>
          <w:color w:val="auto"/>
          <w:sz w:val="24"/>
          <w:highlight w:val="none"/>
        </w:rPr>
        <w:t>图</w:t>
      </w:r>
      <w:r>
        <w:rPr>
          <w:b/>
          <w:color w:val="auto"/>
          <w:sz w:val="24"/>
          <w:highlight w:val="none"/>
        </w:rPr>
        <w:t xml:space="preserve">3  </w:t>
      </w:r>
      <w:r>
        <w:rPr>
          <w:rFonts w:hint="eastAsia"/>
          <w:b/>
          <w:color w:val="auto"/>
          <w:sz w:val="24"/>
          <w:highlight w:val="none"/>
        </w:rPr>
        <w:t>环境保护目标分布图</w:t>
      </w:r>
      <w:bookmarkEnd w:id="16"/>
    </w:p>
    <w:p w14:paraId="5DAC66E7">
      <w:pPr>
        <w:rPr>
          <w:rFonts w:hint="eastAsia"/>
          <w:b/>
          <w:color w:val="auto"/>
          <w:sz w:val="24"/>
          <w:highlight w:val="none"/>
        </w:rPr>
      </w:pPr>
      <w:r>
        <w:rPr>
          <w:rFonts w:hint="eastAsia"/>
          <w:b/>
          <w:color w:val="auto"/>
          <w:sz w:val="24"/>
          <w:highlight w:val="none"/>
        </w:rPr>
        <w:drawing>
          <wp:anchor distT="0" distB="0" distL="114300" distR="114300" simplePos="0" relativeHeight="251665408" behindDoc="1" locked="0" layoutInCell="1" allowOverlap="1">
            <wp:simplePos x="0" y="0"/>
            <wp:positionH relativeFrom="column">
              <wp:posOffset>628650</wp:posOffset>
            </wp:positionH>
            <wp:positionV relativeFrom="paragraph">
              <wp:posOffset>1905</wp:posOffset>
            </wp:positionV>
            <wp:extent cx="6837680" cy="5048250"/>
            <wp:effectExtent l="9525" t="9525" r="10795" b="9525"/>
            <wp:wrapNone/>
            <wp:docPr id="31" name="图片 31" descr="敏感目标"/>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1" descr="敏感目标"/>
                    <pic:cNvPicPr>
                      <a:picLocks noChangeAspect="1"/>
                    </pic:cNvPicPr>
                  </pic:nvPicPr>
                  <pic:blipFill>
                    <a:blip r:embed="rId25"/>
                    <a:stretch>
                      <a:fillRect/>
                    </a:stretch>
                  </pic:blipFill>
                  <pic:spPr>
                    <a:xfrm>
                      <a:off x="0" y="0"/>
                      <a:ext cx="6837680" cy="5048250"/>
                    </a:xfrm>
                    <a:prstGeom prst="rect">
                      <a:avLst/>
                    </a:prstGeom>
                    <a:ln>
                      <a:solidFill>
                        <a:schemeClr val="tx1"/>
                      </a:solidFill>
                    </a:ln>
                  </pic:spPr>
                </pic:pic>
              </a:graphicData>
            </a:graphic>
          </wp:anchor>
        </w:drawing>
      </w:r>
      <w:r>
        <w:rPr>
          <w:rFonts w:hint="eastAsia"/>
          <w:b/>
          <w:color w:val="auto"/>
          <w:sz w:val="24"/>
          <w:highlight w:val="none"/>
        </w:rPr>
        <w:br w:type="page"/>
      </w:r>
    </w:p>
    <w:p w14:paraId="0035E797">
      <w:pPr>
        <w:keepNext/>
        <w:adjustRightInd w:val="0"/>
        <w:snapToGrid w:val="0"/>
        <w:spacing w:line="500" w:lineRule="exact"/>
        <w:outlineLvl w:val="0"/>
        <w:rPr>
          <w:rFonts w:hint="eastAsia"/>
          <w:b/>
          <w:color w:val="auto"/>
          <w:sz w:val="24"/>
          <w:highlight w:val="none"/>
        </w:rPr>
      </w:pPr>
      <w:r>
        <w:rPr>
          <w:b/>
          <w:color w:val="auto"/>
          <w:sz w:val="24"/>
          <w:highlight w:val="none"/>
        </w:rPr>
        <w:t>附</w:t>
      </w:r>
      <w:r>
        <w:rPr>
          <w:rFonts w:hint="eastAsia"/>
          <w:b/>
          <w:color w:val="auto"/>
          <w:sz w:val="24"/>
          <w:highlight w:val="none"/>
        </w:rPr>
        <w:t>图</w:t>
      </w:r>
      <w:r>
        <w:rPr>
          <w:rFonts w:hint="eastAsia"/>
          <w:b/>
          <w:color w:val="auto"/>
          <w:sz w:val="24"/>
          <w:highlight w:val="none"/>
          <w:lang w:val="en-US" w:eastAsia="zh-CN"/>
        </w:rPr>
        <w:t>4</w:t>
      </w:r>
      <w:r>
        <w:rPr>
          <w:b/>
          <w:color w:val="auto"/>
          <w:sz w:val="24"/>
          <w:highlight w:val="none"/>
        </w:rPr>
        <w:t xml:space="preserve">  </w:t>
      </w:r>
      <w:r>
        <w:rPr>
          <w:rFonts w:hint="eastAsia"/>
          <w:b/>
          <w:color w:val="auto"/>
          <w:sz w:val="24"/>
          <w:highlight w:val="none"/>
          <w:lang w:val="en-US" w:eastAsia="zh-CN"/>
        </w:rPr>
        <w:t>风险环境</w:t>
      </w:r>
      <w:r>
        <w:rPr>
          <w:rFonts w:hint="eastAsia"/>
          <w:b/>
          <w:color w:val="auto"/>
          <w:sz w:val="24"/>
          <w:highlight w:val="none"/>
        </w:rPr>
        <w:t>保护目标分布图</w:t>
      </w:r>
    </w:p>
    <w:p w14:paraId="1958A280">
      <w:pPr>
        <w:jc w:val="center"/>
        <w:rPr>
          <w:rFonts w:hint="eastAsia" w:eastAsia="宋体"/>
          <w:color w:val="auto"/>
          <w:lang w:eastAsia="zh-CN"/>
        </w:rPr>
      </w:pPr>
      <w:r>
        <w:rPr>
          <w:rFonts w:hint="eastAsia" w:eastAsia="宋体"/>
          <w:color w:val="auto"/>
          <w:lang w:eastAsia="zh-CN"/>
        </w:rPr>
        <w:drawing>
          <wp:anchor distT="0" distB="0" distL="114300" distR="114300" simplePos="0" relativeHeight="251664384" behindDoc="1" locked="0" layoutInCell="1" allowOverlap="1">
            <wp:simplePos x="0" y="0"/>
            <wp:positionH relativeFrom="column">
              <wp:posOffset>703580</wp:posOffset>
            </wp:positionH>
            <wp:positionV relativeFrom="paragraph">
              <wp:posOffset>39370</wp:posOffset>
            </wp:positionV>
            <wp:extent cx="7016750" cy="5257800"/>
            <wp:effectExtent l="9525" t="9525" r="22225" b="9525"/>
            <wp:wrapNone/>
            <wp:docPr id="20" name="图片 20" descr="敏感"/>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descr="敏感"/>
                    <pic:cNvPicPr>
                      <a:picLocks noChangeAspect="1"/>
                    </pic:cNvPicPr>
                  </pic:nvPicPr>
                  <pic:blipFill>
                    <a:blip r:embed="rId26"/>
                    <a:stretch>
                      <a:fillRect/>
                    </a:stretch>
                  </pic:blipFill>
                  <pic:spPr>
                    <a:xfrm>
                      <a:off x="0" y="0"/>
                      <a:ext cx="7016750" cy="5257800"/>
                    </a:xfrm>
                    <a:prstGeom prst="rect">
                      <a:avLst/>
                    </a:prstGeom>
                    <a:ln>
                      <a:solidFill>
                        <a:schemeClr val="tx1"/>
                      </a:solidFill>
                    </a:ln>
                  </pic:spPr>
                </pic:pic>
              </a:graphicData>
            </a:graphic>
          </wp:anchor>
        </w:drawing>
      </w:r>
    </w:p>
    <w:p w14:paraId="185B56D8">
      <w:pPr>
        <w:jc w:val="center"/>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11398CF5">
      <w:pPr>
        <w:keepNext/>
        <w:adjustRightInd w:val="0"/>
        <w:snapToGrid w:val="0"/>
        <w:spacing w:line="500" w:lineRule="exact"/>
        <w:outlineLvl w:val="0"/>
        <w:rPr>
          <w:rFonts w:hint="default" w:eastAsia="宋体"/>
          <w:color w:val="auto"/>
          <w:vertAlign w:val="baseline"/>
          <w:lang w:val="en-US" w:eastAsia="zh-CN"/>
        </w:rPr>
      </w:pPr>
      <w:bookmarkStart w:id="17" w:name="_Toc83393943"/>
      <w:r>
        <w:rPr>
          <w:b/>
          <w:color w:val="auto"/>
          <w:sz w:val="24"/>
          <w:highlight w:val="none"/>
        </w:rPr>
        <w:t>附</w:t>
      </w:r>
      <w:r>
        <w:rPr>
          <w:rFonts w:hint="eastAsia"/>
          <w:b/>
          <w:color w:val="auto"/>
          <w:sz w:val="24"/>
          <w:highlight w:val="none"/>
          <w:lang w:val="en-US" w:eastAsia="zh-CN"/>
        </w:rPr>
        <w:t>图5</w:t>
      </w:r>
      <w:r>
        <w:rPr>
          <w:rFonts w:hint="eastAsia"/>
          <w:b/>
          <w:color w:val="auto"/>
          <w:sz w:val="24"/>
          <w:highlight w:val="none"/>
          <w:lang w:eastAsia="zh-CN"/>
        </w:rPr>
        <w:t>：</w:t>
      </w:r>
      <w:r>
        <w:rPr>
          <w:rFonts w:hint="eastAsia"/>
          <w:b/>
          <w:color w:val="auto"/>
          <w:sz w:val="24"/>
          <w:highlight w:val="none"/>
          <w:lang w:val="en-US" w:eastAsia="zh-CN"/>
        </w:rPr>
        <w:t>项目周边照片</w:t>
      </w:r>
    </w:p>
    <w:tbl>
      <w:tblPr>
        <w:tblStyle w:val="44"/>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515"/>
        <w:gridCol w:w="4545"/>
      </w:tblGrid>
      <w:tr w14:paraId="514F823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1" w:type="dxa"/>
          </w:tcPr>
          <w:p w14:paraId="28AA3C47">
            <w:pPr>
              <w:keepNext/>
              <w:adjustRightInd w:val="0"/>
              <w:snapToGrid w:val="0"/>
              <w:spacing w:line="240" w:lineRule="auto"/>
              <w:outlineLvl w:val="0"/>
              <w:rPr>
                <w:rFonts w:hint="default" w:eastAsia="宋体"/>
                <w:color w:val="auto"/>
                <w:vertAlign w:val="baseline"/>
                <w:lang w:val="en-US" w:eastAsia="zh-CN"/>
              </w:rPr>
            </w:pPr>
            <w:r>
              <w:rPr>
                <w:rFonts w:hint="default" w:eastAsia="宋体"/>
                <w:color w:val="auto"/>
                <w:vertAlign w:val="baseline"/>
                <w:lang w:val="en-US" w:eastAsia="zh-CN"/>
              </w:rPr>
              <w:drawing>
                <wp:inline distT="0" distB="0" distL="114300" distR="114300">
                  <wp:extent cx="2751455" cy="3267710"/>
                  <wp:effectExtent l="0" t="0" r="10795" b="8890"/>
                  <wp:docPr id="44" name="图片 44" descr="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descr="南侧"/>
                          <pic:cNvPicPr>
                            <a:picLocks noChangeAspect="1"/>
                          </pic:cNvPicPr>
                        </pic:nvPicPr>
                        <pic:blipFill>
                          <a:blip r:embed="rId27"/>
                          <a:stretch>
                            <a:fillRect/>
                          </a:stretch>
                        </pic:blipFill>
                        <pic:spPr>
                          <a:xfrm>
                            <a:off x="0" y="0"/>
                            <a:ext cx="2751455" cy="3267710"/>
                          </a:xfrm>
                          <a:prstGeom prst="rect">
                            <a:avLst/>
                          </a:prstGeom>
                        </pic:spPr>
                      </pic:pic>
                    </a:graphicData>
                  </a:graphic>
                </wp:inline>
              </w:drawing>
            </w:r>
          </w:p>
        </w:tc>
        <w:tc>
          <w:tcPr>
            <w:tcW w:w="6811" w:type="dxa"/>
          </w:tcPr>
          <w:p w14:paraId="5133764F">
            <w:pPr>
              <w:keepNext/>
              <w:adjustRightInd w:val="0"/>
              <w:snapToGrid w:val="0"/>
              <w:spacing w:line="240" w:lineRule="auto"/>
              <w:outlineLvl w:val="0"/>
              <w:rPr>
                <w:rFonts w:hint="default" w:eastAsia="宋体"/>
                <w:color w:val="auto"/>
                <w:vertAlign w:val="baseline"/>
                <w:lang w:val="en-US" w:eastAsia="zh-CN"/>
              </w:rPr>
            </w:pPr>
            <w:r>
              <w:rPr>
                <w:rFonts w:hint="default" w:eastAsia="宋体"/>
                <w:color w:val="auto"/>
                <w:vertAlign w:val="baseline"/>
                <w:lang w:val="en-US" w:eastAsia="zh-CN"/>
              </w:rPr>
              <w:drawing>
                <wp:inline distT="0" distB="0" distL="114300" distR="114300">
                  <wp:extent cx="2787650" cy="3249930"/>
                  <wp:effectExtent l="0" t="0" r="12700" b="7620"/>
                  <wp:docPr id="45" name="图片 45" descr="北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descr="北侧"/>
                          <pic:cNvPicPr>
                            <a:picLocks noChangeAspect="1"/>
                          </pic:cNvPicPr>
                        </pic:nvPicPr>
                        <pic:blipFill>
                          <a:blip r:embed="rId28"/>
                          <a:stretch>
                            <a:fillRect/>
                          </a:stretch>
                        </pic:blipFill>
                        <pic:spPr>
                          <a:xfrm>
                            <a:off x="0" y="0"/>
                            <a:ext cx="2787650" cy="3249930"/>
                          </a:xfrm>
                          <a:prstGeom prst="rect">
                            <a:avLst/>
                          </a:prstGeom>
                        </pic:spPr>
                      </pic:pic>
                    </a:graphicData>
                  </a:graphic>
                </wp:inline>
              </w:drawing>
            </w:r>
          </w:p>
        </w:tc>
      </w:tr>
      <w:tr w14:paraId="553C13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1" w:type="dxa"/>
          </w:tcPr>
          <w:p w14:paraId="05E55A55">
            <w:pPr>
              <w:keepNext/>
              <w:adjustRightInd w:val="0"/>
              <w:snapToGrid w:val="0"/>
              <w:spacing w:line="500" w:lineRule="exact"/>
              <w:jc w:val="center"/>
              <w:outlineLvl w:val="0"/>
              <w:rPr>
                <w:rFonts w:hint="default"/>
                <w:b/>
                <w:bCs/>
                <w:color w:val="auto"/>
                <w:vertAlign w:val="baseline"/>
                <w:lang w:val="en-US" w:eastAsia="zh-CN"/>
              </w:rPr>
            </w:pPr>
            <w:r>
              <w:rPr>
                <w:rFonts w:hint="eastAsia"/>
                <w:b/>
                <w:bCs/>
                <w:color w:val="auto"/>
                <w:vertAlign w:val="baseline"/>
                <w:lang w:val="en-US" w:eastAsia="zh-CN"/>
              </w:rPr>
              <w:t>项目南侧</w:t>
            </w:r>
          </w:p>
        </w:tc>
        <w:tc>
          <w:tcPr>
            <w:tcW w:w="6811" w:type="dxa"/>
          </w:tcPr>
          <w:p w14:paraId="7E26BDAD">
            <w:pPr>
              <w:keepNext/>
              <w:adjustRightInd w:val="0"/>
              <w:snapToGrid w:val="0"/>
              <w:spacing w:line="500" w:lineRule="exact"/>
              <w:jc w:val="center"/>
              <w:outlineLvl w:val="0"/>
              <w:rPr>
                <w:rFonts w:hint="default"/>
                <w:b/>
                <w:bCs/>
                <w:color w:val="auto"/>
                <w:vertAlign w:val="baseline"/>
                <w:lang w:val="en-US" w:eastAsia="zh-CN"/>
              </w:rPr>
            </w:pPr>
            <w:r>
              <w:rPr>
                <w:rFonts w:hint="eastAsia"/>
                <w:b/>
                <w:bCs/>
                <w:color w:val="auto"/>
                <w:vertAlign w:val="baseline"/>
                <w:lang w:val="en-US" w:eastAsia="zh-CN"/>
              </w:rPr>
              <w:t>项目北侧</w:t>
            </w:r>
          </w:p>
        </w:tc>
      </w:tr>
      <w:tr w14:paraId="1B2B4EA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1" w:type="dxa"/>
          </w:tcPr>
          <w:p w14:paraId="3CDA99A2">
            <w:pPr>
              <w:keepNext/>
              <w:adjustRightInd w:val="0"/>
              <w:snapToGrid w:val="0"/>
              <w:spacing w:line="240" w:lineRule="auto"/>
              <w:outlineLvl w:val="0"/>
              <w:rPr>
                <w:rFonts w:hint="default" w:eastAsia="宋体"/>
                <w:color w:val="auto"/>
                <w:vertAlign w:val="baseline"/>
                <w:lang w:val="en-US" w:eastAsia="zh-CN"/>
              </w:rPr>
            </w:pPr>
            <w:r>
              <w:rPr>
                <w:rFonts w:hint="default" w:eastAsia="宋体"/>
                <w:color w:val="auto"/>
                <w:vertAlign w:val="baseline"/>
                <w:lang w:val="en-US" w:eastAsia="zh-CN"/>
              </w:rPr>
              <w:drawing>
                <wp:inline distT="0" distB="0" distL="114300" distR="114300">
                  <wp:extent cx="2775585" cy="3221990"/>
                  <wp:effectExtent l="0" t="0" r="5715" b="16510"/>
                  <wp:docPr id="46" name="图片 46" descr="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descr="西侧"/>
                          <pic:cNvPicPr>
                            <a:picLocks noChangeAspect="1"/>
                          </pic:cNvPicPr>
                        </pic:nvPicPr>
                        <pic:blipFill>
                          <a:blip r:embed="rId29"/>
                          <a:stretch>
                            <a:fillRect/>
                          </a:stretch>
                        </pic:blipFill>
                        <pic:spPr>
                          <a:xfrm>
                            <a:off x="0" y="0"/>
                            <a:ext cx="2775585" cy="3221990"/>
                          </a:xfrm>
                          <a:prstGeom prst="rect">
                            <a:avLst/>
                          </a:prstGeom>
                        </pic:spPr>
                      </pic:pic>
                    </a:graphicData>
                  </a:graphic>
                </wp:inline>
              </w:drawing>
            </w:r>
          </w:p>
        </w:tc>
        <w:tc>
          <w:tcPr>
            <w:tcW w:w="6811" w:type="dxa"/>
          </w:tcPr>
          <w:p w14:paraId="4A897161">
            <w:pPr>
              <w:keepNext/>
              <w:adjustRightInd w:val="0"/>
              <w:snapToGrid w:val="0"/>
              <w:spacing w:line="240" w:lineRule="auto"/>
              <w:outlineLvl w:val="0"/>
              <w:rPr>
                <w:rFonts w:hint="default" w:eastAsia="宋体"/>
                <w:color w:val="auto"/>
                <w:vertAlign w:val="baseline"/>
                <w:lang w:val="en-US" w:eastAsia="zh-CN"/>
              </w:rPr>
            </w:pPr>
            <w:r>
              <w:rPr>
                <w:rFonts w:hint="default" w:eastAsia="宋体"/>
                <w:color w:val="auto"/>
                <w:vertAlign w:val="baseline"/>
                <w:lang w:val="en-US" w:eastAsia="zh-CN"/>
              </w:rPr>
              <w:drawing>
                <wp:inline distT="0" distB="0" distL="114300" distR="114300">
                  <wp:extent cx="2750185" cy="3302635"/>
                  <wp:effectExtent l="0" t="0" r="12065" b="12065"/>
                  <wp:docPr id="47" name="图片 47" descr="西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descr="西侧"/>
                          <pic:cNvPicPr>
                            <a:picLocks noChangeAspect="1"/>
                          </pic:cNvPicPr>
                        </pic:nvPicPr>
                        <pic:blipFill>
                          <a:blip r:embed="rId30"/>
                          <a:stretch>
                            <a:fillRect/>
                          </a:stretch>
                        </pic:blipFill>
                        <pic:spPr>
                          <a:xfrm>
                            <a:off x="0" y="0"/>
                            <a:ext cx="2750185" cy="3302635"/>
                          </a:xfrm>
                          <a:prstGeom prst="rect">
                            <a:avLst/>
                          </a:prstGeom>
                        </pic:spPr>
                      </pic:pic>
                    </a:graphicData>
                  </a:graphic>
                </wp:inline>
              </w:drawing>
            </w:r>
          </w:p>
        </w:tc>
      </w:tr>
      <w:tr w14:paraId="4F6EEA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841" w:type="dxa"/>
          </w:tcPr>
          <w:p w14:paraId="368C3A0F">
            <w:pPr>
              <w:keepNext/>
              <w:adjustRightInd w:val="0"/>
              <w:snapToGrid w:val="0"/>
              <w:spacing w:line="500" w:lineRule="exact"/>
              <w:jc w:val="center"/>
              <w:outlineLvl w:val="0"/>
              <w:rPr>
                <w:rFonts w:hint="default" w:eastAsia="宋体"/>
                <w:b/>
                <w:bCs/>
                <w:color w:val="auto"/>
                <w:vertAlign w:val="baseline"/>
                <w:lang w:val="en-US" w:eastAsia="zh-CN"/>
              </w:rPr>
            </w:pPr>
            <w:r>
              <w:rPr>
                <w:rFonts w:hint="eastAsia"/>
                <w:b/>
                <w:bCs/>
                <w:color w:val="auto"/>
                <w:vertAlign w:val="baseline"/>
                <w:lang w:val="en-US" w:eastAsia="zh-CN"/>
              </w:rPr>
              <w:t>项目西侧</w:t>
            </w:r>
          </w:p>
        </w:tc>
        <w:tc>
          <w:tcPr>
            <w:tcW w:w="6811" w:type="dxa"/>
          </w:tcPr>
          <w:p w14:paraId="79731E07">
            <w:pPr>
              <w:keepNext/>
              <w:adjustRightInd w:val="0"/>
              <w:snapToGrid w:val="0"/>
              <w:spacing w:line="500" w:lineRule="exact"/>
              <w:jc w:val="center"/>
              <w:outlineLvl w:val="0"/>
              <w:rPr>
                <w:rFonts w:hint="default" w:eastAsia="宋体"/>
                <w:b/>
                <w:bCs/>
                <w:color w:val="auto"/>
                <w:vertAlign w:val="baseline"/>
                <w:lang w:val="en-US" w:eastAsia="zh-CN"/>
              </w:rPr>
            </w:pPr>
            <w:r>
              <w:rPr>
                <w:rFonts w:hint="eastAsia"/>
                <w:b/>
                <w:bCs/>
                <w:color w:val="auto"/>
                <w:vertAlign w:val="baseline"/>
                <w:lang w:val="en-US" w:eastAsia="zh-CN"/>
              </w:rPr>
              <w:t>项目东侧</w:t>
            </w:r>
          </w:p>
        </w:tc>
      </w:tr>
    </w:tbl>
    <w:p w14:paraId="1113F61F">
      <w:pPr>
        <w:keepNext/>
        <w:adjustRightInd w:val="0"/>
        <w:snapToGrid w:val="0"/>
        <w:spacing w:line="500" w:lineRule="exact"/>
        <w:outlineLvl w:val="0"/>
        <w:rPr>
          <w:rFonts w:hint="default" w:eastAsia="宋体"/>
          <w:color w:val="auto"/>
          <w:lang w:val="en-US" w:eastAsia="zh-CN"/>
        </w:rPr>
      </w:pPr>
    </w:p>
    <w:p w14:paraId="1775B33E">
      <w:pPr>
        <w:keepNext/>
        <w:adjustRightInd w:val="0"/>
        <w:snapToGrid w:val="0"/>
        <w:spacing w:line="500" w:lineRule="exact"/>
        <w:outlineLvl w:val="0"/>
        <w:rPr>
          <w:b/>
          <w:color w:val="auto"/>
          <w:sz w:val="24"/>
          <w:highlight w:val="none"/>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69E877D4">
      <w:pPr>
        <w:keepNext/>
        <w:adjustRightInd w:val="0"/>
        <w:snapToGrid w:val="0"/>
        <w:spacing w:line="500" w:lineRule="exact"/>
        <w:outlineLvl w:val="0"/>
        <w:rPr>
          <w:color w:val="auto"/>
        </w:rPr>
      </w:pPr>
      <w:r>
        <w:rPr>
          <w:rFonts w:hint="eastAsia" w:eastAsia="宋体"/>
          <w:color w:val="auto"/>
          <w:highlight w:val="none"/>
          <w:lang w:eastAsia="zh-CN"/>
        </w:rPr>
        <w:drawing>
          <wp:anchor distT="0" distB="0" distL="114300" distR="114300" simplePos="0" relativeHeight="251664384" behindDoc="0" locked="0" layoutInCell="1" allowOverlap="1">
            <wp:simplePos x="0" y="0"/>
            <wp:positionH relativeFrom="column">
              <wp:posOffset>303530</wp:posOffset>
            </wp:positionH>
            <wp:positionV relativeFrom="paragraph">
              <wp:posOffset>430530</wp:posOffset>
            </wp:positionV>
            <wp:extent cx="7952740" cy="5304790"/>
            <wp:effectExtent l="0" t="0" r="10160" b="10160"/>
            <wp:wrapTopAndBottom/>
            <wp:docPr id="22" name="图片 22" descr="6eb529fc316dcc2d579260c1620c9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descr="6eb529fc316dcc2d579260c1620c908"/>
                    <pic:cNvPicPr>
                      <a:picLocks noChangeAspect="1"/>
                    </pic:cNvPicPr>
                  </pic:nvPicPr>
                  <pic:blipFill>
                    <a:blip r:embed="rId31"/>
                    <a:srcRect t="5337"/>
                    <a:stretch>
                      <a:fillRect/>
                    </a:stretch>
                  </pic:blipFill>
                  <pic:spPr>
                    <a:xfrm>
                      <a:off x="0" y="0"/>
                      <a:ext cx="7952740" cy="5304790"/>
                    </a:xfrm>
                    <a:prstGeom prst="rect">
                      <a:avLst/>
                    </a:prstGeom>
                  </pic:spPr>
                </pic:pic>
              </a:graphicData>
            </a:graphic>
          </wp:anchor>
        </w:drawing>
      </w:r>
      <w:r>
        <w:rPr>
          <w:b/>
          <w:color w:val="auto"/>
          <w:sz w:val="24"/>
          <w:highlight w:val="none"/>
        </w:rPr>
        <w:t>附件1</w:t>
      </w:r>
      <w:r>
        <w:rPr>
          <w:rFonts w:hint="eastAsia"/>
          <w:b/>
          <w:color w:val="auto"/>
          <w:sz w:val="24"/>
          <w:highlight w:val="none"/>
          <w:lang w:eastAsia="zh-CN"/>
        </w:rPr>
        <w:t>：</w:t>
      </w:r>
      <w:r>
        <w:rPr>
          <w:b/>
          <w:color w:val="auto"/>
          <w:sz w:val="24"/>
          <w:highlight w:val="none"/>
        </w:rPr>
        <w:t>企业</w:t>
      </w:r>
      <w:r>
        <w:rPr>
          <w:rFonts w:hint="eastAsia"/>
          <w:b/>
          <w:color w:val="auto"/>
          <w:sz w:val="24"/>
          <w:highlight w:val="none"/>
        </w:rPr>
        <w:t>营业执照</w:t>
      </w:r>
      <w:bookmarkEnd w:id="17"/>
    </w:p>
    <w:p w14:paraId="1926E7EC">
      <w:pPr>
        <w:jc w:val="center"/>
        <w:rPr>
          <w:color w:val="auto"/>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24321204">
      <w:pPr>
        <w:keepNext/>
        <w:adjustRightInd w:val="0"/>
        <w:snapToGrid w:val="0"/>
        <w:spacing w:line="500" w:lineRule="exact"/>
        <w:outlineLvl w:val="0"/>
        <w:rPr>
          <w:rFonts w:hint="default" w:ascii="Times New Roman" w:hAnsi="Times New Roman" w:cs="Times New Roman"/>
          <w:b/>
          <w:color w:val="auto"/>
          <w:sz w:val="24"/>
          <w:highlight w:val="none"/>
          <w:lang w:val="en-US" w:eastAsia="zh-CN"/>
        </w:rPr>
      </w:pPr>
      <w:r>
        <w:rPr>
          <w:rFonts w:hint="eastAsia" w:ascii="Times New Roman" w:hAnsi="Times New Roman" w:cs="Times New Roman"/>
          <w:b/>
          <w:color w:val="auto"/>
          <w:sz w:val="24"/>
          <w:highlight w:val="none"/>
          <w:lang w:val="en-US" w:eastAsia="zh-CN"/>
        </w:rPr>
        <w:t>附件2：</w:t>
      </w:r>
      <w:r>
        <w:rPr>
          <w:rFonts w:hint="default" w:ascii="Times New Roman" w:hAnsi="Times New Roman" w:cs="Times New Roman"/>
          <w:b/>
          <w:color w:val="auto"/>
          <w:sz w:val="24"/>
          <w:highlight w:val="none"/>
          <w:lang w:val="en-US" w:eastAsia="zh-CN"/>
        </w:rPr>
        <w:t>《</w:t>
      </w:r>
      <w:r>
        <w:rPr>
          <w:rFonts w:hint="eastAsia" w:ascii="Times New Roman" w:hAnsi="Times New Roman" w:cs="Times New Roman"/>
          <w:b/>
          <w:color w:val="auto"/>
          <w:sz w:val="24"/>
          <w:highlight w:val="none"/>
          <w:lang w:val="en-US" w:eastAsia="zh-CN"/>
        </w:rPr>
        <w:t>长安工贸公司岩煤体加固材料生产项目</w:t>
      </w:r>
      <w:r>
        <w:rPr>
          <w:rFonts w:hint="default" w:ascii="Times New Roman" w:hAnsi="Times New Roman" w:cs="Times New Roman"/>
          <w:b/>
          <w:color w:val="auto"/>
          <w:sz w:val="24"/>
          <w:highlight w:val="none"/>
          <w:lang w:val="en-US" w:eastAsia="zh-CN"/>
        </w:rPr>
        <w:t>生态环境分区管控分析报告》</w:t>
      </w:r>
    </w:p>
    <w:bookmarkEnd w:id="14"/>
    <w:p w14:paraId="214FAE51">
      <w:pPr>
        <w:rPr>
          <w:rFonts w:hint="eastAsia" w:eastAsia="宋体"/>
          <w:color w:val="auto"/>
          <w:lang w:eastAsia="zh-CN"/>
        </w:rPr>
      </w:pPr>
      <w:r>
        <w:rPr>
          <w:rFonts w:hint="eastAsia" w:eastAsia="宋体"/>
          <w:color w:val="auto"/>
          <w:lang w:eastAsia="zh-CN"/>
        </w:rPr>
        <w:drawing>
          <wp:inline distT="0" distB="0" distL="114300" distR="114300">
            <wp:extent cx="7325995" cy="5180330"/>
            <wp:effectExtent l="0" t="0" r="8255" b="1270"/>
            <wp:docPr id="19" name="图片 19" descr="长安工贸公司岩煤体加固材料生产_2025年03月24日092711_分析报告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长安工贸公司岩煤体加固材料生产_2025年03月24日092711_分析报告_00"/>
                    <pic:cNvPicPr>
                      <a:picLocks noChangeAspect="1"/>
                    </pic:cNvPicPr>
                  </pic:nvPicPr>
                  <pic:blipFill>
                    <a:blip r:embed="rId32"/>
                    <a:stretch>
                      <a:fillRect/>
                    </a:stretch>
                  </pic:blipFill>
                  <pic:spPr>
                    <a:xfrm>
                      <a:off x="0" y="0"/>
                      <a:ext cx="7325995" cy="5180330"/>
                    </a:xfrm>
                    <a:prstGeom prst="rect">
                      <a:avLst/>
                    </a:prstGeom>
                  </pic:spPr>
                </pic:pic>
              </a:graphicData>
            </a:graphic>
          </wp:inline>
        </w:drawing>
      </w:r>
    </w:p>
    <w:p w14:paraId="7ACB7A12">
      <w:pPr>
        <w:rPr>
          <w:rFonts w:hint="eastAsia" w:eastAsia="宋体"/>
          <w:color w:val="auto"/>
          <w:lang w:eastAsia="zh-CN"/>
        </w:rPr>
      </w:pPr>
      <w:r>
        <w:rPr>
          <w:rFonts w:hint="eastAsia" w:eastAsia="宋体"/>
          <w:color w:val="auto"/>
          <w:lang w:eastAsia="zh-CN"/>
        </w:rPr>
        <w:br w:type="page"/>
      </w:r>
    </w:p>
    <w:p w14:paraId="23371742">
      <w:pPr>
        <w:rPr>
          <w:rFonts w:hint="eastAsia" w:eastAsia="宋体"/>
          <w:color w:val="auto"/>
          <w:lang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eastAsia="宋体"/>
          <w:color w:val="auto"/>
          <w:lang w:eastAsia="zh-CN"/>
        </w:rPr>
        <w:drawing>
          <wp:inline distT="0" distB="0" distL="114300" distR="114300">
            <wp:extent cx="7934960" cy="5610860"/>
            <wp:effectExtent l="0" t="0" r="8890" b="8890"/>
            <wp:docPr id="18" name="图片 18" descr="长安工贸公司岩煤体加固材料生产_2025年03月24日092711_分析报告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8" descr="长安工贸公司岩煤体加固材料生产_2025年03月24日092711_分析报告_01"/>
                    <pic:cNvPicPr>
                      <a:picLocks noChangeAspect="1"/>
                    </pic:cNvPicPr>
                  </pic:nvPicPr>
                  <pic:blipFill>
                    <a:blip r:embed="rId33"/>
                    <a:stretch>
                      <a:fillRect/>
                    </a:stretch>
                  </pic:blipFill>
                  <pic:spPr>
                    <a:xfrm>
                      <a:off x="0" y="0"/>
                      <a:ext cx="7934960" cy="5610860"/>
                    </a:xfrm>
                    <a:prstGeom prst="rect">
                      <a:avLst/>
                    </a:prstGeom>
                  </pic:spPr>
                </pic:pic>
              </a:graphicData>
            </a:graphic>
          </wp:inline>
        </w:drawing>
      </w:r>
      <w:r>
        <w:rPr>
          <w:rFonts w:hint="eastAsia" w:eastAsia="宋体"/>
          <w:color w:val="auto"/>
          <w:lang w:eastAsia="zh-CN"/>
        </w:rPr>
        <w:drawing>
          <wp:inline distT="0" distB="0" distL="114300" distR="114300">
            <wp:extent cx="7934960" cy="5610860"/>
            <wp:effectExtent l="0" t="0" r="8890" b="8890"/>
            <wp:docPr id="17" name="图片 17" descr="长安工贸公司岩煤体加固材料生产_2025年03月24日092711_分析报告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长安工贸公司岩煤体加固材料生产_2025年03月24日092711_分析报告_02"/>
                    <pic:cNvPicPr>
                      <a:picLocks noChangeAspect="1"/>
                    </pic:cNvPicPr>
                  </pic:nvPicPr>
                  <pic:blipFill>
                    <a:blip r:embed="rId34"/>
                    <a:stretch>
                      <a:fillRect/>
                    </a:stretch>
                  </pic:blipFill>
                  <pic:spPr>
                    <a:xfrm>
                      <a:off x="0" y="0"/>
                      <a:ext cx="7934960" cy="5610860"/>
                    </a:xfrm>
                    <a:prstGeom prst="rect">
                      <a:avLst/>
                    </a:prstGeom>
                  </pic:spPr>
                </pic:pic>
              </a:graphicData>
            </a:graphic>
          </wp:inline>
        </w:drawing>
      </w:r>
      <w:r>
        <w:rPr>
          <w:rFonts w:hint="eastAsia" w:eastAsia="宋体"/>
          <w:color w:val="auto"/>
          <w:lang w:eastAsia="zh-CN"/>
        </w:rPr>
        <w:drawing>
          <wp:inline distT="0" distB="0" distL="114300" distR="114300">
            <wp:extent cx="7934960" cy="5610860"/>
            <wp:effectExtent l="0" t="0" r="8890" b="8890"/>
            <wp:docPr id="16" name="图片 16" descr="长安工贸公司岩煤体加固材料生产_2025年03月24日092711_分析报告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长安工贸公司岩煤体加固材料生产_2025年03月24日092711_分析报告_03"/>
                    <pic:cNvPicPr>
                      <a:picLocks noChangeAspect="1"/>
                    </pic:cNvPicPr>
                  </pic:nvPicPr>
                  <pic:blipFill>
                    <a:blip r:embed="rId35"/>
                    <a:stretch>
                      <a:fillRect/>
                    </a:stretch>
                  </pic:blipFill>
                  <pic:spPr>
                    <a:xfrm>
                      <a:off x="0" y="0"/>
                      <a:ext cx="7934960" cy="5610860"/>
                    </a:xfrm>
                    <a:prstGeom prst="rect">
                      <a:avLst/>
                    </a:prstGeom>
                  </pic:spPr>
                </pic:pic>
              </a:graphicData>
            </a:graphic>
          </wp:inline>
        </w:drawing>
      </w:r>
      <w:r>
        <w:rPr>
          <w:rFonts w:hint="eastAsia" w:eastAsia="宋体"/>
          <w:color w:val="auto"/>
          <w:lang w:eastAsia="zh-CN"/>
        </w:rPr>
        <w:drawing>
          <wp:inline distT="0" distB="0" distL="114300" distR="114300">
            <wp:extent cx="7934960" cy="5610860"/>
            <wp:effectExtent l="0" t="0" r="8890" b="8890"/>
            <wp:docPr id="15" name="图片 15" descr="长安工贸公司岩煤体加固材料生产_2025年03月24日092711_分析报告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descr="长安工贸公司岩煤体加固材料生产_2025年03月24日092711_分析报告_04"/>
                    <pic:cNvPicPr>
                      <a:picLocks noChangeAspect="1"/>
                    </pic:cNvPicPr>
                  </pic:nvPicPr>
                  <pic:blipFill>
                    <a:blip r:embed="rId36"/>
                    <a:stretch>
                      <a:fillRect/>
                    </a:stretch>
                  </pic:blipFill>
                  <pic:spPr>
                    <a:xfrm>
                      <a:off x="0" y="0"/>
                      <a:ext cx="7934960" cy="5610860"/>
                    </a:xfrm>
                    <a:prstGeom prst="rect">
                      <a:avLst/>
                    </a:prstGeom>
                  </pic:spPr>
                </pic:pic>
              </a:graphicData>
            </a:graphic>
          </wp:inline>
        </w:drawing>
      </w:r>
      <w:r>
        <w:rPr>
          <w:rFonts w:hint="eastAsia" w:eastAsia="宋体"/>
          <w:color w:val="auto"/>
          <w:lang w:eastAsia="zh-CN"/>
        </w:rPr>
        <w:drawing>
          <wp:inline distT="0" distB="0" distL="114300" distR="114300">
            <wp:extent cx="7934960" cy="5610860"/>
            <wp:effectExtent l="0" t="0" r="8890" b="8890"/>
            <wp:docPr id="14" name="图片 14" descr="长安工贸公司岩煤体加固材料生产_2025年03月24日092711_分析报告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长安工贸公司岩煤体加固材料生产_2025年03月24日092711_分析报告_05"/>
                    <pic:cNvPicPr>
                      <a:picLocks noChangeAspect="1"/>
                    </pic:cNvPicPr>
                  </pic:nvPicPr>
                  <pic:blipFill>
                    <a:blip r:embed="rId37"/>
                    <a:stretch>
                      <a:fillRect/>
                    </a:stretch>
                  </pic:blipFill>
                  <pic:spPr>
                    <a:xfrm>
                      <a:off x="0" y="0"/>
                      <a:ext cx="7934960" cy="5610860"/>
                    </a:xfrm>
                    <a:prstGeom prst="rect">
                      <a:avLst/>
                    </a:prstGeom>
                  </pic:spPr>
                </pic:pic>
              </a:graphicData>
            </a:graphic>
          </wp:inline>
        </w:drawing>
      </w:r>
      <w:r>
        <w:rPr>
          <w:rFonts w:hint="eastAsia" w:eastAsia="宋体"/>
          <w:color w:val="auto"/>
          <w:lang w:eastAsia="zh-CN"/>
        </w:rPr>
        <w:drawing>
          <wp:inline distT="0" distB="0" distL="114300" distR="114300">
            <wp:extent cx="7934960" cy="5610860"/>
            <wp:effectExtent l="0" t="0" r="8890" b="8890"/>
            <wp:docPr id="13" name="图片 13" descr="长安工贸公司岩煤体加固材料生产_2025年03月24日092711_分析报告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descr="长安工贸公司岩煤体加固材料生产_2025年03月24日092711_分析报告_06"/>
                    <pic:cNvPicPr>
                      <a:picLocks noChangeAspect="1"/>
                    </pic:cNvPicPr>
                  </pic:nvPicPr>
                  <pic:blipFill>
                    <a:blip r:embed="rId38"/>
                    <a:stretch>
                      <a:fillRect/>
                    </a:stretch>
                  </pic:blipFill>
                  <pic:spPr>
                    <a:xfrm>
                      <a:off x="0" y="0"/>
                      <a:ext cx="7934960" cy="5610860"/>
                    </a:xfrm>
                    <a:prstGeom prst="rect">
                      <a:avLst/>
                    </a:prstGeom>
                  </pic:spPr>
                </pic:pic>
              </a:graphicData>
            </a:graphic>
          </wp:inline>
        </w:drawing>
      </w:r>
      <w:r>
        <w:rPr>
          <w:rFonts w:hint="eastAsia" w:eastAsia="宋体"/>
          <w:color w:val="auto"/>
          <w:lang w:eastAsia="zh-CN"/>
        </w:rPr>
        <w:drawing>
          <wp:inline distT="0" distB="0" distL="114300" distR="114300">
            <wp:extent cx="7934960" cy="5610860"/>
            <wp:effectExtent l="0" t="0" r="8890" b="8890"/>
            <wp:docPr id="12" name="图片 12" descr="长安工贸公司岩煤体加固材料生产_2025年03月24日092711_分析报告_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descr="长安工贸公司岩煤体加固材料生产_2025年03月24日092711_分析报告_07"/>
                    <pic:cNvPicPr>
                      <a:picLocks noChangeAspect="1"/>
                    </pic:cNvPicPr>
                  </pic:nvPicPr>
                  <pic:blipFill>
                    <a:blip r:embed="rId39"/>
                    <a:stretch>
                      <a:fillRect/>
                    </a:stretch>
                  </pic:blipFill>
                  <pic:spPr>
                    <a:xfrm>
                      <a:off x="0" y="0"/>
                      <a:ext cx="7934960" cy="5610860"/>
                    </a:xfrm>
                    <a:prstGeom prst="rect">
                      <a:avLst/>
                    </a:prstGeom>
                  </pic:spPr>
                </pic:pic>
              </a:graphicData>
            </a:graphic>
          </wp:inline>
        </w:drawing>
      </w:r>
      <w:r>
        <w:rPr>
          <w:rFonts w:hint="eastAsia" w:eastAsia="宋体"/>
          <w:color w:val="auto"/>
          <w:lang w:eastAsia="zh-CN"/>
        </w:rPr>
        <w:drawing>
          <wp:inline distT="0" distB="0" distL="114300" distR="114300">
            <wp:extent cx="7934960" cy="5610860"/>
            <wp:effectExtent l="0" t="0" r="8890" b="8890"/>
            <wp:docPr id="10" name="图片 10" descr="长安工贸公司岩煤体加固材料生产_2025年03月24日092711_分析报告_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0" descr="长安工贸公司岩煤体加固材料生产_2025年03月24日092711_分析报告_08"/>
                    <pic:cNvPicPr>
                      <a:picLocks noChangeAspect="1"/>
                    </pic:cNvPicPr>
                  </pic:nvPicPr>
                  <pic:blipFill>
                    <a:blip r:embed="rId40"/>
                    <a:stretch>
                      <a:fillRect/>
                    </a:stretch>
                  </pic:blipFill>
                  <pic:spPr>
                    <a:xfrm>
                      <a:off x="0" y="0"/>
                      <a:ext cx="7934960" cy="5610860"/>
                    </a:xfrm>
                    <a:prstGeom prst="rect">
                      <a:avLst/>
                    </a:prstGeom>
                  </pic:spPr>
                </pic:pic>
              </a:graphicData>
            </a:graphic>
          </wp:inline>
        </w:drawing>
      </w:r>
      <w:r>
        <w:rPr>
          <w:rFonts w:hint="eastAsia" w:eastAsia="宋体"/>
          <w:color w:val="auto"/>
          <w:lang w:eastAsia="zh-CN"/>
        </w:rPr>
        <w:drawing>
          <wp:inline distT="0" distB="0" distL="114300" distR="114300">
            <wp:extent cx="7934960" cy="5610860"/>
            <wp:effectExtent l="0" t="0" r="8890" b="8890"/>
            <wp:docPr id="9" name="图片 9" descr="长安工贸公司岩煤体加固材料生产_2025年03月24日092711_分析报告_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descr="长安工贸公司岩煤体加固材料生产_2025年03月24日092711_分析报告_09"/>
                    <pic:cNvPicPr>
                      <a:picLocks noChangeAspect="1"/>
                    </pic:cNvPicPr>
                  </pic:nvPicPr>
                  <pic:blipFill>
                    <a:blip r:embed="rId41"/>
                    <a:stretch>
                      <a:fillRect/>
                    </a:stretch>
                  </pic:blipFill>
                  <pic:spPr>
                    <a:xfrm>
                      <a:off x="0" y="0"/>
                      <a:ext cx="7934960" cy="5610860"/>
                    </a:xfrm>
                    <a:prstGeom prst="rect">
                      <a:avLst/>
                    </a:prstGeom>
                  </pic:spPr>
                </pic:pic>
              </a:graphicData>
            </a:graphic>
          </wp:inline>
        </w:drawing>
      </w:r>
    </w:p>
    <w:p w14:paraId="67762376">
      <w:pPr>
        <w:rPr>
          <w:rFonts w:hint="eastAsia"/>
          <w:b/>
          <w:bCs/>
          <w:color w:val="auto"/>
          <w:sz w:val="24"/>
          <w:szCs w:val="24"/>
          <w:lang w:val="en-US" w:eastAsia="zh-CN"/>
        </w:rPr>
      </w:pPr>
      <w:r>
        <w:rPr>
          <w:rFonts w:hint="eastAsia"/>
          <w:b/>
          <w:bCs/>
          <w:color w:val="auto"/>
          <w:sz w:val="24"/>
          <w:szCs w:val="24"/>
          <w:lang w:val="en-US" w:eastAsia="zh-CN"/>
        </w:rPr>
        <w:t>附件3：房屋租赁合同</w:t>
      </w:r>
    </w:p>
    <w:p w14:paraId="1F8351FC">
      <w:pPr>
        <w:rPr>
          <w:rFonts w:hint="default"/>
          <w:b/>
          <w:bCs/>
          <w:color w:val="auto"/>
          <w:sz w:val="24"/>
          <w:szCs w:val="24"/>
          <w:lang w:val="en-US" w:eastAsia="zh-CN"/>
        </w:rPr>
      </w:pPr>
      <w:r>
        <w:rPr>
          <w:rFonts w:hint="default"/>
          <w:b/>
          <w:bCs/>
          <w:color w:val="auto"/>
          <w:sz w:val="24"/>
          <w:szCs w:val="24"/>
          <w:lang w:val="en-US" w:eastAsia="zh-CN"/>
        </w:rPr>
        <w:drawing>
          <wp:inline distT="0" distB="0" distL="114300" distR="114300">
            <wp:extent cx="5615305" cy="7945755"/>
            <wp:effectExtent l="0" t="0" r="4445" b="17145"/>
            <wp:docPr id="29" name="图片 29" descr="租赁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9" descr="租赁合同_00"/>
                    <pic:cNvPicPr>
                      <a:picLocks noChangeAspect="1"/>
                    </pic:cNvPicPr>
                  </pic:nvPicPr>
                  <pic:blipFill>
                    <a:blip r:embed="rId42"/>
                    <a:stretch>
                      <a:fillRect/>
                    </a:stretch>
                  </pic:blipFill>
                  <pic:spPr>
                    <a:xfrm>
                      <a:off x="0" y="0"/>
                      <a:ext cx="5615305" cy="7945755"/>
                    </a:xfrm>
                    <a:prstGeom prst="rect">
                      <a:avLst/>
                    </a:prstGeom>
                  </pic:spPr>
                </pic:pic>
              </a:graphicData>
            </a:graphic>
          </wp:inline>
        </w:drawing>
      </w:r>
      <w:r>
        <w:rPr>
          <w:rFonts w:hint="default"/>
          <w:b/>
          <w:bCs/>
          <w:color w:val="auto"/>
          <w:sz w:val="24"/>
          <w:szCs w:val="24"/>
          <w:lang w:val="en-US" w:eastAsia="zh-CN"/>
        </w:rPr>
        <w:drawing>
          <wp:inline distT="0" distB="0" distL="114300" distR="114300">
            <wp:extent cx="5615305" cy="7945755"/>
            <wp:effectExtent l="0" t="0" r="4445" b="17145"/>
            <wp:docPr id="28" name="图片 28" descr="租赁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descr="租赁合同_01"/>
                    <pic:cNvPicPr>
                      <a:picLocks noChangeAspect="1"/>
                    </pic:cNvPicPr>
                  </pic:nvPicPr>
                  <pic:blipFill>
                    <a:blip r:embed="rId43"/>
                    <a:stretch>
                      <a:fillRect/>
                    </a:stretch>
                  </pic:blipFill>
                  <pic:spPr>
                    <a:xfrm>
                      <a:off x="0" y="0"/>
                      <a:ext cx="5615305" cy="7945755"/>
                    </a:xfrm>
                    <a:prstGeom prst="rect">
                      <a:avLst/>
                    </a:prstGeom>
                  </pic:spPr>
                </pic:pic>
              </a:graphicData>
            </a:graphic>
          </wp:inline>
        </w:drawing>
      </w:r>
      <w:r>
        <w:rPr>
          <w:rFonts w:hint="default"/>
          <w:b/>
          <w:bCs/>
          <w:color w:val="auto"/>
          <w:sz w:val="24"/>
          <w:szCs w:val="24"/>
          <w:lang w:val="en-US" w:eastAsia="zh-CN"/>
        </w:rPr>
        <w:drawing>
          <wp:inline distT="0" distB="0" distL="114300" distR="114300">
            <wp:extent cx="5615305" cy="7945755"/>
            <wp:effectExtent l="0" t="0" r="4445" b="17145"/>
            <wp:docPr id="27" name="图片 27" descr="租赁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7" descr="租赁合同_02"/>
                    <pic:cNvPicPr>
                      <a:picLocks noChangeAspect="1"/>
                    </pic:cNvPicPr>
                  </pic:nvPicPr>
                  <pic:blipFill>
                    <a:blip r:embed="rId44"/>
                    <a:stretch>
                      <a:fillRect/>
                    </a:stretch>
                  </pic:blipFill>
                  <pic:spPr>
                    <a:xfrm>
                      <a:off x="0" y="0"/>
                      <a:ext cx="5615305" cy="7945755"/>
                    </a:xfrm>
                    <a:prstGeom prst="rect">
                      <a:avLst/>
                    </a:prstGeom>
                  </pic:spPr>
                </pic:pic>
              </a:graphicData>
            </a:graphic>
          </wp:inline>
        </w:drawing>
      </w:r>
      <w:r>
        <w:rPr>
          <w:rFonts w:hint="default"/>
          <w:b/>
          <w:bCs/>
          <w:color w:val="auto"/>
          <w:sz w:val="24"/>
          <w:szCs w:val="24"/>
          <w:lang w:val="en-US" w:eastAsia="zh-CN"/>
        </w:rPr>
        <w:drawing>
          <wp:inline distT="0" distB="0" distL="114300" distR="114300">
            <wp:extent cx="5615305" cy="7945755"/>
            <wp:effectExtent l="0" t="0" r="4445" b="17145"/>
            <wp:docPr id="24" name="图片 24" descr="租赁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租赁合同_03"/>
                    <pic:cNvPicPr>
                      <a:picLocks noChangeAspect="1"/>
                    </pic:cNvPicPr>
                  </pic:nvPicPr>
                  <pic:blipFill>
                    <a:blip r:embed="rId45"/>
                    <a:stretch>
                      <a:fillRect/>
                    </a:stretch>
                  </pic:blipFill>
                  <pic:spPr>
                    <a:xfrm>
                      <a:off x="0" y="0"/>
                      <a:ext cx="5615305" cy="7945755"/>
                    </a:xfrm>
                    <a:prstGeom prst="rect">
                      <a:avLst/>
                    </a:prstGeom>
                  </pic:spPr>
                </pic:pic>
              </a:graphicData>
            </a:graphic>
          </wp:inline>
        </w:drawing>
      </w:r>
      <w:r>
        <w:rPr>
          <w:rFonts w:hint="default"/>
          <w:b/>
          <w:bCs/>
          <w:color w:val="auto"/>
          <w:sz w:val="24"/>
          <w:szCs w:val="24"/>
          <w:lang w:val="en-US" w:eastAsia="zh-CN"/>
        </w:rPr>
        <w:drawing>
          <wp:inline distT="0" distB="0" distL="114300" distR="114300">
            <wp:extent cx="5615305" cy="7945755"/>
            <wp:effectExtent l="0" t="0" r="4445" b="17145"/>
            <wp:docPr id="23" name="图片 23" descr="租赁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租赁合同_04"/>
                    <pic:cNvPicPr>
                      <a:picLocks noChangeAspect="1"/>
                    </pic:cNvPicPr>
                  </pic:nvPicPr>
                  <pic:blipFill>
                    <a:blip r:embed="rId46"/>
                    <a:stretch>
                      <a:fillRect/>
                    </a:stretch>
                  </pic:blipFill>
                  <pic:spPr>
                    <a:xfrm>
                      <a:off x="0" y="0"/>
                      <a:ext cx="5615305" cy="7945755"/>
                    </a:xfrm>
                    <a:prstGeom prst="rect">
                      <a:avLst/>
                    </a:prstGeom>
                  </pic:spPr>
                </pic:pic>
              </a:graphicData>
            </a:graphic>
          </wp:inline>
        </w:drawing>
      </w:r>
    </w:p>
    <w:p w14:paraId="218B66F3">
      <w:pPr>
        <w:rPr>
          <w:rFonts w:hint="eastAsia"/>
          <w:b/>
          <w:bCs/>
          <w:color w:val="auto"/>
          <w:sz w:val="24"/>
          <w:szCs w:val="24"/>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p>
    <w:p w14:paraId="044A9D10">
      <w:pPr>
        <w:rPr>
          <w:rFonts w:hint="default"/>
          <w:b/>
          <w:bCs/>
          <w:color w:val="auto"/>
          <w:sz w:val="24"/>
          <w:szCs w:val="24"/>
          <w:lang w:val="en-US" w:eastAsia="zh-CN"/>
        </w:rPr>
      </w:pPr>
      <w:r>
        <w:rPr>
          <w:rFonts w:hint="eastAsia"/>
          <w:b/>
          <w:bCs/>
          <w:color w:val="auto"/>
          <w:sz w:val="24"/>
          <w:szCs w:val="24"/>
          <w:lang w:val="en-US" w:eastAsia="zh-CN"/>
        </w:rPr>
        <w:t>附件4：</w:t>
      </w:r>
      <w:r>
        <w:rPr>
          <w:rFonts w:hint="default"/>
          <w:b/>
          <w:bCs/>
          <w:color w:val="auto"/>
          <w:sz w:val="24"/>
          <w:szCs w:val="24"/>
          <w:lang w:val="en-US" w:eastAsia="zh-CN"/>
        </w:rPr>
        <w:t>编制单位营业执照</w:t>
      </w:r>
    </w:p>
    <w:p w14:paraId="7DAAF7CD">
      <w:pPr>
        <w:rPr>
          <w:rFonts w:hint="eastAsia"/>
          <w:b/>
          <w:bCs/>
          <w:color w:val="auto"/>
          <w:sz w:val="24"/>
          <w:szCs w:val="24"/>
          <w:lang w:val="en-US" w:eastAsia="zh-CN"/>
        </w:rPr>
      </w:pPr>
    </w:p>
    <w:p w14:paraId="5B2382AD">
      <w:pPr>
        <w:rPr>
          <w:rFonts w:hint="eastAsia"/>
          <w:b/>
          <w:bCs/>
          <w:color w:val="auto"/>
          <w:sz w:val="24"/>
          <w:szCs w:val="24"/>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b/>
          <w:bCs/>
          <w:color w:val="auto"/>
          <w:sz w:val="24"/>
          <w:szCs w:val="24"/>
          <w:lang w:val="en-US" w:eastAsia="zh-CN"/>
        </w:rPr>
        <w:drawing>
          <wp:inline distT="0" distB="0" distL="114300" distR="114300">
            <wp:extent cx="7310120" cy="5168900"/>
            <wp:effectExtent l="0" t="0" r="5080" b="12700"/>
            <wp:docPr id="11" name="图片 11" descr="编制单位营业执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1" descr="编制单位营业执照"/>
                    <pic:cNvPicPr>
                      <a:picLocks noChangeAspect="1"/>
                    </pic:cNvPicPr>
                  </pic:nvPicPr>
                  <pic:blipFill>
                    <a:blip r:embed="rId47"/>
                    <a:stretch>
                      <a:fillRect/>
                    </a:stretch>
                  </pic:blipFill>
                  <pic:spPr>
                    <a:xfrm>
                      <a:off x="0" y="0"/>
                      <a:ext cx="7310120" cy="5168900"/>
                    </a:xfrm>
                    <a:prstGeom prst="rect">
                      <a:avLst/>
                    </a:prstGeom>
                  </pic:spPr>
                </pic:pic>
              </a:graphicData>
            </a:graphic>
          </wp:inline>
        </w:drawing>
      </w:r>
    </w:p>
    <w:p w14:paraId="07D3F898">
      <w:pPr>
        <w:rPr>
          <w:rFonts w:hint="default"/>
          <w:b/>
          <w:bCs/>
          <w:color w:val="auto"/>
          <w:sz w:val="24"/>
          <w:szCs w:val="24"/>
          <w:lang w:val="en-US" w:eastAsia="zh-CN"/>
        </w:rPr>
      </w:pPr>
      <w:r>
        <w:rPr>
          <w:rFonts w:hint="eastAsia"/>
          <w:b/>
          <w:bCs/>
          <w:color w:val="auto"/>
          <w:sz w:val="24"/>
          <w:szCs w:val="24"/>
          <w:lang w:val="en-US" w:eastAsia="zh-CN"/>
        </w:rPr>
        <w:drawing>
          <wp:anchor distT="0" distB="0" distL="114300" distR="114300" simplePos="0" relativeHeight="251665408" behindDoc="1" locked="0" layoutInCell="1" allowOverlap="1">
            <wp:simplePos x="0" y="0"/>
            <wp:positionH relativeFrom="column">
              <wp:posOffset>307340</wp:posOffset>
            </wp:positionH>
            <wp:positionV relativeFrom="paragraph">
              <wp:posOffset>190500</wp:posOffset>
            </wp:positionV>
            <wp:extent cx="7889875" cy="5614670"/>
            <wp:effectExtent l="0" t="0" r="15875" b="5080"/>
            <wp:wrapNone/>
            <wp:docPr id="32" name="图片 32" descr="编制人员环评资格证书"/>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32" descr="编制人员环评资格证书"/>
                    <pic:cNvPicPr>
                      <a:picLocks noChangeAspect="1"/>
                    </pic:cNvPicPr>
                  </pic:nvPicPr>
                  <pic:blipFill>
                    <a:blip r:embed="rId48"/>
                    <a:stretch>
                      <a:fillRect/>
                    </a:stretch>
                  </pic:blipFill>
                  <pic:spPr>
                    <a:xfrm>
                      <a:off x="0" y="0"/>
                      <a:ext cx="7889875" cy="5614670"/>
                    </a:xfrm>
                    <a:prstGeom prst="rect">
                      <a:avLst/>
                    </a:prstGeom>
                  </pic:spPr>
                </pic:pic>
              </a:graphicData>
            </a:graphic>
          </wp:anchor>
        </w:drawing>
      </w:r>
      <w:r>
        <w:rPr>
          <w:rFonts w:hint="eastAsia"/>
          <w:b/>
          <w:bCs/>
          <w:color w:val="auto"/>
          <w:sz w:val="24"/>
          <w:szCs w:val="24"/>
          <w:lang w:val="en-US" w:eastAsia="zh-CN"/>
        </w:rPr>
        <w:t>附件5：</w:t>
      </w:r>
      <w:r>
        <w:rPr>
          <w:rFonts w:hint="default"/>
          <w:b/>
          <w:bCs/>
          <w:color w:val="auto"/>
          <w:sz w:val="24"/>
          <w:szCs w:val="24"/>
          <w:lang w:val="en-US" w:eastAsia="zh-CN"/>
        </w:rPr>
        <w:t>编制人员环评资格证书</w:t>
      </w:r>
    </w:p>
    <w:p w14:paraId="183C1DD8">
      <w:pPr>
        <w:rPr>
          <w:rFonts w:hint="eastAsia"/>
          <w:b/>
          <w:bCs/>
          <w:color w:val="auto"/>
          <w:sz w:val="24"/>
          <w:szCs w:val="24"/>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p>
    <w:p w14:paraId="3C02EC1B">
      <w:pPr>
        <w:rPr>
          <w:rFonts w:hint="default"/>
          <w:b/>
          <w:bCs/>
          <w:color w:val="auto"/>
          <w:sz w:val="24"/>
          <w:szCs w:val="24"/>
          <w:lang w:val="en-US" w:eastAsia="zh-CN"/>
        </w:rPr>
      </w:pPr>
      <w:r>
        <w:rPr>
          <w:rFonts w:hint="eastAsia"/>
          <w:b/>
          <w:bCs/>
          <w:color w:val="auto"/>
          <w:sz w:val="24"/>
          <w:szCs w:val="24"/>
          <w:lang w:val="en-US" w:eastAsia="zh-CN"/>
        </w:rPr>
        <w:t>附件6：</w:t>
      </w:r>
      <w:r>
        <w:rPr>
          <w:rFonts w:hint="default"/>
          <w:b/>
          <w:bCs/>
          <w:color w:val="auto"/>
          <w:sz w:val="24"/>
          <w:szCs w:val="24"/>
          <w:lang w:val="en-US" w:eastAsia="zh-CN"/>
        </w:rPr>
        <w:t>编制单位与编制人员劳动合同</w:t>
      </w:r>
    </w:p>
    <w:p w14:paraId="5313F5EC">
      <w:pPr>
        <w:rPr>
          <w:rFonts w:hint="eastAsia"/>
          <w:b/>
          <w:bCs/>
          <w:color w:val="auto"/>
          <w:sz w:val="24"/>
          <w:szCs w:val="24"/>
          <w:lang w:val="en-US" w:eastAsia="zh-CN"/>
        </w:rPr>
      </w:pPr>
    </w:p>
    <w:p w14:paraId="4FE354E4">
      <w:pPr>
        <w:pStyle w:val="2"/>
        <w:spacing w:line="240" w:lineRule="auto"/>
        <w:rPr>
          <w:rFonts w:hint="eastAsia"/>
          <w:lang w:val="en-US" w:eastAsia="zh-CN"/>
        </w:rPr>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pPr>
      <w:r>
        <w:rPr>
          <w:rFonts w:hint="eastAsia"/>
          <w:lang w:val="en-US" w:eastAsia="zh-CN"/>
        </w:rPr>
        <w:drawing>
          <wp:inline distT="0" distB="0" distL="114300" distR="114300">
            <wp:extent cx="5610860" cy="7934960"/>
            <wp:effectExtent l="0" t="0" r="8890" b="8890"/>
            <wp:docPr id="39" name="图片 39" descr="工程师劳动合同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descr="工程师劳动合同_00"/>
                    <pic:cNvPicPr>
                      <a:picLocks noChangeAspect="1"/>
                    </pic:cNvPicPr>
                  </pic:nvPicPr>
                  <pic:blipFill>
                    <a:blip r:embed="rId49"/>
                    <a:stretch>
                      <a:fillRect/>
                    </a:stretch>
                  </pic:blipFill>
                  <pic:spPr>
                    <a:xfrm>
                      <a:off x="0" y="0"/>
                      <a:ext cx="5610860" cy="7934960"/>
                    </a:xfrm>
                    <a:prstGeom prst="rect">
                      <a:avLst/>
                    </a:prstGeom>
                  </pic:spPr>
                </pic:pic>
              </a:graphicData>
            </a:graphic>
          </wp:inline>
        </w:drawing>
      </w:r>
      <w:r>
        <w:rPr>
          <w:rFonts w:hint="eastAsia"/>
          <w:lang w:val="en-US" w:eastAsia="zh-CN"/>
        </w:rPr>
        <w:drawing>
          <wp:inline distT="0" distB="0" distL="114300" distR="114300">
            <wp:extent cx="5610860" cy="7934960"/>
            <wp:effectExtent l="0" t="0" r="8890" b="8890"/>
            <wp:docPr id="38" name="图片 38" descr="工程师劳动合同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descr="工程师劳动合同_01"/>
                    <pic:cNvPicPr>
                      <a:picLocks noChangeAspect="1"/>
                    </pic:cNvPicPr>
                  </pic:nvPicPr>
                  <pic:blipFill>
                    <a:blip r:embed="rId50"/>
                    <a:stretch>
                      <a:fillRect/>
                    </a:stretch>
                  </pic:blipFill>
                  <pic:spPr>
                    <a:xfrm>
                      <a:off x="0" y="0"/>
                      <a:ext cx="5610860" cy="7934960"/>
                    </a:xfrm>
                    <a:prstGeom prst="rect">
                      <a:avLst/>
                    </a:prstGeom>
                  </pic:spPr>
                </pic:pic>
              </a:graphicData>
            </a:graphic>
          </wp:inline>
        </w:drawing>
      </w:r>
      <w:r>
        <w:rPr>
          <w:rFonts w:hint="eastAsia"/>
          <w:lang w:val="en-US" w:eastAsia="zh-CN"/>
        </w:rPr>
        <w:drawing>
          <wp:inline distT="0" distB="0" distL="114300" distR="114300">
            <wp:extent cx="5610860" cy="7934960"/>
            <wp:effectExtent l="0" t="0" r="8890" b="8890"/>
            <wp:docPr id="37" name="图片 37" descr="工程师劳动合同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descr="工程师劳动合同_02"/>
                    <pic:cNvPicPr>
                      <a:picLocks noChangeAspect="1"/>
                    </pic:cNvPicPr>
                  </pic:nvPicPr>
                  <pic:blipFill>
                    <a:blip r:embed="rId51"/>
                    <a:stretch>
                      <a:fillRect/>
                    </a:stretch>
                  </pic:blipFill>
                  <pic:spPr>
                    <a:xfrm>
                      <a:off x="0" y="0"/>
                      <a:ext cx="5610860" cy="7934960"/>
                    </a:xfrm>
                    <a:prstGeom prst="rect">
                      <a:avLst/>
                    </a:prstGeom>
                  </pic:spPr>
                </pic:pic>
              </a:graphicData>
            </a:graphic>
          </wp:inline>
        </w:drawing>
      </w:r>
      <w:r>
        <w:rPr>
          <w:rFonts w:hint="eastAsia"/>
          <w:lang w:val="en-US" w:eastAsia="zh-CN"/>
        </w:rPr>
        <w:drawing>
          <wp:inline distT="0" distB="0" distL="114300" distR="114300">
            <wp:extent cx="5610860" cy="7934960"/>
            <wp:effectExtent l="0" t="0" r="8890" b="8890"/>
            <wp:docPr id="36" name="图片 36" descr="工程师劳动合同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6" descr="工程师劳动合同_03"/>
                    <pic:cNvPicPr>
                      <a:picLocks noChangeAspect="1"/>
                    </pic:cNvPicPr>
                  </pic:nvPicPr>
                  <pic:blipFill>
                    <a:blip r:embed="rId52"/>
                    <a:stretch>
                      <a:fillRect/>
                    </a:stretch>
                  </pic:blipFill>
                  <pic:spPr>
                    <a:xfrm>
                      <a:off x="0" y="0"/>
                      <a:ext cx="5610860" cy="7934960"/>
                    </a:xfrm>
                    <a:prstGeom prst="rect">
                      <a:avLst/>
                    </a:prstGeom>
                  </pic:spPr>
                </pic:pic>
              </a:graphicData>
            </a:graphic>
          </wp:inline>
        </w:drawing>
      </w:r>
      <w:r>
        <w:rPr>
          <w:rFonts w:hint="eastAsia"/>
          <w:lang w:val="en-US" w:eastAsia="zh-CN"/>
        </w:rPr>
        <w:drawing>
          <wp:inline distT="0" distB="0" distL="114300" distR="114300">
            <wp:extent cx="5610860" cy="7934960"/>
            <wp:effectExtent l="0" t="0" r="8890" b="8890"/>
            <wp:docPr id="35" name="图片 35" descr="工程师劳动合同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35" descr="工程师劳动合同_04"/>
                    <pic:cNvPicPr>
                      <a:picLocks noChangeAspect="1"/>
                    </pic:cNvPicPr>
                  </pic:nvPicPr>
                  <pic:blipFill>
                    <a:blip r:embed="rId53"/>
                    <a:stretch>
                      <a:fillRect/>
                    </a:stretch>
                  </pic:blipFill>
                  <pic:spPr>
                    <a:xfrm>
                      <a:off x="0" y="0"/>
                      <a:ext cx="5610860" cy="7934960"/>
                    </a:xfrm>
                    <a:prstGeom prst="rect">
                      <a:avLst/>
                    </a:prstGeom>
                  </pic:spPr>
                </pic:pic>
              </a:graphicData>
            </a:graphic>
          </wp:inline>
        </w:drawing>
      </w:r>
      <w:r>
        <w:rPr>
          <w:rFonts w:hint="eastAsia"/>
          <w:lang w:val="en-US" w:eastAsia="zh-CN"/>
        </w:rPr>
        <w:drawing>
          <wp:inline distT="0" distB="0" distL="114300" distR="114300">
            <wp:extent cx="5610860" cy="7934960"/>
            <wp:effectExtent l="0" t="0" r="8890" b="8890"/>
            <wp:docPr id="34" name="图片 34" descr="工程师劳动合同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34" descr="工程师劳动合同_05"/>
                    <pic:cNvPicPr>
                      <a:picLocks noChangeAspect="1"/>
                    </pic:cNvPicPr>
                  </pic:nvPicPr>
                  <pic:blipFill>
                    <a:blip r:embed="rId54"/>
                    <a:stretch>
                      <a:fillRect/>
                    </a:stretch>
                  </pic:blipFill>
                  <pic:spPr>
                    <a:xfrm>
                      <a:off x="0" y="0"/>
                      <a:ext cx="5610860" cy="7934960"/>
                    </a:xfrm>
                    <a:prstGeom prst="rect">
                      <a:avLst/>
                    </a:prstGeom>
                  </pic:spPr>
                </pic:pic>
              </a:graphicData>
            </a:graphic>
          </wp:inline>
        </w:drawing>
      </w:r>
      <w:r>
        <w:rPr>
          <w:rFonts w:hint="eastAsia"/>
          <w:lang w:val="en-US" w:eastAsia="zh-CN"/>
        </w:rPr>
        <w:drawing>
          <wp:inline distT="0" distB="0" distL="114300" distR="114300">
            <wp:extent cx="5610860" cy="7934960"/>
            <wp:effectExtent l="0" t="0" r="8890" b="8890"/>
            <wp:docPr id="33" name="图片 33" descr="工程师劳动合同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33" descr="工程师劳动合同_06"/>
                    <pic:cNvPicPr>
                      <a:picLocks noChangeAspect="1"/>
                    </pic:cNvPicPr>
                  </pic:nvPicPr>
                  <pic:blipFill>
                    <a:blip r:embed="rId55"/>
                    <a:stretch>
                      <a:fillRect/>
                    </a:stretch>
                  </pic:blipFill>
                  <pic:spPr>
                    <a:xfrm>
                      <a:off x="0" y="0"/>
                      <a:ext cx="5610860" cy="7934960"/>
                    </a:xfrm>
                    <a:prstGeom prst="rect">
                      <a:avLst/>
                    </a:prstGeom>
                  </pic:spPr>
                </pic:pic>
              </a:graphicData>
            </a:graphic>
          </wp:inline>
        </w:drawing>
      </w:r>
    </w:p>
    <w:p w14:paraId="51BD5CEC">
      <w:pPr>
        <w:rPr>
          <w:rFonts w:hint="default"/>
          <w:b/>
          <w:bCs/>
          <w:color w:val="auto"/>
          <w:sz w:val="24"/>
          <w:szCs w:val="24"/>
          <w:lang w:val="en-US" w:eastAsia="zh-CN"/>
        </w:rPr>
      </w:pPr>
      <w:r>
        <w:rPr>
          <w:rFonts w:hint="eastAsia"/>
          <w:b/>
          <w:bCs/>
          <w:color w:val="auto"/>
          <w:sz w:val="24"/>
          <w:szCs w:val="24"/>
          <w:lang w:val="en-US" w:eastAsia="zh-CN"/>
        </w:rPr>
        <w:t>附件7：</w:t>
      </w:r>
      <w:r>
        <w:rPr>
          <w:rFonts w:hint="default"/>
          <w:b/>
          <w:bCs/>
          <w:color w:val="auto"/>
          <w:sz w:val="24"/>
          <w:szCs w:val="24"/>
          <w:lang w:val="en-US" w:eastAsia="zh-CN"/>
        </w:rPr>
        <w:t>近六个月内在从业单位参加社会保险管理机构缴费记录单</w:t>
      </w:r>
    </w:p>
    <w:p w14:paraId="373217F8">
      <w:pPr>
        <w:rPr>
          <w:rFonts w:hint="eastAsia"/>
          <w:b/>
          <w:bCs/>
          <w:color w:val="auto"/>
          <w:sz w:val="24"/>
          <w:szCs w:val="24"/>
          <w:lang w:val="en-US" w:eastAsia="zh-CN"/>
        </w:rPr>
      </w:pPr>
      <w:r>
        <w:rPr>
          <w:rFonts w:hint="eastAsia"/>
          <w:b/>
          <w:bCs/>
          <w:color w:val="auto"/>
          <w:sz w:val="24"/>
          <w:szCs w:val="24"/>
          <w:lang w:val="en-US" w:eastAsia="zh-CN"/>
        </w:rPr>
        <w:drawing>
          <wp:anchor distT="0" distB="0" distL="114300" distR="114300" simplePos="0" relativeHeight="251665408" behindDoc="1" locked="0" layoutInCell="1" allowOverlap="1">
            <wp:simplePos x="0" y="0"/>
            <wp:positionH relativeFrom="column">
              <wp:posOffset>423545</wp:posOffset>
            </wp:positionH>
            <wp:positionV relativeFrom="paragraph">
              <wp:posOffset>101600</wp:posOffset>
            </wp:positionV>
            <wp:extent cx="7522210" cy="5316220"/>
            <wp:effectExtent l="0" t="0" r="2540" b="17780"/>
            <wp:wrapNone/>
            <wp:docPr id="42" name="图片 42" descr="李智慧近六个月内在从业单位参加社会保险管理机构缴费记录单_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descr="李智慧近六个月内在从业单位参加社会保险管理机构缴费记录单_00"/>
                    <pic:cNvPicPr>
                      <a:picLocks noChangeAspect="1"/>
                    </pic:cNvPicPr>
                  </pic:nvPicPr>
                  <pic:blipFill>
                    <a:blip r:embed="rId56"/>
                    <a:stretch>
                      <a:fillRect/>
                    </a:stretch>
                  </pic:blipFill>
                  <pic:spPr>
                    <a:xfrm>
                      <a:off x="0" y="0"/>
                      <a:ext cx="7522210" cy="5316220"/>
                    </a:xfrm>
                    <a:prstGeom prst="rect">
                      <a:avLst/>
                    </a:prstGeom>
                  </pic:spPr>
                </pic:pic>
              </a:graphicData>
            </a:graphic>
          </wp:anchor>
        </w:drawing>
      </w:r>
    </w:p>
    <w:p w14:paraId="6AC2B8DD">
      <w:pPr>
        <w:rPr>
          <w:rFonts w:hint="eastAsia"/>
          <w:b/>
          <w:bCs/>
          <w:color w:val="auto"/>
          <w:sz w:val="24"/>
          <w:szCs w:val="24"/>
          <w:lang w:val="en-US" w:eastAsia="zh-CN"/>
        </w:rPr>
      </w:pPr>
      <w:r>
        <w:rPr>
          <w:rFonts w:hint="eastAsia"/>
          <w:b/>
          <w:bCs/>
          <w:color w:val="auto"/>
          <w:sz w:val="24"/>
          <w:szCs w:val="24"/>
          <w:lang w:val="en-US" w:eastAsia="zh-CN"/>
        </w:rPr>
        <w:br w:type="page"/>
      </w:r>
    </w:p>
    <w:p w14:paraId="15F106E8">
      <w:pPr>
        <w:rPr>
          <w:rFonts w:hint="eastAsia"/>
          <w:b/>
          <w:bCs/>
          <w:color w:val="auto"/>
          <w:sz w:val="24"/>
          <w:szCs w:val="24"/>
          <w:lang w:val="en-US" w:eastAsia="zh-CN"/>
        </w:rPr>
        <w:sectPr>
          <w:pgSz w:w="16838" w:h="11906" w:orient="landscape"/>
          <w:pgMar w:top="1531" w:right="1701" w:bottom="1531" w:left="1701" w:header="851" w:footer="851" w:gutter="0"/>
          <w:pgBorders>
            <w:top w:val="none" w:sz="0" w:space="0"/>
            <w:left w:val="none" w:sz="0" w:space="0"/>
            <w:bottom w:val="none" w:sz="0" w:space="0"/>
            <w:right w:val="none" w:sz="0" w:space="0"/>
          </w:pgBorders>
          <w:cols w:space="720" w:num="1"/>
          <w:docGrid w:linePitch="312" w:charSpace="0"/>
        </w:sectPr>
      </w:pPr>
      <w:r>
        <w:rPr>
          <w:rFonts w:hint="eastAsia"/>
          <w:b/>
          <w:bCs/>
          <w:color w:val="auto"/>
          <w:sz w:val="24"/>
          <w:szCs w:val="24"/>
          <w:lang w:val="en-US" w:eastAsia="zh-CN"/>
        </w:rPr>
        <w:drawing>
          <wp:inline distT="0" distB="0" distL="114300" distR="114300">
            <wp:extent cx="7945755" cy="5615305"/>
            <wp:effectExtent l="0" t="0" r="17145" b="4445"/>
            <wp:docPr id="41" name="图片 41" descr="李智慧近六个月内在从业单位参加社会保险管理机构缴费记录单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descr="李智慧近六个月内在从业单位参加社会保险管理机构缴费记录单_01"/>
                    <pic:cNvPicPr>
                      <a:picLocks noChangeAspect="1"/>
                    </pic:cNvPicPr>
                  </pic:nvPicPr>
                  <pic:blipFill>
                    <a:blip r:embed="rId57"/>
                    <a:stretch>
                      <a:fillRect/>
                    </a:stretch>
                  </pic:blipFill>
                  <pic:spPr>
                    <a:xfrm>
                      <a:off x="0" y="0"/>
                      <a:ext cx="7945755" cy="5615305"/>
                    </a:xfrm>
                    <a:prstGeom prst="rect">
                      <a:avLst/>
                    </a:prstGeom>
                  </pic:spPr>
                </pic:pic>
              </a:graphicData>
            </a:graphic>
          </wp:inline>
        </w:drawing>
      </w:r>
      <w:r>
        <w:rPr>
          <w:rFonts w:hint="eastAsia"/>
          <w:b/>
          <w:bCs/>
          <w:color w:val="auto"/>
          <w:sz w:val="24"/>
          <w:szCs w:val="24"/>
          <w:lang w:val="en-US" w:eastAsia="zh-CN"/>
        </w:rPr>
        <w:drawing>
          <wp:inline distT="0" distB="0" distL="114300" distR="114300">
            <wp:extent cx="7945755" cy="5615305"/>
            <wp:effectExtent l="0" t="0" r="17145" b="4445"/>
            <wp:docPr id="40" name="图片 40" descr="李智慧近六个月内在从业单位参加社会保险管理机构缴费记录单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descr="李智慧近六个月内在从业单位参加社会保险管理机构缴费记录单_02"/>
                    <pic:cNvPicPr>
                      <a:picLocks noChangeAspect="1"/>
                    </pic:cNvPicPr>
                  </pic:nvPicPr>
                  <pic:blipFill>
                    <a:blip r:embed="rId58"/>
                    <a:stretch>
                      <a:fillRect/>
                    </a:stretch>
                  </pic:blipFill>
                  <pic:spPr>
                    <a:xfrm>
                      <a:off x="0" y="0"/>
                      <a:ext cx="7945755" cy="5615305"/>
                    </a:xfrm>
                    <a:prstGeom prst="rect">
                      <a:avLst/>
                    </a:prstGeom>
                  </pic:spPr>
                </pic:pic>
              </a:graphicData>
            </a:graphic>
          </wp:inline>
        </w:drawing>
      </w:r>
    </w:p>
    <w:p w14:paraId="56C321B6">
      <w:pPr>
        <w:rPr>
          <w:rFonts w:hint="default"/>
          <w:lang w:val="en-US" w:eastAsia="zh-CN"/>
        </w:rPr>
      </w:pPr>
      <w:r>
        <w:rPr>
          <w:rFonts w:hint="eastAsia"/>
          <w:b/>
          <w:bCs/>
          <w:color w:val="auto"/>
          <w:sz w:val="24"/>
          <w:szCs w:val="24"/>
          <w:lang w:val="en-US" w:eastAsia="zh-CN"/>
        </w:rPr>
        <w:t>附件8：</w:t>
      </w:r>
      <w:r>
        <w:rPr>
          <w:rFonts w:hint="default"/>
          <w:b/>
          <w:bCs/>
          <w:color w:val="auto"/>
          <w:sz w:val="24"/>
          <w:szCs w:val="24"/>
          <w:lang w:val="en-US" w:eastAsia="zh-CN"/>
        </w:rPr>
        <w:t>工程师现场勘察照片</w:t>
      </w:r>
      <w:r>
        <w:rPr>
          <w:rFonts w:hint="default"/>
          <w:lang w:val="en-US" w:eastAsia="zh-CN"/>
        </w:rPr>
        <w:drawing>
          <wp:anchor distT="0" distB="0" distL="114300" distR="114300" simplePos="0" relativeHeight="251665408" behindDoc="1" locked="0" layoutInCell="1" allowOverlap="1">
            <wp:simplePos x="0" y="0"/>
            <wp:positionH relativeFrom="column">
              <wp:posOffset>-67945</wp:posOffset>
            </wp:positionH>
            <wp:positionV relativeFrom="paragraph">
              <wp:posOffset>456565</wp:posOffset>
            </wp:positionV>
            <wp:extent cx="5610860" cy="7633970"/>
            <wp:effectExtent l="0" t="0" r="8890" b="5080"/>
            <wp:wrapNone/>
            <wp:docPr id="43" name="图片 43" descr="7c81cc05036895b4e77ca1b55956e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descr="7c81cc05036895b4e77ca1b55956e4a"/>
                    <pic:cNvPicPr>
                      <a:picLocks noChangeAspect="1"/>
                    </pic:cNvPicPr>
                  </pic:nvPicPr>
                  <pic:blipFill>
                    <a:blip r:embed="rId59"/>
                    <a:stretch>
                      <a:fillRect/>
                    </a:stretch>
                  </pic:blipFill>
                  <pic:spPr>
                    <a:xfrm>
                      <a:off x="0" y="0"/>
                      <a:ext cx="5610860" cy="7633970"/>
                    </a:xfrm>
                    <a:prstGeom prst="rect">
                      <a:avLst/>
                    </a:prstGeom>
                  </pic:spPr>
                </pic:pic>
              </a:graphicData>
            </a:graphic>
          </wp:anchor>
        </w:drawing>
      </w:r>
    </w:p>
    <w:sectPr>
      <w:pgSz w:w="11906" w:h="16838"/>
      <w:pgMar w:top="1701" w:right="1531" w:bottom="1701" w:left="1531" w:header="851" w:footer="851" w:gutter="0"/>
      <w:pgBorders>
        <w:top w:val="none" w:sz="0" w:space="0"/>
        <w:left w:val="none" w:sz="0" w:space="0"/>
        <w:bottom w:val="none" w:sz="0" w:space="0"/>
        <w:right w:val="none" w:sz="0" w:space="0"/>
      </w:pgBorders>
      <w:cols w:space="720" w:num="1"/>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7A"/>
    <w:family w:val="auto"/>
    <w:pitch w:val="default"/>
    <w:sig w:usb0="E0002EFF" w:usb1="C000785B" w:usb2="00000009" w:usb3="00000000" w:csb0="400001FF" w:csb1="FFFF0000"/>
  </w:font>
  <w:font w:name="宋体">
    <w:panose1 w:val="02010600030101010101"/>
    <w:charset w:val="7A"/>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华文中宋">
    <w:panose1 w:val="02010600040101010101"/>
    <w:charset w:val="86"/>
    <w:family w:val="auto"/>
    <w:pitch w:val="default"/>
    <w:sig w:usb0="00000287" w:usb1="080F0000" w:usb2="00000000" w:usb3="00000000" w:csb0="0004009F" w:csb1="DFD70000"/>
  </w:font>
  <w:font w:name="方正书宋简体">
    <w:altName w:val="微软雅黑"/>
    <w:panose1 w:val="00000000000000000000"/>
    <w:charset w:val="86"/>
    <w:family w:val="auto"/>
    <w:pitch w:val="default"/>
    <w:sig w:usb0="00000000" w:usb1="00000000" w:usb2="00000010" w:usb3="00000000" w:csb0="00040000" w:csb1="00000000"/>
  </w:font>
  <w:font w:name="微软雅黑">
    <w:panose1 w:val="020B0503020204020204"/>
    <w:charset w:val="86"/>
    <w:family w:val="auto"/>
    <w:pitch w:val="default"/>
    <w:sig w:usb0="80000287" w:usb1="2ACF3C50" w:usb2="00000016" w:usb3="00000000" w:csb0="0004001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Lucida Console">
    <w:panose1 w:val="020B0609040504020204"/>
    <w:charset w:val="00"/>
    <w:family w:val="modern"/>
    <w:pitch w:val="default"/>
    <w:sig w:usb0="8000028F" w:usb1="00001800" w:usb2="00000000" w:usb3="00000000" w:csb0="0000001F" w:csb1="D7D70000"/>
  </w:font>
  <w:font w:name="方正仿宋_GBK">
    <w:altName w:val="宋体"/>
    <w:panose1 w:val="00000000000000000000"/>
    <w:charset w:val="86"/>
    <w:family w:val="script"/>
    <w:pitch w:val="default"/>
    <w:sig w:usb0="00000000" w:usb1="00000000" w:usb2="00000010" w:usb3="00000000" w:csb0="00040000" w:csb1="00000000"/>
  </w:font>
  <w:font w:name="楷体_GB2312">
    <w:altName w:val="楷体"/>
    <w:panose1 w:val="02010609030101010101"/>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Arial Black">
    <w:panose1 w:val="020B0A04020102020204"/>
    <w:charset w:val="00"/>
    <w:family w:val="swiss"/>
    <w:pitch w:val="default"/>
    <w:sig w:usb0="A00002AF" w:usb1="400078FB" w:usb2="00000000" w:usb3="00000000" w:csb0="6000009F" w:csb1="DFD70000"/>
  </w:font>
  <w:font w:name="等线">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Times New Roman”“">
    <w:altName w:val="宋体"/>
    <w:panose1 w:val="00000000000000000000"/>
    <w:charset w:val="86"/>
    <w:family w:val="roman"/>
    <w:pitch w:val="default"/>
    <w:sig w:usb0="00000000" w:usb1="00000000" w:usb2="00000010" w:usb3="00000000" w:csb0="00040000" w:csb1="00000000"/>
  </w:font>
  <w:font w:name="Arial Unicode MS">
    <w:altName w:val="宋体"/>
    <w:panose1 w:val="020B0604020202020204"/>
    <w:charset w:val="86"/>
    <w:family w:val="swiss"/>
    <w:pitch w:val="default"/>
    <w:sig w:usb0="00000000" w:usb1="00000000" w:usb2="0000003F" w:usb3="00000000" w:csb0="003F01FF" w:csb1="00000000"/>
  </w:font>
  <w:font w:name="Times">
    <w:altName w:val="Times New Roman"/>
    <w:panose1 w:val="02020603050405020304"/>
    <w:charset w:val="00"/>
    <w:family w:val="roman"/>
    <w:pitch w:val="default"/>
    <w:sig w:usb0="00000000" w:usb1="00000000" w:usb2="00000009" w:usb3="00000000" w:csb0="000001FF" w:csb1="00000000"/>
  </w:font>
  <w:font w:name="Wingdings 2">
    <w:panose1 w:val="05020102010507070707"/>
    <w:charset w:val="02"/>
    <w:family w:val="roman"/>
    <w:pitch w:val="default"/>
    <w:sig w:usb0="00000000" w:usb1="00000000" w:usb2="00000000" w:usb3="00000000" w:csb0="80000000" w:csb1="00000000"/>
  </w:font>
  <w:font w:name="Microsoft YaHei UI">
    <w:panose1 w:val="020B0503020204020204"/>
    <w:charset w:val="86"/>
    <w:family w:val="swiss"/>
    <w:pitch w:val="default"/>
    <w:sig w:usb0="80000287" w:usb1="2ACF3C50" w:usb2="00000016" w:usb3="00000000" w:csb0="0004001F" w:csb1="00000000"/>
  </w:font>
  <w:font w:name="Segoe UI Symbol">
    <w:panose1 w:val="020B0502040204020203"/>
    <w:charset w:val="00"/>
    <w:family w:val="swiss"/>
    <w:pitch w:val="default"/>
    <w:sig w:usb0="800001E3" w:usb1="1200FFEF" w:usb2="00040000" w:usb3="04000000" w:csb0="00000001" w:csb1="40000000"/>
  </w:font>
  <w:font w:name="MS Mincho">
    <w:altName w:val="MS Gothic"/>
    <w:panose1 w:val="02020609040205080304"/>
    <w:charset w:val="80"/>
    <w:family w:val="roman"/>
    <w:pitch w:val="default"/>
    <w:sig w:usb0="00000000" w:usb1="00000000" w:usb2="00000010" w:usb3="00000000" w:csb0="00020000" w:csb1="00000000"/>
  </w:font>
  <w:font w:name="MS Gothic">
    <w:panose1 w:val="020B0609070205080204"/>
    <w:charset w:val="80"/>
    <w:family w:val="auto"/>
    <w:pitch w:val="default"/>
    <w:sig w:usb0="E00002FF" w:usb1="6AC7FDFB" w:usb2="08000012" w:usb3="00000000" w:csb0="4002009F" w:csb1="DFD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1B684FC">
    <w:pPr>
      <w:pStyle w:val="29"/>
      <w:ind w:right="360" w:firstLine="360"/>
      <w:jc w:val="cen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7B54722">
    <w:pPr>
      <w:pStyle w:val="29"/>
      <w:framePr w:wrap="around" w:vAnchor="text" w:hAnchor="margin" w:xAlign="center" w:y="1"/>
      <w:rPr>
        <w:rStyle w:val="49"/>
      </w:rPr>
    </w:pPr>
    <w:r>
      <w:fldChar w:fldCharType="begin"/>
    </w:r>
    <w:r>
      <w:rPr>
        <w:rStyle w:val="49"/>
      </w:rPr>
      <w:instrText xml:space="preserve">PAGE  </w:instrText>
    </w:r>
    <w:r>
      <w:fldChar w:fldCharType="end"/>
    </w:r>
  </w:p>
  <w:p w14:paraId="0D58636A">
    <w:pPr>
      <w:pStyle w:val="29"/>
      <w:ind w:right="360"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48F993D">
    <w:pPr>
      <w:pStyle w:val="29"/>
      <w:jc w:val="center"/>
    </w:pPr>
    <w:r>
      <w:fldChar w:fldCharType="begin"/>
    </w:r>
    <w:r>
      <w:instrText xml:space="preserve">PAGE   \* MERGEFORMAT</w:instrText>
    </w:r>
    <w:r>
      <w:fldChar w:fldCharType="separate"/>
    </w:r>
    <w:r>
      <w:rPr>
        <w:lang w:val="zh-CN"/>
      </w:rPr>
      <w:t>11</w:t>
    </w:r>
    <w: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D6785A">
    <w:pPr>
      <w:pStyle w:val="29"/>
      <w:jc w:val="center"/>
    </w:pPr>
    <w:r>
      <w:fldChar w:fldCharType="begin"/>
    </w:r>
    <w:r>
      <w:instrText xml:space="preserve">PAGE   \* MERGEFORMAT</w:instrText>
    </w:r>
    <w:r>
      <w:fldChar w:fldCharType="separate"/>
    </w:r>
    <w:r>
      <w:rPr>
        <w:lang w:val="zh-CN"/>
      </w:rPr>
      <w:t>52</w:t>
    </w:r>
    <w: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8059970">
    <w:pPr>
      <w:pStyle w:val="29"/>
      <w:jc w:val="center"/>
    </w:pPr>
    <w:r>
      <w:fldChar w:fldCharType="begin"/>
    </w:r>
    <w:r>
      <w:instrText xml:space="preserve">PAGE   \* MERGEFORMAT</w:instrText>
    </w:r>
    <w:r>
      <w:fldChar w:fldCharType="separate"/>
    </w:r>
    <w:r>
      <w:rPr>
        <w:lang w:val="zh-CN"/>
      </w:rPr>
      <w:t>59</w:t>
    </w:r>
    <w:r>
      <w:fldChar w:fldCharType="end"/>
    </w: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302C38F9"/>
    <w:multiLevelType w:val="multilevel"/>
    <w:tmpl w:val="302C38F9"/>
    <w:lvl w:ilvl="0" w:tentative="0">
      <w:start w:val="1"/>
      <w:numFmt w:val="upperLetter"/>
      <w:pStyle w:val="8"/>
      <w:lvlText w:val="%1."/>
      <w:lvlJc w:val="left"/>
      <w:pPr>
        <w:tabs>
          <w:tab w:val="left" w:pos="360"/>
        </w:tabs>
        <w:ind w:left="0" w:firstLine="0"/>
      </w:pPr>
    </w:lvl>
    <w:lvl w:ilvl="1" w:tentative="0">
      <w:start w:val="1"/>
      <w:numFmt w:val="upperLetter"/>
      <w:lvlText w:val="%2."/>
      <w:lvlJc w:val="left"/>
      <w:pPr>
        <w:tabs>
          <w:tab w:val="left" w:pos="360"/>
        </w:tabs>
        <w:ind w:left="0" w:firstLine="0"/>
      </w:pPr>
    </w:lvl>
    <w:lvl w:ilvl="2" w:tentative="0">
      <w:start w:val="1"/>
      <w:numFmt w:val="lowerRoman"/>
      <w:lvlText w:val="%3."/>
      <w:lvlJc w:val="right"/>
      <w:pPr>
        <w:tabs>
          <w:tab w:val="left" w:pos="1260"/>
        </w:tabs>
        <w:ind w:left="1260" w:hanging="420"/>
      </w:pPr>
    </w:lvl>
    <w:lvl w:ilvl="3" w:tentative="0">
      <w:start w:val="1"/>
      <w:numFmt w:val="decimal"/>
      <w:lvlText w:val="%4."/>
      <w:lvlJc w:val="left"/>
      <w:pPr>
        <w:tabs>
          <w:tab w:val="left" w:pos="1680"/>
        </w:tabs>
        <w:ind w:left="1680" w:hanging="420"/>
      </w:pPr>
    </w:lvl>
    <w:lvl w:ilvl="4" w:tentative="0">
      <w:start w:val="1"/>
      <w:numFmt w:val="lowerLetter"/>
      <w:lvlText w:val="%5)"/>
      <w:lvlJc w:val="left"/>
      <w:pPr>
        <w:tabs>
          <w:tab w:val="left" w:pos="2100"/>
        </w:tabs>
        <w:ind w:left="2100" w:hanging="420"/>
      </w:pPr>
    </w:lvl>
    <w:lvl w:ilvl="5" w:tentative="0">
      <w:start w:val="1"/>
      <w:numFmt w:val="lowerRoman"/>
      <w:lvlText w:val="%6."/>
      <w:lvlJc w:val="right"/>
      <w:pPr>
        <w:tabs>
          <w:tab w:val="left" w:pos="2520"/>
        </w:tabs>
        <w:ind w:left="2520" w:hanging="420"/>
      </w:pPr>
    </w:lvl>
    <w:lvl w:ilvl="6" w:tentative="0">
      <w:start w:val="1"/>
      <w:numFmt w:val="decimal"/>
      <w:lvlText w:val="%7."/>
      <w:lvlJc w:val="left"/>
      <w:pPr>
        <w:tabs>
          <w:tab w:val="left" w:pos="2940"/>
        </w:tabs>
        <w:ind w:left="2940" w:hanging="420"/>
      </w:pPr>
    </w:lvl>
    <w:lvl w:ilvl="7" w:tentative="0">
      <w:start w:val="1"/>
      <w:numFmt w:val="lowerLetter"/>
      <w:lvlText w:val="%8)"/>
      <w:lvlJc w:val="left"/>
      <w:pPr>
        <w:tabs>
          <w:tab w:val="left" w:pos="3360"/>
        </w:tabs>
        <w:ind w:left="3360" w:hanging="420"/>
      </w:pPr>
    </w:lvl>
    <w:lvl w:ilvl="8" w:tentative="0">
      <w:start w:val="1"/>
      <w:numFmt w:val="lowerRoman"/>
      <w:lvlText w:val="%9."/>
      <w:lvlJc w:val="right"/>
      <w:pPr>
        <w:tabs>
          <w:tab w:val="left" w:pos="3780"/>
        </w:tabs>
        <w:ind w:left="3780" w:hanging="420"/>
      </w:pPr>
    </w:lvl>
  </w:abstractNum>
  <w:abstractNum w:abstractNumId="1">
    <w:nsid w:val="47EB4974"/>
    <w:multiLevelType w:val="multilevel"/>
    <w:tmpl w:val="47EB4974"/>
    <w:lvl w:ilvl="0" w:tentative="0">
      <w:start w:val="1"/>
      <w:numFmt w:val="decimal"/>
      <w:pStyle w:val="252"/>
      <w:suff w:val="nothing"/>
      <w:lvlText w:val="%1  "/>
      <w:lvlJc w:val="left"/>
      <w:pPr>
        <w:ind w:left="0" w:firstLine="0"/>
      </w:pPr>
      <w:rPr>
        <w:rFonts w:hint="eastAsia"/>
      </w:rPr>
    </w:lvl>
    <w:lvl w:ilvl="1" w:tentative="0">
      <w:start w:val="1"/>
      <w:numFmt w:val="decimal"/>
      <w:suff w:val="nothing"/>
      <w:lvlText w:val="%1.%2  "/>
      <w:lvlJc w:val="left"/>
      <w:pPr>
        <w:ind w:left="0" w:firstLine="0"/>
      </w:pPr>
      <w:rPr>
        <w:rFonts w:hint="eastAsia"/>
      </w:rPr>
    </w:lvl>
    <w:lvl w:ilvl="2" w:tentative="0">
      <w:start w:val="1"/>
      <w:numFmt w:val="decimal"/>
      <w:suff w:val="nothing"/>
      <w:lvlText w:val="%1.%2.%3  "/>
      <w:lvlJc w:val="left"/>
      <w:pPr>
        <w:ind w:left="0" w:firstLine="0"/>
      </w:pPr>
      <w:rPr>
        <w:rFonts w:hint="eastAsia"/>
      </w:rPr>
    </w:lvl>
    <w:lvl w:ilvl="3" w:tentative="0">
      <w:start w:val="1"/>
      <w:numFmt w:val="decimal"/>
      <w:suff w:val="nothing"/>
      <w:lvlText w:val="%1.%2.%3.%4  "/>
      <w:lvlJc w:val="left"/>
      <w:pPr>
        <w:ind w:left="710" w:firstLine="0"/>
      </w:pPr>
      <w:rPr>
        <w:rFonts w:hint="default" w:ascii="Times New Roman" w:hAnsi="Times New Roman" w:eastAsia="宋体"/>
      </w:rPr>
    </w:lvl>
    <w:lvl w:ilvl="4" w:tentative="0">
      <w:start w:val="1"/>
      <w:numFmt w:val="decimal"/>
      <w:lvlText w:val="%1.%2.%3.%4.%5"/>
      <w:lvlJc w:val="left"/>
      <w:pPr>
        <w:ind w:left="0" w:firstLine="0"/>
      </w:pPr>
      <w:rPr>
        <w:rFonts w:hint="eastAsia"/>
      </w:rPr>
    </w:lvl>
    <w:lvl w:ilvl="5" w:tentative="0">
      <w:start w:val="1"/>
      <w:numFmt w:val="decimal"/>
      <w:lvlText w:val="%1.%2.%3.%4.%5.%6"/>
      <w:lvlJc w:val="left"/>
      <w:pPr>
        <w:ind w:left="0" w:firstLine="0"/>
      </w:pPr>
      <w:rPr>
        <w:rFonts w:hint="eastAsia"/>
      </w:rPr>
    </w:lvl>
    <w:lvl w:ilvl="6" w:tentative="0">
      <w:start w:val="1"/>
      <w:numFmt w:val="decimal"/>
      <w:lvlText w:val="%1.%2.%3.%4.%5.%6.%7"/>
      <w:lvlJc w:val="left"/>
      <w:pPr>
        <w:ind w:left="0" w:firstLine="0"/>
      </w:pPr>
      <w:rPr>
        <w:rFonts w:hint="eastAsia"/>
      </w:rPr>
    </w:lvl>
    <w:lvl w:ilvl="7" w:tentative="0">
      <w:start w:val="1"/>
      <w:numFmt w:val="decimal"/>
      <w:lvlText w:val="%1.%2.%3.%4.%5.%6.%7.%8"/>
      <w:lvlJc w:val="left"/>
      <w:pPr>
        <w:ind w:left="0" w:firstLine="0"/>
      </w:pPr>
      <w:rPr>
        <w:rFonts w:hint="eastAsia"/>
      </w:rPr>
    </w:lvl>
    <w:lvl w:ilvl="8" w:tentative="0">
      <w:start w:val="1"/>
      <w:numFmt w:val="decimal"/>
      <w:lvlText w:val="%1.%2.%3.%4.%5.%6.%7.%8.%9"/>
      <w:lvlJc w:val="left"/>
      <w:pPr>
        <w:ind w:left="0" w:firstLine="0"/>
      </w:pPr>
      <w:rPr>
        <w:rFonts w:hint="eastAsia"/>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60"/>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attachedTemplate r:id="rId1"/>
  <w:documentProtection w:edit="trackedChanges" w:enforcement="0"/>
  <w:defaultTabStop w:val="420"/>
  <w:doNotHyphenateCaps/>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GFhYjkwNTlmOWJkNmEzOWJhNWM2NjUyZTdiOWZkNzcifQ=="/>
  </w:docVars>
  <w:rsids>
    <w:rsidRoot w:val="00A14947"/>
    <w:rsid w:val="0000065A"/>
    <w:rsid w:val="0000327C"/>
    <w:rsid w:val="000060B3"/>
    <w:rsid w:val="0001074D"/>
    <w:rsid w:val="0002028C"/>
    <w:rsid w:val="000202E7"/>
    <w:rsid w:val="00027942"/>
    <w:rsid w:val="00032EC7"/>
    <w:rsid w:val="000333A1"/>
    <w:rsid w:val="000349DF"/>
    <w:rsid w:val="00035798"/>
    <w:rsid w:val="00036B96"/>
    <w:rsid w:val="000421A9"/>
    <w:rsid w:val="0004364B"/>
    <w:rsid w:val="00050FDB"/>
    <w:rsid w:val="000530C3"/>
    <w:rsid w:val="00054FCC"/>
    <w:rsid w:val="00055FAE"/>
    <w:rsid w:val="00061B1F"/>
    <w:rsid w:val="00061FC5"/>
    <w:rsid w:val="0006744B"/>
    <w:rsid w:val="00070BFE"/>
    <w:rsid w:val="000733C4"/>
    <w:rsid w:val="000744C9"/>
    <w:rsid w:val="00074783"/>
    <w:rsid w:val="000769C4"/>
    <w:rsid w:val="0008070B"/>
    <w:rsid w:val="000810AC"/>
    <w:rsid w:val="00081A02"/>
    <w:rsid w:val="00081FAB"/>
    <w:rsid w:val="00082231"/>
    <w:rsid w:val="00082384"/>
    <w:rsid w:val="00084A21"/>
    <w:rsid w:val="00092D38"/>
    <w:rsid w:val="0009377B"/>
    <w:rsid w:val="00094B47"/>
    <w:rsid w:val="00095589"/>
    <w:rsid w:val="0009777D"/>
    <w:rsid w:val="000A13C3"/>
    <w:rsid w:val="000A2066"/>
    <w:rsid w:val="000A20C9"/>
    <w:rsid w:val="000A4749"/>
    <w:rsid w:val="000A5953"/>
    <w:rsid w:val="000A68DB"/>
    <w:rsid w:val="000A6D48"/>
    <w:rsid w:val="000A7035"/>
    <w:rsid w:val="000B058F"/>
    <w:rsid w:val="000B10DA"/>
    <w:rsid w:val="000B3AF4"/>
    <w:rsid w:val="000B4467"/>
    <w:rsid w:val="000B4B23"/>
    <w:rsid w:val="000B4DB9"/>
    <w:rsid w:val="000C09AC"/>
    <w:rsid w:val="000C37C8"/>
    <w:rsid w:val="000C60F0"/>
    <w:rsid w:val="000C6ABE"/>
    <w:rsid w:val="000C767F"/>
    <w:rsid w:val="000C7840"/>
    <w:rsid w:val="000C7D20"/>
    <w:rsid w:val="000D138D"/>
    <w:rsid w:val="000D4DE3"/>
    <w:rsid w:val="000D5A44"/>
    <w:rsid w:val="000D765B"/>
    <w:rsid w:val="000D7953"/>
    <w:rsid w:val="000D7B06"/>
    <w:rsid w:val="000E213E"/>
    <w:rsid w:val="000E3ED2"/>
    <w:rsid w:val="000E5C50"/>
    <w:rsid w:val="000E651A"/>
    <w:rsid w:val="000E6A97"/>
    <w:rsid w:val="000E7B20"/>
    <w:rsid w:val="001003CB"/>
    <w:rsid w:val="0010086E"/>
    <w:rsid w:val="001028B8"/>
    <w:rsid w:val="001048CC"/>
    <w:rsid w:val="001049D3"/>
    <w:rsid w:val="00105ED2"/>
    <w:rsid w:val="00106DA3"/>
    <w:rsid w:val="001070A7"/>
    <w:rsid w:val="001071F6"/>
    <w:rsid w:val="0011204E"/>
    <w:rsid w:val="00112907"/>
    <w:rsid w:val="00114805"/>
    <w:rsid w:val="00116B95"/>
    <w:rsid w:val="00117044"/>
    <w:rsid w:val="0012064E"/>
    <w:rsid w:val="00120722"/>
    <w:rsid w:val="00121A80"/>
    <w:rsid w:val="00122277"/>
    <w:rsid w:val="00123621"/>
    <w:rsid w:val="0012368D"/>
    <w:rsid w:val="00123A4E"/>
    <w:rsid w:val="00130892"/>
    <w:rsid w:val="00131F42"/>
    <w:rsid w:val="00134E38"/>
    <w:rsid w:val="001357F1"/>
    <w:rsid w:val="00136B70"/>
    <w:rsid w:val="00136BBC"/>
    <w:rsid w:val="00140FA8"/>
    <w:rsid w:val="00142FEB"/>
    <w:rsid w:val="00143A2D"/>
    <w:rsid w:val="001446AE"/>
    <w:rsid w:val="00144CC2"/>
    <w:rsid w:val="001453FA"/>
    <w:rsid w:val="00145A41"/>
    <w:rsid w:val="00147C54"/>
    <w:rsid w:val="00151675"/>
    <w:rsid w:val="00152699"/>
    <w:rsid w:val="00153833"/>
    <w:rsid w:val="001553ED"/>
    <w:rsid w:val="001571FF"/>
    <w:rsid w:val="00157435"/>
    <w:rsid w:val="00157F58"/>
    <w:rsid w:val="001604E3"/>
    <w:rsid w:val="001619CC"/>
    <w:rsid w:val="00165F10"/>
    <w:rsid w:val="001673EA"/>
    <w:rsid w:val="00167A01"/>
    <w:rsid w:val="001703FC"/>
    <w:rsid w:val="0017152E"/>
    <w:rsid w:val="00171E74"/>
    <w:rsid w:val="0017346C"/>
    <w:rsid w:val="00173CE6"/>
    <w:rsid w:val="0017504D"/>
    <w:rsid w:val="001755D5"/>
    <w:rsid w:val="0017671A"/>
    <w:rsid w:val="00177422"/>
    <w:rsid w:val="00182A90"/>
    <w:rsid w:val="00182BE9"/>
    <w:rsid w:val="00183D00"/>
    <w:rsid w:val="00184590"/>
    <w:rsid w:val="001870D1"/>
    <w:rsid w:val="0018781E"/>
    <w:rsid w:val="00191148"/>
    <w:rsid w:val="0019262D"/>
    <w:rsid w:val="00193557"/>
    <w:rsid w:val="00195E96"/>
    <w:rsid w:val="001A1B35"/>
    <w:rsid w:val="001A48A2"/>
    <w:rsid w:val="001A6F61"/>
    <w:rsid w:val="001B72B8"/>
    <w:rsid w:val="001C192A"/>
    <w:rsid w:val="001C1F6A"/>
    <w:rsid w:val="001C2424"/>
    <w:rsid w:val="001C612B"/>
    <w:rsid w:val="001C69B3"/>
    <w:rsid w:val="001D036A"/>
    <w:rsid w:val="001D03B3"/>
    <w:rsid w:val="001D0400"/>
    <w:rsid w:val="001D0452"/>
    <w:rsid w:val="001D0DD8"/>
    <w:rsid w:val="001D1F6C"/>
    <w:rsid w:val="001D201D"/>
    <w:rsid w:val="001D4032"/>
    <w:rsid w:val="001D5595"/>
    <w:rsid w:val="001D7874"/>
    <w:rsid w:val="001D7F22"/>
    <w:rsid w:val="001E4E25"/>
    <w:rsid w:val="001E504B"/>
    <w:rsid w:val="001E7194"/>
    <w:rsid w:val="001F0F17"/>
    <w:rsid w:val="001F3347"/>
    <w:rsid w:val="001F69E4"/>
    <w:rsid w:val="001F76AB"/>
    <w:rsid w:val="00200F43"/>
    <w:rsid w:val="00201259"/>
    <w:rsid w:val="00203A29"/>
    <w:rsid w:val="002046D1"/>
    <w:rsid w:val="002050E6"/>
    <w:rsid w:val="002051E7"/>
    <w:rsid w:val="00206413"/>
    <w:rsid w:val="002103EF"/>
    <w:rsid w:val="002125B4"/>
    <w:rsid w:val="002155B8"/>
    <w:rsid w:val="00220688"/>
    <w:rsid w:val="002216BD"/>
    <w:rsid w:val="00223292"/>
    <w:rsid w:val="00224241"/>
    <w:rsid w:val="00224839"/>
    <w:rsid w:val="002249B2"/>
    <w:rsid w:val="002257D4"/>
    <w:rsid w:val="002258CC"/>
    <w:rsid w:val="00225D1A"/>
    <w:rsid w:val="00226574"/>
    <w:rsid w:val="00226D0F"/>
    <w:rsid w:val="002270EE"/>
    <w:rsid w:val="002278EC"/>
    <w:rsid w:val="0023139B"/>
    <w:rsid w:val="0023280E"/>
    <w:rsid w:val="00232F57"/>
    <w:rsid w:val="002377D1"/>
    <w:rsid w:val="00237EC8"/>
    <w:rsid w:val="00240F07"/>
    <w:rsid w:val="00240F45"/>
    <w:rsid w:val="00241630"/>
    <w:rsid w:val="00242233"/>
    <w:rsid w:val="002433E9"/>
    <w:rsid w:val="0024452A"/>
    <w:rsid w:val="0024660F"/>
    <w:rsid w:val="002469C8"/>
    <w:rsid w:val="002506BC"/>
    <w:rsid w:val="00252290"/>
    <w:rsid w:val="00254345"/>
    <w:rsid w:val="00255140"/>
    <w:rsid w:val="002576BE"/>
    <w:rsid w:val="0026028B"/>
    <w:rsid w:val="00260546"/>
    <w:rsid w:val="00260F5B"/>
    <w:rsid w:val="00263017"/>
    <w:rsid w:val="00264557"/>
    <w:rsid w:val="0027271E"/>
    <w:rsid w:val="002730F1"/>
    <w:rsid w:val="00273CB0"/>
    <w:rsid w:val="002749A8"/>
    <w:rsid w:val="00275C00"/>
    <w:rsid w:val="00275F3D"/>
    <w:rsid w:val="0028053D"/>
    <w:rsid w:val="002805AB"/>
    <w:rsid w:val="00284204"/>
    <w:rsid w:val="00285C1D"/>
    <w:rsid w:val="00286B17"/>
    <w:rsid w:val="00290255"/>
    <w:rsid w:val="00291773"/>
    <w:rsid w:val="00291CF1"/>
    <w:rsid w:val="00293242"/>
    <w:rsid w:val="002974CA"/>
    <w:rsid w:val="0029782D"/>
    <w:rsid w:val="00297BE7"/>
    <w:rsid w:val="002A0E8A"/>
    <w:rsid w:val="002A168C"/>
    <w:rsid w:val="002A3DC7"/>
    <w:rsid w:val="002A5737"/>
    <w:rsid w:val="002A6561"/>
    <w:rsid w:val="002A6D2E"/>
    <w:rsid w:val="002A6F9A"/>
    <w:rsid w:val="002B04EB"/>
    <w:rsid w:val="002B25AD"/>
    <w:rsid w:val="002B49E2"/>
    <w:rsid w:val="002B4CBA"/>
    <w:rsid w:val="002B5C23"/>
    <w:rsid w:val="002B7B00"/>
    <w:rsid w:val="002B7C44"/>
    <w:rsid w:val="002C0BDD"/>
    <w:rsid w:val="002C1527"/>
    <w:rsid w:val="002C26F8"/>
    <w:rsid w:val="002C2B17"/>
    <w:rsid w:val="002C3E3D"/>
    <w:rsid w:val="002C49FF"/>
    <w:rsid w:val="002C6614"/>
    <w:rsid w:val="002C6BFF"/>
    <w:rsid w:val="002D0BB9"/>
    <w:rsid w:val="002D3CD4"/>
    <w:rsid w:val="002D3DD0"/>
    <w:rsid w:val="002D5417"/>
    <w:rsid w:val="002D58A1"/>
    <w:rsid w:val="002E1457"/>
    <w:rsid w:val="002E1F3A"/>
    <w:rsid w:val="002E216A"/>
    <w:rsid w:val="002E298A"/>
    <w:rsid w:val="002E4511"/>
    <w:rsid w:val="002E79D2"/>
    <w:rsid w:val="002E7BD1"/>
    <w:rsid w:val="002E7F00"/>
    <w:rsid w:val="002F52A4"/>
    <w:rsid w:val="00300FC7"/>
    <w:rsid w:val="00301729"/>
    <w:rsid w:val="00301978"/>
    <w:rsid w:val="0030332C"/>
    <w:rsid w:val="003051C2"/>
    <w:rsid w:val="00305EC3"/>
    <w:rsid w:val="00311C29"/>
    <w:rsid w:val="00312296"/>
    <w:rsid w:val="00314ABB"/>
    <w:rsid w:val="00314F0E"/>
    <w:rsid w:val="00315E1E"/>
    <w:rsid w:val="00321D8E"/>
    <w:rsid w:val="00325222"/>
    <w:rsid w:val="00325928"/>
    <w:rsid w:val="0032642A"/>
    <w:rsid w:val="00332863"/>
    <w:rsid w:val="0033604A"/>
    <w:rsid w:val="0033684D"/>
    <w:rsid w:val="00337B42"/>
    <w:rsid w:val="00341B42"/>
    <w:rsid w:val="0034348F"/>
    <w:rsid w:val="0034427C"/>
    <w:rsid w:val="00346A20"/>
    <w:rsid w:val="00347904"/>
    <w:rsid w:val="00347ABC"/>
    <w:rsid w:val="00352773"/>
    <w:rsid w:val="0035362D"/>
    <w:rsid w:val="00356653"/>
    <w:rsid w:val="0035743F"/>
    <w:rsid w:val="00357BE2"/>
    <w:rsid w:val="0036170C"/>
    <w:rsid w:val="00362626"/>
    <w:rsid w:val="00365796"/>
    <w:rsid w:val="00366E0F"/>
    <w:rsid w:val="00373452"/>
    <w:rsid w:val="00380130"/>
    <w:rsid w:val="00381A72"/>
    <w:rsid w:val="0038255F"/>
    <w:rsid w:val="00383762"/>
    <w:rsid w:val="00384676"/>
    <w:rsid w:val="0038516D"/>
    <w:rsid w:val="00390086"/>
    <w:rsid w:val="00390604"/>
    <w:rsid w:val="00390857"/>
    <w:rsid w:val="0039149E"/>
    <w:rsid w:val="00394957"/>
    <w:rsid w:val="00394B9A"/>
    <w:rsid w:val="0039685E"/>
    <w:rsid w:val="003A27CC"/>
    <w:rsid w:val="003A3ECE"/>
    <w:rsid w:val="003A4BF3"/>
    <w:rsid w:val="003A609A"/>
    <w:rsid w:val="003A6303"/>
    <w:rsid w:val="003A67F5"/>
    <w:rsid w:val="003B420D"/>
    <w:rsid w:val="003C5D93"/>
    <w:rsid w:val="003C6C16"/>
    <w:rsid w:val="003D2A59"/>
    <w:rsid w:val="003D5A1E"/>
    <w:rsid w:val="003D794D"/>
    <w:rsid w:val="003E1261"/>
    <w:rsid w:val="003E1622"/>
    <w:rsid w:val="003E3058"/>
    <w:rsid w:val="003E4465"/>
    <w:rsid w:val="003E4638"/>
    <w:rsid w:val="003E76A9"/>
    <w:rsid w:val="003F0809"/>
    <w:rsid w:val="003F1BE4"/>
    <w:rsid w:val="003F6399"/>
    <w:rsid w:val="003F6A8C"/>
    <w:rsid w:val="003F755C"/>
    <w:rsid w:val="00400C0F"/>
    <w:rsid w:val="00403184"/>
    <w:rsid w:val="0040326B"/>
    <w:rsid w:val="004052DC"/>
    <w:rsid w:val="00406F01"/>
    <w:rsid w:val="004074C0"/>
    <w:rsid w:val="00410AD8"/>
    <w:rsid w:val="00413514"/>
    <w:rsid w:val="00416D50"/>
    <w:rsid w:val="00416FD5"/>
    <w:rsid w:val="00417772"/>
    <w:rsid w:val="00420E6A"/>
    <w:rsid w:val="00422DED"/>
    <w:rsid w:val="00423F89"/>
    <w:rsid w:val="00424911"/>
    <w:rsid w:val="004253C0"/>
    <w:rsid w:val="00425A9E"/>
    <w:rsid w:val="00425FCB"/>
    <w:rsid w:val="00426D6B"/>
    <w:rsid w:val="00431E6C"/>
    <w:rsid w:val="00433CE7"/>
    <w:rsid w:val="00436846"/>
    <w:rsid w:val="0043775F"/>
    <w:rsid w:val="00444410"/>
    <w:rsid w:val="00444475"/>
    <w:rsid w:val="004451D9"/>
    <w:rsid w:val="00452738"/>
    <w:rsid w:val="004535EE"/>
    <w:rsid w:val="00455A9A"/>
    <w:rsid w:val="00456091"/>
    <w:rsid w:val="00456E92"/>
    <w:rsid w:val="0045733E"/>
    <w:rsid w:val="00457997"/>
    <w:rsid w:val="00462E12"/>
    <w:rsid w:val="00466321"/>
    <w:rsid w:val="00466695"/>
    <w:rsid w:val="00471FB4"/>
    <w:rsid w:val="0047499A"/>
    <w:rsid w:val="0047565C"/>
    <w:rsid w:val="004769FB"/>
    <w:rsid w:val="00480949"/>
    <w:rsid w:val="00484B9B"/>
    <w:rsid w:val="004854DE"/>
    <w:rsid w:val="004855F6"/>
    <w:rsid w:val="0048661E"/>
    <w:rsid w:val="00491473"/>
    <w:rsid w:val="00492242"/>
    <w:rsid w:val="004942F5"/>
    <w:rsid w:val="00494670"/>
    <w:rsid w:val="0049601B"/>
    <w:rsid w:val="004A154E"/>
    <w:rsid w:val="004A1753"/>
    <w:rsid w:val="004A3823"/>
    <w:rsid w:val="004A6272"/>
    <w:rsid w:val="004A730B"/>
    <w:rsid w:val="004A77C0"/>
    <w:rsid w:val="004B1C29"/>
    <w:rsid w:val="004B2A6C"/>
    <w:rsid w:val="004B3463"/>
    <w:rsid w:val="004B61D8"/>
    <w:rsid w:val="004C03E4"/>
    <w:rsid w:val="004C3F2F"/>
    <w:rsid w:val="004C4020"/>
    <w:rsid w:val="004C6201"/>
    <w:rsid w:val="004D2799"/>
    <w:rsid w:val="004D2F76"/>
    <w:rsid w:val="004E1953"/>
    <w:rsid w:val="004E1E84"/>
    <w:rsid w:val="004E3233"/>
    <w:rsid w:val="004E4C37"/>
    <w:rsid w:val="004E6946"/>
    <w:rsid w:val="004F1AD8"/>
    <w:rsid w:val="004F2C6C"/>
    <w:rsid w:val="004F3846"/>
    <w:rsid w:val="004F52B7"/>
    <w:rsid w:val="004F73A5"/>
    <w:rsid w:val="004F79CC"/>
    <w:rsid w:val="00500421"/>
    <w:rsid w:val="005012E4"/>
    <w:rsid w:val="005039CB"/>
    <w:rsid w:val="0050558F"/>
    <w:rsid w:val="00506286"/>
    <w:rsid w:val="00506FC2"/>
    <w:rsid w:val="00510813"/>
    <w:rsid w:val="005110AB"/>
    <w:rsid w:val="00511990"/>
    <w:rsid w:val="00511DE0"/>
    <w:rsid w:val="00512FE4"/>
    <w:rsid w:val="00514870"/>
    <w:rsid w:val="00514B9B"/>
    <w:rsid w:val="00516213"/>
    <w:rsid w:val="00517432"/>
    <w:rsid w:val="00517F02"/>
    <w:rsid w:val="00520382"/>
    <w:rsid w:val="00520A9E"/>
    <w:rsid w:val="00521A23"/>
    <w:rsid w:val="00524303"/>
    <w:rsid w:val="005258A2"/>
    <w:rsid w:val="005331B4"/>
    <w:rsid w:val="005358CD"/>
    <w:rsid w:val="0053637A"/>
    <w:rsid w:val="005366FA"/>
    <w:rsid w:val="005401AE"/>
    <w:rsid w:val="0054234B"/>
    <w:rsid w:val="00542E07"/>
    <w:rsid w:val="00542F70"/>
    <w:rsid w:val="00545424"/>
    <w:rsid w:val="00546365"/>
    <w:rsid w:val="00547B2D"/>
    <w:rsid w:val="005521B9"/>
    <w:rsid w:val="0055252D"/>
    <w:rsid w:val="0055341C"/>
    <w:rsid w:val="00554A7B"/>
    <w:rsid w:val="0055572C"/>
    <w:rsid w:val="00556002"/>
    <w:rsid w:val="0055697F"/>
    <w:rsid w:val="00557B1A"/>
    <w:rsid w:val="0056106A"/>
    <w:rsid w:val="00562E1F"/>
    <w:rsid w:val="00563B94"/>
    <w:rsid w:val="00570F5B"/>
    <w:rsid w:val="005720AE"/>
    <w:rsid w:val="00574ED8"/>
    <w:rsid w:val="0057666F"/>
    <w:rsid w:val="00576B06"/>
    <w:rsid w:val="00577ABE"/>
    <w:rsid w:val="0058093C"/>
    <w:rsid w:val="00581AA8"/>
    <w:rsid w:val="00581BF5"/>
    <w:rsid w:val="00582A4A"/>
    <w:rsid w:val="00585941"/>
    <w:rsid w:val="00594933"/>
    <w:rsid w:val="00594D77"/>
    <w:rsid w:val="005969E4"/>
    <w:rsid w:val="00596F13"/>
    <w:rsid w:val="005A06B7"/>
    <w:rsid w:val="005A0BEA"/>
    <w:rsid w:val="005A0CAC"/>
    <w:rsid w:val="005A0E2C"/>
    <w:rsid w:val="005A1759"/>
    <w:rsid w:val="005A26F1"/>
    <w:rsid w:val="005A39F1"/>
    <w:rsid w:val="005A6211"/>
    <w:rsid w:val="005A6833"/>
    <w:rsid w:val="005A68A7"/>
    <w:rsid w:val="005B3017"/>
    <w:rsid w:val="005B7639"/>
    <w:rsid w:val="005D1000"/>
    <w:rsid w:val="005D1422"/>
    <w:rsid w:val="005D36AB"/>
    <w:rsid w:val="005D780E"/>
    <w:rsid w:val="005E3766"/>
    <w:rsid w:val="005E3FC5"/>
    <w:rsid w:val="005E5EED"/>
    <w:rsid w:val="005E7291"/>
    <w:rsid w:val="005E741B"/>
    <w:rsid w:val="005E7634"/>
    <w:rsid w:val="005F0815"/>
    <w:rsid w:val="005F5FD2"/>
    <w:rsid w:val="005F7569"/>
    <w:rsid w:val="006056BE"/>
    <w:rsid w:val="00606EF5"/>
    <w:rsid w:val="00607AAE"/>
    <w:rsid w:val="0061042C"/>
    <w:rsid w:val="00617C6D"/>
    <w:rsid w:val="00617CC3"/>
    <w:rsid w:val="00620FE0"/>
    <w:rsid w:val="00621703"/>
    <w:rsid w:val="006221D5"/>
    <w:rsid w:val="006267B2"/>
    <w:rsid w:val="0063009C"/>
    <w:rsid w:val="006316AD"/>
    <w:rsid w:val="006361E4"/>
    <w:rsid w:val="0063653F"/>
    <w:rsid w:val="006377A6"/>
    <w:rsid w:val="00637A3D"/>
    <w:rsid w:val="00640518"/>
    <w:rsid w:val="006411EF"/>
    <w:rsid w:val="00646482"/>
    <w:rsid w:val="0064661E"/>
    <w:rsid w:val="00647A71"/>
    <w:rsid w:val="00647C1C"/>
    <w:rsid w:val="00652AB1"/>
    <w:rsid w:val="006538FC"/>
    <w:rsid w:val="00656A31"/>
    <w:rsid w:val="00657F2D"/>
    <w:rsid w:val="00664C8D"/>
    <w:rsid w:val="006654CB"/>
    <w:rsid w:val="006655B9"/>
    <w:rsid w:val="00672B9A"/>
    <w:rsid w:val="006732EF"/>
    <w:rsid w:val="00674558"/>
    <w:rsid w:val="006748B8"/>
    <w:rsid w:val="006775C3"/>
    <w:rsid w:val="006805AB"/>
    <w:rsid w:val="0068168A"/>
    <w:rsid w:val="006839DB"/>
    <w:rsid w:val="0068687B"/>
    <w:rsid w:val="006872EE"/>
    <w:rsid w:val="00690888"/>
    <w:rsid w:val="006917E9"/>
    <w:rsid w:val="0069267A"/>
    <w:rsid w:val="0069290A"/>
    <w:rsid w:val="00692E0F"/>
    <w:rsid w:val="006970DB"/>
    <w:rsid w:val="0069775A"/>
    <w:rsid w:val="00697813"/>
    <w:rsid w:val="006A2475"/>
    <w:rsid w:val="006A3EE8"/>
    <w:rsid w:val="006A72BF"/>
    <w:rsid w:val="006B03F2"/>
    <w:rsid w:val="006B2D96"/>
    <w:rsid w:val="006B37DC"/>
    <w:rsid w:val="006B4F68"/>
    <w:rsid w:val="006B7EFA"/>
    <w:rsid w:val="006C0592"/>
    <w:rsid w:val="006C1CDB"/>
    <w:rsid w:val="006C272E"/>
    <w:rsid w:val="006C2779"/>
    <w:rsid w:val="006C382D"/>
    <w:rsid w:val="006C3BFE"/>
    <w:rsid w:val="006C5479"/>
    <w:rsid w:val="006C7982"/>
    <w:rsid w:val="006D13B5"/>
    <w:rsid w:val="006D6B8D"/>
    <w:rsid w:val="006D71CD"/>
    <w:rsid w:val="006D724E"/>
    <w:rsid w:val="006E023E"/>
    <w:rsid w:val="006E0C18"/>
    <w:rsid w:val="006E0E0A"/>
    <w:rsid w:val="006E12FF"/>
    <w:rsid w:val="006E376B"/>
    <w:rsid w:val="006E607E"/>
    <w:rsid w:val="006E7ABE"/>
    <w:rsid w:val="006F0AB7"/>
    <w:rsid w:val="006F2FC7"/>
    <w:rsid w:val="006F3FB4"/>
    <w:rsid w:val="007038E7"/>
    <w:rsid w:val="00703B70"/>
    <w:rsid w:val="007043A5"/>
    <w:rsid w:val="00706C5D"/>
    <w:rsid w:val="00707306"/>
    <w:rsid w:val="00711CF1"/>
    <w:rsid w:val="007132D8"/>
    <w:rsid w:val="00714DBD"/>
    <w:rsid w:val="007158DA"/>
    <w:rsid w:val="00721609"/>
    <w:rsid w:val="00722D18"/>
    <w:rsid w:val="00723651"/>
    <w:rsid w:val="00730954"/>
    <w:rsid w:val="00732922"/>
    <w:rsid w:val="00732EE9"/>
    <w:rsid w:val="007334F8"/>
    <w:rsid w:val="00734A63"/>
    <w:rsid w:val="007358D9"/>
    <w:rsid w:val="00735DD2"/>
    <w:rsid w:val="00735F16"/>
    <w:rsid w:val="00736009"/>
    <w:rsid w:val="0074446C"/>
    <w:rsid w:val="00746157"/>
    <w:rsid w:val="007463E7"/>
    <w:rsid w:val="007474C9"/>
    <w:rsid w:val="0075162E"/>
    <w:rsid w:val="00752748"/>
    <w:rsid w:val="00754034"/>
    <w:rsid w:val="00756556"/>
    <w:rsid w:val="00761269"/>
    <w:rsid w:val="007618C4"/>
    <w:rsid w:val="007625EB"/>
    <w:rsid w:val="00767980"/>
    <w:rsid w:val="00770B19"/>
    <w:rsid w:val="0077463F"/>
    <w:rsid w:val="00774E78"/>
    <w:rsid w:val="00775FA1"/>
    <w:rsid w:val="00780A2E"/>
    <w:rsid w:val="00782097"/>
    <w:rsid w:val="00782E48"/>
    <w:rsid w:val="007830CD"/>
    <w:rsid w:val="00783317"/>
    <w:rsid w:val="007836EA"/>
    <w:rsid w:val="00784CDA"/>
    <w:rsid w:val="007906C4"/>
    <w:rsid w:val="00791A26"/>
    <w:rsid w:val="007940EA"/>
    <w:rsid w:val="007967E8"/>
    <w:rsid w:val="007A1AF3"/>
    <w:rsid w:val="007A2170"/>
    <w:rsid w:val="007A22BF"/>
    <w:rsid w:val="007A2650"/>
    <w:rsid w:val="007A3323"/>
    <w:rsid w:val="007A3621"/>
    <w:rsid w:val="007A38D0"/>
    <w:rsid w:val="007A3DF0"/>
    <w:rsid w:val="007A4A27"/>
    <w:rsid w:val="007A78B2"/>
    <w:rsid w:val="007B4B65"/>
    <w:rsid w:val="007B72B8"/>
    <w:rsid w:val="007B7A58"/>
    <w:rsid w:val="007C21B5"/>
    <w:rsid w:val="007C3637"/>
    <w:rsid w:val="007C4F43"/>
    <w:rsid w:val="007C753E"/>
    <w:rsid w:val="007C7F01"/>
    <w:rsid w:val="007D38C0"/>
    <w:rsid w:val="007D3B20"/>
    <w:rsid w:val="007D6DCD"/>
    <w:rsid w:val="007D70AE"/>
    <w:rsid w:val="007D7B15"/>
    <w:rsid w:val="007D7D42"/>
    <w:rsid w:val="007E0BC1"/>
    <w:rsid w:val="007E2DF7"/>
    <w:rsid w:val="007E4BD2"/>
    <w:rsid w:val="007F2C24"/>
    <w:rsid w:val="007F6CFD"/>
    <w:rsid w:val="007F7C94"/>
    <w:rsid w:val="00801393"/>
    <w:rsid w:val="00802F88"/>
    <w:rsid w:val="0080360F"/>
    <w:rsid w:val="00805776"/>
    <w:rsid w:val="00810741"/>
    <w:rsid w:val="00810FA3"/>
    <w:rsid w:val="0081293E"/>
    <w:rsid w:val="008136A6"/>
    <w:rsid w:val="00814728"/>
    <w:rsid w:val="00815465"/>
    <w:rsid w:val="00816FC1"/>
    <w:rsid w:val="00817E9A"/>
    <w:rsid w:val="0082050E"/>
    <w:rsid w:val="0082269A"/>
    <w:rsid w:val="00823ED2"/>
    <w:rsid w:val="0082433A"/>
    <w:rsid w:val="00827092"/>
    <w:rsid w:val="008306BD"/>
    <w:rsid w:val="00831907"/>
    <w:rsid w:val="00831A80"/>
    <w:rsid w:val="00833743"/>
    <w:rsid w:val="00833D01"/>
    <w:rsid w:val="008340A4"/>
    <w:rsid w:val="008368D8"/>
    <w:rsid w:val="0083704C"/>
    <w:rsid w:val="00842F0C"/>
    <w:rsid w:val="00843933"/>
    <w:rsid w:val="0085125A"/>
    <w:rsid w:val="0085167F"/>
    <w:rsid w:val="008516D7"/>
    <w:rsid w:val="00852858"/>
    <w:rsid w:val="00854789"/>
    <w:rsid w:val="008555D9"/>
    <w:rsid w:val="00856EC2"/>
    <w:rsid w:val="008639C9"/>
    <w:rsid w:val="00863DBA"/>
    <w:rsid w:val="00866E6D"/>
    <w:rsid w:val="0087135F"/>
    <w:rsid w:val="00872D94"/>
    <w:rsid w:val="008743AD"/>
    <w:rsid w:val="00874926"/>
    <w:rsid w:val="00876F11"/>
    <w:rsid w:val="0087782F"/>
    <w:rsid w:val="00880364"/>
    <w:rsid w:val="008804B3"/>
    <w:rsid w:val="0088345F"/>
    <w:rsid w:val="008839DF"/>
    <w:rsid w:val="00883ACE"/>
    <w:rsid w:val="00885B96"/>
    <w:rsid w:val="00886414"/>
    <w:rsid w:val="00891592"/>
    <w:rsid w:val="00891E9E"/>
    <w:rsid w:val="008941A4"/>
    <w:rsid w:val="0089727D"/>
    <w:rsid w:val="008A0B93"/>
    <w:rsid w:val="008A166C"/>
    <w:rsid w:val="008A2F68"/>
    <w:rsid w:val="008A4382"/>
    <w:rsid w:val="008A5A00"/>
    <w:rsid w:val="008A5A9A"/>
    <w:rsid w:val="008A6149"/>
    <w:rsid w:val="008A7859"/>
    <w:rsid w:val="008A7AC2"/>
    <w:rsid w:val="008B12A7"/>
    <w:rsid w:val="008B3C18"/>
    <w:rsid w:val="008B3C5F"/>
    <w:rsid w:val="008B4FA6"/>
    <w:rsid w:val="008B5282"/>
    <w:rsid w:val="008B7C17"/>
    <w:rsid w:val="008C0415"/>
    <w:rsid w:val="008C0C67"/>
    <w:rsid w:val="008C2D01"/>
    <w:rsid w:val="008C40E6"/>
    <w:rsid w:val="008D0A0A"/>
    <w:rsid w:val="008D0BA4"/>
    <w:rsid w:val="008D0F7A"/>
    <w:rsid w:val="008D14B3"/>
    <w:rsid w:val="008D4A4C"/>
    <w:rsid w:val="008D4BE5"/>
    <w:rsid w:val="008D5CCB"/>
    <w:rsid w:val="008D68E4"/>
    <w:rsid w:val="008D6D7E"/>
    <w:rsid w:val="008E0506"/>
    <w:rsid w:val="008E0CFF"/>
    <w:rsid w:val="008E1763"/>
    <w:rsid w:val="008E2041"/>
    <w:rsid w:val="008E4427"/>
    <w:rsid w:val="008E5D6B"/>
    <w:rsid w:val="008E6463"/>
    <w:rsid w:val="008E76F0"/>
    <w:rsid w:val="008E7EBA"/>
    <w:rsid w:val="008F15FE"/>
    <w:rsid w:val="008F2D29"/>
    <w:rsid w:val="008F5187"/>
    <w:rsid w:val="008F60D8"/>
    <w:rsid w:val="0090083F"/>
    <w:rsid w:val="00902727"/>
    <w:rsid w:val="0090312B"/>
    <w:rsid w:val="00903656"/>
    <w:rsid w:val="00903D98"/>
    <w:rsid w:val="00907DF4"/>
    <w:rsid w:val="0091020C"/>
    <w:rsid w:val="0091035E"/>
    <w:rsid w:val="00910664"/>
    <w:rsid w:val="00910726"/>
    <w:rsid w:val="00911E89"/>
    <w:rsid w:val="0091231F"/>
    <w:rsid w:val="009123F6"/>
    <w:rsid w:val="00913034"/>
    <w:rsid w:val="00914A0D"/>
    <w:rsid w:val="00914F58"/>
    <w:rsid w:val="0091736D"/>
    <w:rsid w:val="00920B82"/>
    <w:rsid w:val="0092691E"/>
    <w:rsid w:val="00927813"/>
    <w:rsid w:val="0093037A"/>
    <w:rsid w:val="009304DE"/>
    <w:rsid w:val="00935156"/>
    <w:rsid w:val="009358A8"/>
    <w:rsid w:val="00937166"/>
    <w:rsid w:val="00940B93"/>
    <w:rsid w:val="0094154D"/>
    <w:rsid w:val="00942844"/>
    <w:rsid w:val="009440B5"/>
    <w:rsid w:val="00944144"/>
    <w:rsid w:val="00944549"/>
    <w:rsid w:val="00944E6A"/>
    <w:rsid w:val="00947E0F"/>
    <w:rsid w:val="00947E1C"/>
    <w:rsid w:val="00947EB5"/>
    <w:rsid w:val="0095155F"/>
    <w:rsid w:val="00954429"/>
    <w:rsid w:val="00954B68"/>
    <w:rsid w:val="009563CE"/>
    <w:rsid w:val="00972E9E"/>
    <w:rsid w:val="00975D92"/>
    <w:rsid w:val="00976328"/>
    <w:rsid w:val="0097680D"/>
    <w:rsid w:val="0098191B"/>
    <w:rsid w:val="00981F9D"/>
    <w:rsid w:val="00982438"/>
    <w:rsid w:val="00982C8E"/>
    <w:rsid w:val="0098339F"/>
    <w:rsid w:val="0098404C"/>
    <w:rsid w:val="009848A0"/>
    <w:rsid w:val="00985283"/>
    <w:rsid w:val="00987DBE"/>
    <w:rsid w:val="00995992"/>
    <w:rsid w:val="009962A6"/>
    <w:rsid w:val="009A03E5"/>
    <w:rsid w:val="009A0F3B"/>
    <w:rsid w:val="009A1BB4"/>
    <w:rsid w:val="009A2628"/>
    <w:rsid w:val="009A3200"/>
    <w:rsid w:val="009A3A32"/>
    <w:rsid w:val="009A3E67"/>
    <w:rsid w:val="009A6ABC"/>
    <w:rsid w:val="009B0897"/>
    <w:rsid w:val="009B1DAC"/>
    <w:rsid w:val="009B3769"/>
    <w:rsid w:val="009B510E"/>
    <w:rsid w:val="009B786D"/>
    <w:rsid w:val="009B7A2F"/>
    <w:rsid w:val="009B7BD9"/>
    <w:rsid w:val="009B7D34"/>
    <w:rsid w:val="009C1CC3"/>
    <w:rsid w:val="009C23A7"/>
    <w:rsid w:val="009C58BD"/>
    <w:rsid w:val="009C65A0"/>
    <w:rsid w:val="009C7DD5"/>
    <w:rsid w:val="009D3745"/>
    <w:rsid w:val="009D4F13"/>
    <w:rsid w:val="009E1026"/>
    <w:rsid w:val="009E227D"/>
    <w:rsid w:val="009E2D51"/>
    <w:rsid w:val="009E357D"/>
    <w:rsid w:val="009E3907"/>
    <w:rsid w:val="009E5019"/>
    <w:rsid w:val="009E5E63"/>
    <w:rsid w:val="009E6C02"/>
    <w:rsid w:val="009F1925"/>
    <w:rsid w:val="009F1A6B"/>
    <w:rsid w:val="009F1CAA"/>
    <w:rsid w:val="009F4100"/>
    <w:rsid w:val="009F4C7B"/>
    <w:rsid w:val="009F61FE"/>
    <w:rsid w:val="00A0068F"/>
    <w:rsid w:val="00A01B71"/>
    <w:rsid w:val="00A028B0"/>
    <w:rsid w:val="00A0381C"/>
    <w:rsid w:val="00A04F1B"/>
    <w:rsid w:val="00A0501B"/>
    <w:rsid w:val="00A0631D"/>
    <w:rsid w:val="00A105AC"/>
    <w:rsid w:val="00A141A4"/>
    <w:rsid w:val="00A14947"/>
    <w:rsid w:val="00A2305A"/>
    <w:rsid w:val="00A234D3"/>
    <w:rsid w:val="00A25086"/>
    <w:rsid w:val="00A2653A"/>
    <w:rsid w:val="00A275A9"/>
    <w:rsid w:val="00A307A1"/>
    <w:rsid w:val="00A32A83"/>
    <w:rsid w:val="00A3315A"/>
    <w:rsid w:val="00A345EF"/>
    <w:rsid w:val="00A368DB"/>
    <w:rsid w:val="00A423AA"/>
    <w:rsid w:val="00A447C6"/>
    <w:rsid w:val="00A44C42"/>
    <w:rsid w:val="00A44FF6"/>
    <w:rsid w:val="00A4558B"/>
    <w:rsid w:val="00A45F89"/>
    <w:rsid w:val="00A50B6B"/>
    <w:rsid w:val="00A53EC6"/>
    <w:rsid w:val="00A55248"/>
    <w:rsid w:val="00A55C0F"/>
    <w:rsid w:val="00A641E3"/>
    <w:rsid w:val="00A6646F"/>
    <w:rsid w:val="00A665ED"/>
    <w:rsid w:val="00A67707"/>
    <w:rsid w:val="00A70D79"/>
    <w:rsid w:val="00A711AE"/>
    <w:rsid w:val="00A738B5"/>
    <w:rsid w:val="00A74047"/>
    <w:rsid w:val="00A84160"/>
    <w:rsid w:val="00A8430A"/>
    <w:rsid w:val="00A8713F"/>
    <w:rsid w:val="00A901F8"/>
    <w:rsid w:val="00A90BA1"/>
    <w:rsid w:val="00A926EB"/>
    <w:rsid w:val="00A93987"/>
    <w:rsid w:val="00A948A1"/>
    <w:rsid w:val="00A96556"/>
    <w:rsid w:val="00A96D9D"/>
    <w:rsid w:val="00A97A9A"/>
    <w:rsid w:val="00AA0671"/>
    <w:rsid w:val="00AA1BED"/>
    <w:rsid w:val="00AA2531"/>
    <w:rsid w:val="00AA53E6"/>
    <w:rsid w:val="00AA7409"/>
    <w:rsid w:val="00AB0948"/>
    <w:rsid w:val="00AB0DD8"/>
    <w:rsid w:val="00AB130D"/>
    <w:rsid w:val="00AB19B0"/>
    <w:rsid w:val="00AB1E09"/>
    <w:rsid w:val="00AB5330"/>
    <w:rsid w:val="00AB7185"/>
    <w:rsid w:val="00AB7747"/>
    <w:rsid w:val="00AC14CE"/>
    <w:rsid w:val="00AC1865"/>
    <w:rsid w:val="00AC2A56"/>
    <w:rsid w:val="00AC59FF"/>
    <w:rsid w:val="00AD055E"/>
    <w:rsid w:val="00AD37FB"/>
    <w:rsid w:val="00AD47A7"/>
    <w:rsid w:val="00AD4CA6"/>
    <w:rsid w:val="00AD61B8"/>
    <w:rsid w:val="00AE094C"/>
    <w:rsid w:val="00AE148D"/>
    <w:rsid w:val="00AE43C7"/>
    <w:rsid w:val="00AE452E"/>
    <w:rsid w:val="00AE4B43"/>
    <w:rsid w:val="00AF083A"/>
    <w:rsid w:val="00AF0CBF"/>
    <w:rsid w:val="00AF257F"/>
    <w:rsid w:val="00AF33CF"/>
    <w:rsid w:val="00AF4D50"/>
    <w:rsid w:val="00AF594F"/>
    <w:rsid w:val="00AF6179"/>
    <w:rsid w:val="00AF7338"/>
    <w:rsid w:val="00B0564D"/>
    <w:rsid w:val="00B10096"/>
    <w:rsid w:val="00B105F8"/>
    <w:rsid w:val="00B1295A"/>
    <w:rsid w:val="00B12C7E"/>
    <w:rsid w:val="00B13B3A"/>
    <w:rsid w:val="00B14AD4"/>
    <w:rsid w:val="00B14B2F"/>
    <w:rsid w:val="00B1645B"/>
    <w:rsid w:val="00B16B13"/>
    <w:rsid w:val="00B174A3"/>
    <w:rsid w:val="00B20A45"/>
    <w:rsid w:val="00B227C8"/>
    <w:rsid w:val="00B22C5C"/>
    <w:rsid w:val="00B23676"/>
    <w:rsid w:val="00B24F30"/>
    <w:rsid w:val="00B25B59"/>
    <w:rsid w:val="00B3191E"/>
    <w:rsid w:val="00B31ABF"/>
    <w:rsid w:val="00B3315D"/>
    <w:rsid w:val="00B33BE3"/>
    <w:rsid w:val="00B3454D"/>
    <w:rsid w:val="00B3574B"/>
    <w:rsid w:val="00B43150"/>
    <w:rsid w:val="00B443C5"/>
    <w:rsid w:val="00B45B78"/>
    <w:rsid w:val="00B51860"/>
    <w:rsid w:val="00B5329D"/>
    <w:rsid w:val="00B539BF"/>
    <w:rsid w:val="00B53B5D"/>
    <w:rsid w:val="00B54BCF"/>
    <w:rsid w:val="00B6055E"/>
    <w:rsid w:val="00B6317D"/>
    <w:rsid w:val="00B64F55"/>
    <w:rsid w:val="00B71D61"/>
    <w:rsid w:val="00B7723F"/>
    <w:rsid w:val="00B77B3B"/>
    <w:rsid w:val="00B80534"/>
    <w:rsid w:val="00B806BC"/>
    <w:rsid w:val="00B816F0"/>
    <w:rsid w:val="00B8433C"/>
    <w:rsid w:val="00B86252"/>
    <w:rsid w:val="00B866B9"/>
    <w:rsid w:val="00B87491"/>
    <w:rsid w:val="00B92D35"/>
    <w:rsid w:val="00B9312B"/>
    <w:rsid w:val="00B94AEC"/>
    <w:rsid w:val="00B94EE5"/>
    <w:rsid w:val="00B96CD3"/>
    <w:rsid w:val="00B97389"/>
    <w:rsid w:val="00BA017E"/>
    <w:rsid w:val="00BA0B09"/>
    <w:rsid w:val="00BA126E"/>
    <w:rsid w:val="00BA29E9"/>
    <w:rsid w:val="00BA38D6"/>
    <w:rsid w:val="00BA61EB"/>
    <w:rsid w:val="00BA6A84"/>
    <w:rsid w:val="00BA7142"/>
    <w:rsid w:val="00BA7516"/>
    <w:rsid w:val="00BB237C"/>
    <w:rsid w:val="00BB41A3"/>
    <w:rsid w:val="00BC02F3"/>
    <w:rsid w:val="00BC1508"/>
    <w:rsid w:val="00BC235F"/>
    <w:rsid w:val="00BC2B76"/>
    <w:rsid w:val="00BC32DC"/>
    <w:rsid w:val="00BC35B6"/>
    <w:rsid w:val="00BC3A68"/>
    <w:rsid w:val="00BC498C"/>
    <w:rsid w:val="00BC72E2"/>
    <w:rsid w:val="00BD1B51"/>
    <w:rsid w:val="00BD20E5"/>
    <w:rsid w:val="00BD2FEC"/>
    <w:rsid w:val="00BD3957"/>
    <w:rsid w:val="00BD4596"/>
    <w:rsid w:val="00BE1405"/>
    <w:rsid w:val="00BE16A7"/>
    <w:rsid w:val="00BE312D"/>
    <w:rsid w:val="00BE7993"/>
    <w:rsid w:val="00BF1C20"/>
    <w:rsid w:val="00BF467E"/>
    <w:rsid w:val="00C00581"/>
    <w:rsid w:val="00C00673"/>
    <w:rsid w:val="00C03729"/>
    <w:rsid w:val="00C05F45"/>
    <w:rsid w:val="00C06772"/>
    <w:rsid w:val="00C10578"/>
    <w:rsid w:val="00C10A7D"/>
    <w:rsid w:val="00C12CA4"/>
    <w:rsid w:val="00C135BC"/>
    <w:rsid w:val="00C14E2F"/>
    <w:rsid w:val="00C15C95"/>
    <w:rsid w:val="00C17F82"/>
    <w:rsid w:val="00C2295D"/>
    <w:rsid w:val="00C24DA2"/>
    <w:rsid w:val="00C2596A"/>
    <w:rsid w:val="00C27537"/>
    <w:rsid w:val="00C328FE"/>
    <w:rsid w:val="00C32EBB"/>
    <w:rsid w:val="00C333D6"/>
    <w:rsid w:val="00C33507"/>
    <w:rsid w:val="00C352CF"/>
    <w:rsid w:val="00C36A20"/>
    <w:rsid w:val="00C379C2"/>
    <w:rsid w:val="00C40CDB"/>
    <w:rsid w:val="00C41235"/>
    <w:rsid w:val="00C4409D"/>
    <w:rsid w:val="00C44E28"/>
    <w:rsid w:val="00C44E72"/>
    <w:rsid w:val="00C45A06"/>
    <w:rsid w:val="00C45A56"/>
    <w:rsid w:val="00C46323"/>
    <w:rsid w:val="00C477AC"/>
    <w:rsid w:val="00C479D9"/>
    <w:rsid w:val="00C47E5B"/>
    <w:rsid w:val="00C52B8B"/>
    <w:rsid w:val="00C5371A"/>
    <w:rsid w:val="00C547A6"/>
    <w:rsid w:val="00C57DDA"/>
    <w:rsid w:val="00C6027B"/>
    <w:rsid w:val="00C61298"/>
    <w:rsid w:val="00C61E4B"/>
    <w:rsid w:val="00C61F6B"/>
    <w:rsid w:val="00C61FD0"/>
    <w:rsid w:val="00C624E6"/>
    <w:rsid w:val="00C62A31"/>
    <w:rsid w:val="00C6399B"/>
    <w:rsid w:val="00C64BFF"/>
    <w:rsid w:val="00C666BA"/>
    <w:rsid w:val="00C704E9"/>
    <w:rsid w:val="00C75D0D"/>
    <w:rsid w:val="00C763C9"/>
    <w:rsid w:val="00C80057"/>
    <w:rsid w:val="00C82232"/>
    <w:rsid w:val="00C82913"/>
    <w:rsid w:val="00C859F9"/>
    <w:rsid w:val="00C85B77"/>
    <w:rsid w:val="00C86EE4"/>
    <w:rsid w:val="00C9014D"/>
    <w:rsid w:val="00C93452"/>
    <w:rsid w:val="00C942C0"/>
    <w:rsid w:val="00C96049"/>
    <w:rsid w:val="00C96D65"/>
    <w:rsid w:val="00C972B1"/>
    <w:rsid w:val="00CA09AD"/>
    <w:rsid w:val="00CA1D0C"/>
    <w:rsid w:val="00CA2CCE"/>
    <w:rsid w:val="00CA3A95"/>
    <w:rsid w:val="00CA43FD"/>
    <w:rsid w:val="00CA6902"/>
    <w:rsid w:val="00CA7EF8"/>
    <w:rsid w:val="00CB01E6"/>
    <w:rsid w:val="00CB18FA"/>
    <w:rsid w:val="00CB43FD"/>
    <w:rsid w:val="00CB6303"/>
    <w:rsid w:val="00CB7CF1"/>
    <w:rsid w:val="00CC34E2"/>
    <w:rsid w:val="00CC489B"/>
    <w:rsid w:val="00CC7BA4"/>
    <w:rsid w:val="00CD17B9"/>
    <w:rsid w:val="00CD2936"/>
    <w:rsid w:val="00CD2BCD"/>
    <w:rsid w:val="00CD3364"/>
    <w:rsid w:val="00CD3A4C"/>
    <w:rsid w:val="00CD4802"/>
    <w:rsid w:val="00CD5AFB"/>
    <w:rsid w:val="00CD6E05"/>
    <w:rsid w:val="00CE013E"/>
    <w:rsid w:val="00CE10E9"/>
    <w:rsid w:val="00CE2910"/>
    <w:rsid w:val="00CE5393"/>
    <w:rsid w:val="00CE5A0C"/>
    <w:rsid w:val="00CF36BE"/>
    <w:rsid w:val="00CF3E26"/>
    <w:rsid w:val="00CF6000"/>
    <w:rsid w:val="00D003F3"/>
    <w:rsid w:val="00D01586"/>
    <w:rsid w:val="00D022AF"/>
    <w:rsid w:val="00D02A46"/>
    <w:rsid w:val="00D0364F"/>
    <w:rsid w:val="00D04043"/>
    <w:rsid w:val="00D06834"/>
    <w:rsid w:val="00D06B75"/>
    <w:rsid w:val="00D11044"/>
    <w:rsid w:val="00D1244E"/>
    <w:rsid w:val="00D20C0A"/>
    <w:rsid w:val="00D21519"/>
    <w:rsid w:val="00D22502"/>
    <w:rsid w:val="00D24425"/>
    <w:rsid w:val="00D308ED"/>
    <w:rsid w:val="00D336E1"/>
    <w:rsid w:val="00D341D0"/>
    <w:rsid w:val="00D351F0"/>
    <w:rsid w:val="00D35CA0"/>
    <w:rsid w:val="00D36C52"/>
    <w:rsid w:val="00D36D86"/>
    <w:rsid w:val="00D428AA"/>
    <w:rsid w:val="00D45719"/>
    <w:rsid w:val="00D466B4"/>
    <w:rsid w:val="00D50A34"/>
    <w:rsid w:val="00D53593"/>
    <w:rsid w:val="00D53EFA"/>
    <w:rsid w:val="00D545EC"/>
    <w:rsid w:val="00D60C94"/>
    <w:rsid w:val="00D62793"/>
    <w:rsid w:val="00D62D05"/>
    <w:rsid w:val="00D66D33"/>
    <w:rsid w:val="00D66E8A"/>
    <w:rsid w:val="00D74AED"/>
    <w:rsid w:val="00D74FA0"/>
    <w:rsid w:val="00D76BE8"/>
    <w:rsid w:val="00D76FB1"/>
    <w:rsid w:val="00D77BE1"/>
    <w:rsid w:val="00D80135"/>
    <w:rsid w:val="00D807A2"/>
    <w:rsid w:val="00D8240D"/>
    <w:rsid w:val="00D84EEE"/>
    <w:rsid w:val="00D918D3"/>
    <w:rsid w:val="00D94A7C"/>
    <w:rsid w:val="00D95896"/>
    <w:rsid w:val="00D9684B"/>
    <w:rsid w:val="00DA188D"/>
    <w:rsid w:val="00DA66A3"/>
    <w:rsid w:val="00DB0DE5"/>
    <w:rsid w:val="00DB162D"/>
    <w:rsid w:val="00DB23B7"/>
    <w:rsid w:val="00DB2983"/>
    <w:rsid w:val="00DB7CF3"/>
    <w:rsid w:val="00DC1257"/>
    <w:rsid w:val="00DC3C12"/>
    <w:rsid w:val="00DC3DC0"/>
    <w:rsid w:val="00DC500A"/>
    <w:rsid w:val="00DC59C5"/>
    <w:rsid w:val="00DC5B2B"/>
    <w:rsid w:val="00DD1543"/>
    <w:rsid w:val="00DD16D5"/>
    <w:rsid w:val="00DD1D05"/>
    <w:rsid w:val="00DD318D"/>
    <w:rsid w:val="00DD5714"/>
    <w:rsid w:val="00DD655F"/>
    <w:rsid w:val="00DE3CDE"/>
    <w:rsid w:val="00DE69AB"/>
    <w:rsid w:val="00DF17E0"/>
    <w:rsid w:val="00DF18E5"/>
    <w:rsid w:val="00DF2E12"/>
    <w:rsid w:val="00DF451A"/>
    <w:rsid w:val="00DF514A"/>
    <w:rsid w:val="00DF5197"/>
    <w:rsid w:val="00DF6690"/>
    <w:rsid w:val="00DF6804"/>
    <w:rsid w:val="00E00093"/>
    <w:rsid w:val="00E0225E"/>
    <w:rsid w:val="00E0358D"/>
    <w:rsid w:val="00E042CD"/>
    <w:rsid w:val="00E04323"/>
    <w:rsid w:val="00E05A9E"/>
    <w:rsid w:val="00E065C2"/>
    <w:rsid w:val="00E070A2"/>
    <w:rsid w:val="00E10FB5"/>
    <w:rsid w:val="00E177EF"/>
    <w:rsid w:val="00E17DF8"/>
    <w:rsid w:val="00E21045"/>
    <w:rsid w:val="00E21E6B"/>
    <w:rsid w:val="00E24EEF"/>
    <w:rsid w:val="00E2656A"/>
    <w:rsid w:val="00E319CA"/>
    <w:rsid w:val="00E31A01"/>
    <w:rsid w:val="00E35277"/>
    <w:rsid w:val="00E412D0"/>
    <w:rsid w:val="00E41734"/>
    <w:rsid w:val="00E43889"/>
    <w:rsid w:val="00E4556C"/>
    <w:rsid w:val="00E53144"/>
    <w:rsid w:val="00E54A4E"/>
    <w:rsid w:val="00E55193"/>
    <w:rsid w:val="00E553BF"/>
    <w:rsid w:val="00E56322"/>
    <w:rsid w:val="00E564C1"/>
    <w:rsid w:val="00E60982"/>
    <w:rsid w:val="00E61F60"/>
    <w:rsid w:val="00E62C62"/>
    <w:rsid w:val="00E634D8"/>
    <w:rsid w:val="00E651D5"/>
    <w:rsid w:val="00E654C1"/>
    <w:rsid w:val="00E657C1"/>
    <w:rsid w:val="00E65AE2"/>
    <w:rsid w:val="00E65D97"/>
    <w:rsid w:val="00E66DFE"/>
    <w:rsid w:val="00E67C7F"/>
    <w:rsid w:val="00E72A5A"/>
    <w:rsid w:val="00E73354"/>
    <w:rsid w:val="00E73BFD"/>
    <w:rsid w:val="00E7748B"/>
    <w:rsid w:val="00E80F90"/>
    <w:rsid w:val="00E81E0D"/>
    <w:rsid w:val="00E83C4A"/>
    <w:rsid w:val="00E867E7"/>
    <w:rsid w:val="00E8771B"/>
    <w:rsid w:val="00E87E06"/>
    <w:rsid w:val="00E91BD6"/>
    <w:rsid w:val="00E92037"/>
    <w:rsid w:val="00E9242D"/>
    <w:rsid w:val="00EA03C1"/>
    <w:rsid w:val="00EA4ABE"/>
    <w:rsid w:val="00EA564E"/>
    <w:rsid w:val="00EB037A"/>
    <w:rsid w:val="00EB2BE8"/>
    <w:rsid w:val="00EB4290"/>
    <w:rsid w:val="00EB4AAC"/>
    <w:rsid w:val="00EB4BFE"/>
    <w:rsid w:val="00EB5255"/>
    <w:rsid w:val="00EB5C47"/>
    <w:rsid w:val="00EB6EED"/>
    <w:rsid w:val="00EC42E1"/>
    <w:rsid w:val="00EC634A"/>
    <w:rsid w:val="00EC7817"/>
    <w:rsid w:val="00ED0639"/>
    <w:rsid w:val="00ED10AF"/>
    <w:rsid w:val="00ED4C0D"/>
    <w:rsid w:val="00ED5153"/>
    <w:rsid w:val="00ED57F6"/>
    <w:rsid w:val="00ED7AE9"/>
    <w:rsid w:val="00EE0964"/>
    <w:rsid w:val="00EE12C6"/>
    <w:rsid w:val="00EE1F7D"/>
    <w:rsid w:val="00EE34E4"/>
    <w:rsid w:val="00EE6E70"/>
    <w:rsid w:val="00EE712E"/>
    <w:rsid w:val="00EF340C"/>
    <w:rsid w:val="00EF4755"/>
    <w:rsid w:val="00EF6EC9"/>
    <w:rsid w:val="00EF7135"/>
    <w:rsid w:val="00EF724D"/>
    <w:rsid w:val="00EF73FA"/>
    <w:rsid w:val="00F024D8"/>
    <w:rsid w:val="00F027DB"/>
    <w:rsid w:val="00F10F93"/>
    <w:rsid w:val="00F11F45"/>
    <w:rsid w:val="00F132FA"/>
    <w:rsid w:val="00F1428C"/>
    <w:rsid w:val="00F14A7A"/>
    <w:rsid w:val="00F20FD5"/>
    <w:rsid w:val="00F22985"/>
    <w:rsid w:val="00F24310"/>
    <w:rsid w:val="00F30BD9"/>
    <w:rsid w:val="00F32B2F"/>
    <w:rsid w:val="00F3383E"/>
    <w:rsid w:val="00F34025"/>
    <w:rsid w:val="00F348D7"/>
    <w:rsid w:val="00F36348"/>
    <w:rsid w:val="00F422C6"/>
    <w:rsid w:val="00F42FF1"/>
    <w:rsid w:val="00F459A8"/>
    <w:rsid w:val="00F4638F"/>
    <w:rsid w:val="00F465A7"/>
    <w:rsid w:val="00F50B7C"/>
    <w:rsid w:val="00F54282"/>
    <w:rsid w:val="00F550E6"/>
    <w:rsid w:val="00F56D0A"/>
    <w:rsid w:val="00F6065C"/>
    <w:rsid w:val="00F61BBF"/>
    <w:rsid w:val="00F6297C"/>
    <w:rsid w:val="00F62D9F"/>
    <w:rsid w:val="00F65237"/>
    <w:rsid w:val="00F6639B"/>
    <w:rsid w:val="00F70E45"/>
    <w:rsid w:val="00F718B7"/>
    <w:rsid w:val="00F721DD"/>
    <w:rsid w:val="00F73530"/>
    <w:rsid w:val="00F74345"/>
    <w:rsid w:val="00F747CC"/>
    <w:rsid w:val="00F80A0A"/>
    <w:rsid w:val="00F81A57"/>
    <w:rsid w:val="00F82B19"/>
    <w:rsid w:val="00F82B1C"/>
    <w:rsid w:val="00F85205"/>
    <w:rsid w:val="00F85E72"/>
    <w:rsid w:val="00F9212D"/>
    <w:rsid w:val="00F93873"/>
    <w:rsid w:val="00F965DA"/>
    <w:rsid w:val="00FA0665"/>
    <w:rsid w:val="00FA1155"/>
    <w:rsid w:val="00FA406A"/>
    <w:rsid w:val="00FB0FC3"/>
    <w:rsid w:val="00FB164B"/>
    <w:rsid w:val="00FB4DC0"/>
    <w:rsid w:val="00FB503A"/>
    <w:rsid w:val="00FB516C"/>
    <w:rsid w:val="00FB780E"/>
    <w:rsid w:val="00FB78D2"/>
    <w:rsid w:val="00FC0C3B"/>
    <w:rsid w:val="00FC2092"/>
    <w:rsid w:val="00FC20AA"/>
    <w:rsid w:val="00FC2E81"/>
    <w:rsid w:val="00FC37FD"/>
    <w:rsid w:val="00FC4BF3"/>
    <w:rsid w:val="00FD0236"/>
    <w:rsid w:val="00FD18F4"/>
    <w:rsid w:val="00FD1E9F"/>
    <w:rsid w:val="00FD3E7E"/>
    <w:rsid w:val="00FD54DB"/>
    <w:rsid w:val="00FD619F"/>
    <w:rsid w:val="00FE5DB5"/>
    <w:rsid w:val="00FE6C85"/>
    <w:rsid w:val="00FF0EF8"/>
    <w:rsid w:val="00FF16A3"/>
    <w:rsid w:val="00FF2632"/>
    <w:rsid w:val="00FF4C18"/>
    <w:rsid w:val="00FF587A"/>
    <w:rsid w:val="00FF705A"/>
    <w:rsid w:val="01290F7E"/>
    <w:rsid w:val="015D1E09"/>
    <w:rsid w:val="02697903"/>
    <w:rsid w:val="02F96569"/>
    <w:rsid w:val="03EA7B21"/>
    <w:rsid w:val="05F83EAE"/>
    <w:rsid w:val="063E7D85"/>
    <w:rsid w:val="06DF78D4"/>
    <w:rsid w:val="06F2019A"/>
    <w:rsid w:val="07293586"/>
    <w:rsid w:val="07295285"/>
    <w:rsid w:val="07636392"/>
    <w:rsid w:val="07770C56"/>
    <w:rsid w:val="07830DF3"/>
    <w:rsid w:val="07F7358F"/>
    <w:rsid w:val="08BD6586"/>
    <w:rsid w:val="08D329B6"/>
    <w:rsid w:val="091728CC"/>
    <w:rsid w:val="092217DD"/>
    <w:rsid w:val="093A7294"/>
    <w:rsid w:val="0A263993"/>
    <w:rsid w:val="0A2D3AC2"/>
    <w:rsid w:val="0AA755DF"/>
    <w:rsid w:val="0B120D44"/>
    <w:rsid w:val="0B1A1A6E"/>
    <w:rsid w:val="0BD27BF6"/>
    <w:rsid w:val="0C3B3C7D"/>
    <w:rsid w:val="0CAB2EAE"/>
    <w:rsid w:val="0CE41911"/>
    <w:rsid w:val="0D621C7D"/>
    <w:rsid w:val="0DAE0C04"/>
    <w:rsid w:val="0E0B2B80"/>
    <w:rsid w:val="0E73034D"/>
    <w:rsid w:val="0F13775A"/>
    <w:rsid w:val="0F5F45FE"/>
    <w:rsid w:val="0F840356"/>
    <w:rsid w:val="0F9A112B"/>
    <w:rsid w:val="0FBB45AA"/>
    <w:rsid w:val="0FBF0419"/>
    <w:rsid w:val="106D2F64"/>
    <w:rsid w:val="107A44D9"/>
    <w:rsid w:val="10B371D8"/>
    <w:rsid w:val="10B63710"/>
    <w:rsid w:val="10F10820"/>
    <w:rsid w:val="111C2F7A"/>
    <w:rsid w:val="113D262C"/>
    <w:rsid w:val="11665CA1"/>
    <w:rsid w:val="12E97742"/>
    <w:rsid w:val="13951726"/>
    <w:rsid w:val="14396509"/>
    <w:rsid w:val="14DD2C3C"/>
    <w:rsid w:val="15000BA8"/>
    <w:rsid w:val="15B52720"/>
    <w:rsid w:val="16087E1D"/>
    <w:rsid w:val="17701D14"/>
    <w:rsid w:val="177249E0"/>
    <w:rsid w:val="17735226"/>
    <w:rsid w:val="17807D99"/>
    <w:rsid w:val="17EA779E"/>
    <w:rsid w:val="189F624C"/>
    <w:rsid w:val="18DD40DB"/>
    <w:rsid w:val="1940661B"/>
    <w:rsid w:val="196D211A"/>
    <w:rsid w:val="1A1467F4"/>
    <w:rsid w:val="1A1C66C0"/>
    <w:rsid w:val="1A230A8F"/>
    <w:rsid w:val="1A42393B"/>
    <w:rsid w:val="1A501B23"/>
    <w:rsid w:val="1A8B1FA6"/>
    <w:rsid w:val="1AAD45DE"/>
    <w:rsid w:val="1B046F80"/>
    <w:rsid w:val="1B3267B5"/>
    <w:rsid w:val="1B40161D"/>
    <w:rsid w:val="1B441859"/>
    <w:rsid w:val="1B6606B1"/>
    <w:rsid w:val="1C5E7925"/>
    <w:rsid w:val="1CFD070F"/>
    <w:rsid w:val="1D5F6196"/>
    <w:rsid w:val="1D6132A5"/>
    <w:rsid w:val="1D8E56D5"/>
    <w:rsid w:val="1DF27DA7"/>
    <w:rsid w:val="1E64411F"/>
    <w:rsid w:val="1E7A43DA"/>
    <w:rsid w:val="1F2C06FD"/>
    <w:rsid w:val="1FA37113"/>
    <w:rsid w:val="1FE7539E"/>
    <w:rsid w:val="2036409D"/>
    <w:rsid w:val="20671BE0"/>
    <w:rsid w:val="208F010F"/>
    <w:rsid w:val="20963CB8"/>
    <w:rsid w:val="20A81A1B"/>
    <w:rsid w:val="20B07FB6"/>
    <w:rsid w:val="20B646FB"/>
    <w:rsid w:val="213B74B1"/>
    <w:rsid w:val="215A2310"/>
    <w:rsid w:val="21DE318A"/>
    <w:rsid w:val="21EF5B80"/>
    <w:rsid w:val="22576990"/>
    <w:rsid w:val="22E56B78"/>
    <w:rsid w:val="22F47480"/>
    <w:rsid w:val="23DE1C48"/>
    <w:rsid w:val="23DF51AB"/>
    <w:rsid w:val="240210CD"/>
    <w:rsid w:val="24BF09F7"/>
    <w:rsid w:val="252D53FE"/>
    <w:rsid w:val="25EC2D81"/>
    <w:rsid w:val="26216183"/>
    <w:rsid w:val="277057A2"/>
    <w:rsid w:val="27D92FCF"/>
    <w:rsid w:val="29206EB8"/>
    <w:rsid w:val="29595666"/>
    <w:rsid w:val="29874881"/>
    <w:rsid w:val="29E325E0"/>
    <w:rsid w:val="2A452503"/>
    <w:rsid w:val="2A9E6EC2"/>
    <w:rsid w:val="2AAB5DE7"/>
    <w:rsid w:val="2AD508A4"/>
    <w:rsid w:val="2AF91248"/>
    <w:rsid w:val="2B995746"/>
    <w:rsid w:val="2BA936A8"/>
    <w:rsid w:val="2C315A5A"/>
    <w:rsid w:val="2C4B1C25"/>
    <w:rsid w:val="2C77420D"/>
    <w:rsid w:val="2D9E56F5"/>
    <w:rsid w:val="2DC01BA9"/>
    <w:rsid w:val="2E667F96"/>
    <w:rsid w:val="2E8226AB"/>
    <w:rsid w:val="2ECD0A22"/>
    <w:rsid w:val="2FB7200C"/>
    <w:rsid w:val="2FD065E6"/>
    <w:rsid w:val="2FD96870"/>
    <w:rsid w:val="30445D22"/>
    <w:rsid w:val="30580BC9"/>
    <w:rsid w:val="306A35EB"/>
    <w:rsid w:val="3103697D"/>
    <w:rsid w:val="311E2ED7"/>
    <w:rsid w:val="315619EE"/>
    <w:rsid w:val="315C449C"/>
    <w:rsid w:val="31B82709"/>
    <w:rsid w:val="31D05482"/>
    <w:rsid w:val="32400B34"/>
    <w:rsid w:val="329E6876"/>
    <w:rsid w:val="333015F2"/>
    <w:rsid w:val="334B6320"/>
    <w:rsid w:val="33D934D4"/>
    <w:rsid w:val="33FE2F6A"/>
    <w:rsid w:val="340E07E5"/>
    <w:rsid w:val="34235BF7"/>
    <w:rsid w:val="34E04C4B"/>
    <w:rsid w:val="358C5FA8"/>
    <w:rsid w:val="35C15DF1"/>
    <w:rsid w:val="36074A7F"/>
    <w:rsid w:val="3633311B"/>
    <w:rsid w:val="36923549"/>
    <w:rsid w:val="36B75FBF"/>
    <w:rsid w:val="36BD0C45"/>
    <w:rsid w:val="37E00298"/>
    <w:rsid w:val="38021C98"/>
    <w:rsid w:val="383D7B48"/>
    <w:rsid w:val="38B302F9"/>
    <w:rsid w:val="38F12CD3"/>
    <w:rsid w:val="38F94775"/>
    <w:rsid w:val="392971ED"/>
    <w:rsid w:val="39325651"/>
    <w:rsid w:val="39EC3562"/>
    <w:rsid w:val="39F07CBA"/>
    <w:rsid w:val="39F72DF7"/>
    <w:rsid w:val="3A872856"/>
    <w:rsid w:val="3B3763D1"/>
    <w:rsid w:val="3BD53EBF"/>
    <w:rsid w:val="3C2F6E1E"/>
    <w:rsid w:val="3C4F64BA"/>
    <w:rsid w:val="3C9847C3"/>
    <w:rsid w:val="3CDA245A"/>
    <w:rsid w:val="3D1448E2"/>
    <w:rsid w:val="3D1E06B7"/>
    <w:rsid w:val="3D6B569D"/>
    <w:rsid w:val="3E9B346D"/>
    <w:rsid w:val="3EA03A5D"/>
    <w:rsid w:val="3EAA7B25"/>
    <w:rsid w:val="3EDA0523"/>
    <w:rsid w:val="3F4202DD"/>
    <w:rsid w:val="40324B88"/>
    <w:rsid w:val="407A6407"/>
    <w:rsid w:val="4200449D"/>
    <w:rsid w:val="42116A20"/>
    <w:rsid w:val="423A3BCC"/>
    <w:rsid w:val="424E57D2"/>
    <w:rsid w:val="42671AEE"/>
    <w:rsid w:val="42B26C49"/>
    <w:rsid w:val="42CF4BFA"/>
    <w:rsid w:val="43016A94"/>
    <w:rsid w:val="433A6FE6"/>
    <w:rsid w:val="43480868"/>
    <w:rsid w:val="4350713C"/>
    <w:rsid w:val="436653E0"/>
    <w:rsid w:val="43981111"/>
    <w:rsid w:val="43C4431A"/>
    <w:rsid w:val="44B951CC"/>
    <w:rsid w:val="44CD14E0"/>
    <w:rsid w:val="44F20B0B"/>
    <w:rsid w:val="44F31998"/>
    <w:rsid w:val="44F543D6"/>
    <w:rsid w:val="452E5F4C"/>
    <w:rsid w:val="45612018"/>
    <w:rsid w:val="458946E9"/>
    <w:rsid w:val="458D50F5"/>
    <w:rsid w:val="45A47C0E"/>
    <w:rsid w:val="45C75919"/>
    <w:rsid w:val="46577FD6"/>
    <w:rsid w:val="46D955A7"/>
    <w:rsid w:val="47133957"/>
    <w:rsid w:val="472308FA"/>
    <w:rsid w:val="47A07E0C"/>
    <w:rsid w:val="47DF7D38"/>
    <w:rsid w:val="4870272E"/>
    <w:rsid w:val="49DC7715"/>
    <w:rsid w:val="4A023139"/>
    <w:rsid w:val="4A460D12"/>
    <w:rsid w:val="4A7B576F"/>
    <w:rsid w:val="4AF561A9"/>
    <w:rsid w:val="4B7A5068"/>
    <w:rsid w:val="4C4A0649"/>
    <w:rsid w:val="4C7E5ECA"/>
    <w:rsid w:val="4C876AA5"/>
    <w:rsid w:val="4D0E00FB"/>
    <w:rsid w:val="4D176606"/>
    <w:rsid w:val="4DA0642B"/>
    <w:rsid w:val="4DEC4FB0"/>
    <w:rsid w:val="4DF416CF"/>
    <w:rsid w:val="4E075D8A"/>
    <w:rsid w:val="4E7B1F6C"/>
    <w:rsid w:val="4EC00FAD"/>
    <w:rsid w:val="4F112AFC"/>
    <w:rsid w:val="4F9843DC"/>
    <w:rsid w:val="4FC62A8C"/>
    <w:rsid w:val="4FE20F0D"/>
    <w:rsid w:val="4FE51552"/>
    <w:rsid w:val="50504C4B"/>
    <w:rsid w:val="509C6E7C"/>
    <w:rsid w:val="5162104E"/>
    <w:rsid w:val="517A7F1D"/>
    <w:rsid w:val="52766C01"/>
    <w:rsid w:val="52DE294E"/>
    <w:rsid w:val="53973965"/>
    <w:rsid w:val="53A039CC"/>
    <w:rsid w:val="53A1505A"/>
    <w:rsid w:val="54063E08"/>
    <w:rsid w:val="543437E8"/>
    <w:rsid w:val="54F73313"/>
    <w:rsid w:val="54F80955"/>
    <w:rsid w:val="555170A7"/>
    <w:rsid w:val="5587536D"/>
    <w:rsid w:val="559B174B"/>
    <w:rsid w:val="55CE0CF4"/>
    <w:rsid w:val="5602594E"/>
    <w:rsid w:val="566B44F9"/>
    <w:rsid w:val="56B22A9C"/>
    <w:rsid w:val="57B72A76"/>
    <w:rsid w:val="57C3426C"/>
    <w:rsid w:val="57C87729"/>
    <w:rsid w:val="57CE1F93"/>
    <w:rsid w:val="57E02CC4"/>
    <w:rsid w:val="58433990"/>
    <w:rsid w:val="587E5B38"/>
    <w:rsid w:val="588743D1"/>
    <w:rsid w:val="5887701A"/>
    <w:rsid w:val="594A45DE"/>
    <w:rsid w:val="59C0439F"/>
    <w:rsid w:val="59FD0258"/>
    <w:rsid w:val="5A1B2AF4"/>
    <w:rsid w:val="5A684C17"/>
    <w:rsid w:val="5A842EC4"/>
    <w:rsid w:val="5ABE2233"/>
    <w:rsid w:val="5B5F3BF2"/>
    <w:rsid w:val="5B8700F8"/>
    <w:rsid w:val="5BDF5D95"/>
    <w:rsid w:val="5BFE7528"/>
    <w:rsid w:val="5C9C18B0"/>
    <w:rsid w:val="5CA007B5"/>
    <w:rsid w:val="5D731134"/>
    <w:rsid w:val="5E2467F1"/>
    <w:rsid w:val="5E6409C8"/>
    <w:rsid w:val="5E8720EC"/>
    <w:rsid w:val="5F1A2B43"/>
    <w:rsid w:val="5FB837BB"/>
    <w:rsid w:val="5FEB06C4"/>
    <w:rsid w:val="600E19BC"/>
    <w:rsid w:val="606D714B"/>
    <w:rsid w:val="60CC405A"/>
    <w:rsid w:val="60D57BCF"/>
    <w:rsid w:val="6188767B"/>
    <w:rsid w:val="61E215D8"/>
    <w:rsid w:val="621B3775"/>
    <w:rsid w:val="62364782"/>
    <w:rsid w:val="62606EDB"/>
    <w:rsid w:val="631A4E99"/>
    <w:rsid w:val="6394356A"/>
    <w:rsid w:val="63C61B2C"/>
    <w:rsid w:val="63D40BE9"/>
    <w:rsid w:val="64102431"/>
    <w:rsid w:val="642E7C43"/>
    <w:rsid w:val="64A5243A"/>
    <w:rsid w:val="64B21544"/>
    <w:rsid w:val="64E33DF4"/>
    <w:rsid w:val="64F531DE"/>
    <w:rsid w:val="65241EC4"/>
    <w:rsid w:val="65373578"/>
    <w:rsid w:val="671F124A"/>
    <w:rsid w:val="677A33C6"/>
    <w:rsid w:val="681F6961"/>
    <w:rsid w:val="68610A2F"/>
    <w:rsid w:val="68805514"/>
    <w:rsid w:val="69052C87"/>
    <w:rsid w:val="69316E2F"/>
    <w:rsid w:val="69330974"/>
    <w:rsid w:val="694E2071"/>
    <w:rsid w:val="69500C87"/>
    <w:rsid w:val="69766163"/>
    <w:rsid w:val="697A3B33"/>
    <w:rsid w:val="69D44760"/>
    <w:rsid w:val="6A12038A"/>
    <w:rsid w:val="6A520EC7"/>
    <w:rsid w:val="6AF87E20"/>
    <w:rsid w:val="6B322639"/>
    <w:rsid w:val="6B3F2712"/>
    <w:rsid w:val="6C0D684B"/>
    <w:rsid w:val="6C636C38"/>
    <w:rsid w:val="6CB87914"/>
    <w:rsid w:val="6CBC5656"/>
    <w:rsid w:val="6D390A55"/>
    <w:rsid w:val="6DB34098"/>
    <w:rsid w:val="6DB545B6"/>
    <w:rsid w:val="6DE02FB4"/>
    <w:rsid w:val="6DE07122"/>
    <w:rsid w:val="6E3F02ED"/>
    <w:rsid w:val="6E514CED"/>
    <w:rsid w:val="6EB563D5"/>
    <w:rsid w:val="6ED92677"/>
    <w:rsid w:val="6EE83F62"/>
    <w:rsid w:val="6F225983"/>
    <w:rsid w:val="6FB50061"/>
    <w:rsid w:val="6FEB0BC2"/>
    <w:rsid w:val="6FFC5590"/>
    <w:rsid w:val="706D1DD0"/>
    <w:rsid w:val="70856B87"/>
    <w:rsid w:val="70D527EE"/>
    <w:rsid w:val="711F61B4"/>
    <w:rsid w:val="715B5300"/>
    <w:rsid w:val="71D27F8A"/>
    <w:rsid w:val="72553024"/>
    <w:rsid w:val="73086754"/>
    <w:rsid w:val="73122968"/>
    <w:rsid w:val="731F5D5E"/>
    <w:rsid w:val="73C51AD5"/>
    <w:rsid w:val="73E67C08"/>
    <w:rsid w:val="741E793C"/>
    <w:rsid w:val="743777BB"/>
    <w:rsid w:val="745E3944"/>
    <w:rsid w:val="75BC1094"/>
    <w:rsid w:val="7635099D"/>
    <w:rsid w:val="76503306"/>
    <w:rsid w:val="77762421"/>
    <w:rsid w:val="778D7873"/>
    <w:rsid w:val="77B56B1F"/>
    <w:rsid w:val="780F09F4"/>
    <w:rsid w:val="78A90480"/>
    <w:rsid w:val="79D71381"/>
    <w:rsid w:val="7A364017"/>
    <w:rsid w:val="7A8265E1"/>
    <w:rsid w:val="7B0338CD"/>
    <w:rsid w:val="7B686D42"/>
    <w:rsid w:val="7B841746"/>
    <w:rsid w:val="7BAE39B3"/>
    <w:rsid w:val="7C6C5AC7"/>
    <w:rsid w:val="7CC6544B"/>
    <w:rsid w:val="7D0239FF"/>
    <w:rsid w:val="7D5E40CD"/>
    <w:rsid w:val="7DCD56F2"/>
    <w:rsid w:val="7E1130F1"/>
    <w:rsid w:val="7EB66383"/>
    <w:rsid w:val="7F001CE7"/>
    <w:rsid w:val="7F062761"/>
    <w:rsid w:val="7FD073BE"/>
    <w:rsid w:val="7FE47E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doNotEmbedSmartTag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ocked="1"/>
    <w:lsdException w:qFormat="1" w:unhideWhenUsed="0" w:uiPriority="0" w:semiHidden="0" w:name="heading 2" w:locked="1"/>
    <w:lsdException w:qFormat="1" w:unhideWhenUsed="0" w:uiPriority="0" w:semiHidden="0" w:name="heading 3" w:locked="1"/>
    <w:lsdException w:qFormat="1" w:unhideWhenUsed="0" w:uiPriority="0" w:semiHidden="0" w:name="heading 4" w:locked="1"/>
    <w:lsdException w:qFormat="1" w:unhideWhenUsed="0" w:uiPriority="0" w:semiHidden="0" w:name="heading 5" w:locked="1"/>
    <w:lsdException w:qFormat="1" w:unhideWhenUsed="0" w:uiPriority="0" w:semiHidden="0" w:name="heading 6" w:locked="1"/>
    <w:lsdException w:qFormat="1" w:unhideWhenUsed="0" w:uiPriority="0" w:semiHidden="0" w:name="heading 7" w:locked="1"/>
    <w:lsdException w:qFormat="1" w:unhideWhenUsed="0" w:uiPriority="0" w:semiHidden="0" w:name="heading 8" w:locked="1"/>
    <w:lsdException w:qFormat="1" w:unhideWhenUsed="0" w:uiPriority="0" w:semiHidden="0" w:name="heading 9" w:locked="1"/>
    <w:lsdException w:unhideWhenUsed="0" w:uiPriority="0" w:semiHidden="0" w:name="index 1" w:locked="1"/>
    <w:lsdException w:unhideWhenUsed="0" w:uiPriority="0" w:semiHidden="0" w:name="index 2" w:locked="1"/>
    <w:lsdException w:unhideWhenUsed="0" w:uiPriority="0" w:semiHidden="0" w:name="index 3" w:locked="1"/>
    <w:lsdException w:unhideWhenUsed="0" w:uiPriority="0" w:semiHidden="0" w:name="index 4" w:locked="1"/>
    <w:lsdException w:unhideWhenUsed="0" w:uiPriority="0" w:semiHidden="0" w:name="index 5" w:locked="1"/>
    <w:lsdException w:unhideWhenUsed="0" w:uiPriority="0" w:semiHidden="0" w:name="index 6" w:locked="1"/>
    <w:lsdException w:unhideWhenUsed="0" w:uiPriority="0" w:semiHidden="0" w:name="index 7" w:locked="1"/>
    <w:lsdException w:unhideWhenUsed="0" w:uiPriority="0" w:semiHidden="0" w:name="index 8" w:locked="1"/>
    <w:lsdException w:unhideWhenUsed="0" w:uiPriority="0" w:semiHidden="0" w:name="index 9" w:locked="1"/>
    <w:lsdException w:qFormat="1" w:uiPriority="39" w:semiHidden="0" w:name="toc 1" w:locked="1"/>
    <w:lsdException w:qFormat="1" w:unhideWhenUsed="0" w:uiPriority="0" w:semiHidden="0" w:name="toc 2" w:locked="1"/>
    <w:lsdException w:qFormat="1" w:unhideWhenUsed="0" w:uiPriority="39" w:semiHidden="0" w:name="toc 3" w:locked="1"/>
    <w:lsdException w:unhideWhenUsed="0" w:uiPriority="0" w:semiHidden="0" w:name="toc 4" w:locked="1"/>
    <w:lsdException w:qFormat="1" w:unhideWhenUsed="0" w:uiPriority="0" w:semiHidden="0" w:name="toc 5" w:locked="1"/>
    <w:lsdException w:unhideWhenUsed="0" w:uiPriority="0" w:semiHidden="0" w:name="toc 6" w:locked="1"/>
    <w:lsdException w:unhideWhenUsed="0" w:uiPriority="0" w:semiHidden="0" w:name="toc 7" w:locked="1"/>
    <w:lsdException w:unhideWhenUsed="0" w:uiPriority="0" w:semiHidden="0" w:name="toc 8" w:locked="1"/>
    <w:lsdException w:unhideWhenUsed="0" w:uiPriority="0" w:semiHidden="0" w:name="toc 9" w:locked="1"/>
    <w:lsdException w:qFormat="1" w:unhideWhenUsed="0" w:uiPriority="0" w:semiHidden="0" w:name="Normal Indent" w:locked="1"/>
    <w:lsdException w:qFormat="1" w:uiPriority="99" w:semiHidden="0" w:name="footnote text" w:locked="1"/>
    <w:lsdException w:qFormat="1" w:unhideWhenUsed="0" w:uiPriority="0" w:semiHidden="0" w:name="annotation text"/>
    <w:lsdException w:qFormat="1" w:unhideWhenUsed="0" w:uiPriority="0" w:semiHidden="0" w:name="header"/>
    <w:lsdException w:qFormat="1" w:unhideWhenUsed="0" w:uiPriority="99" w:semiHidden="0" w:name="footer"/>
    <w:lsdException w:unhideWhenUsed="0" w:uiPriority="0" w:semiHidden="0" w:name="index heading" w:locked="1"/>
    <w:lsdException w:qFormat="1" w:unhideWhenUsed="0" w:uiPriority="0" w:semiHidden="0" w:name="caption" w:locked="1"/>
    <w:lsdException w:unhideWhenUsed="0" w:uiPriority="0" w:semiHidden="0" w:name="table of figures" w:locked="1"/>
    <w:lsdException w:unhideWhenUsed="0" w:uiPriority="0" w:semiHidden="0" w:name="envelope address" w:locked="1"/>
    <w:lsdException w:unhideWhenUsed="0" w:uiPriority="0" w:semiHidden="0" w:name="envelope return" w:locked="1"/>
    <w:lsdException w:qFormat="1" w:uiPriority="99" w:semiHidden="0" w:name="footnote reference" w:locked="1"/>
    <w:lsdException w:qFormat="1" w:unhideWhenUsed="0" w:uiPriority="0" w:semiHidden="0" w:name="annotation reference"/>
    <w:lsdException w:unhideWhenUsed="0" w:uiPriority="0" w:semiHidden="0" w:name="line number" w:locked="1"/>
    <w:lsdException w:qFormat="1" w:unhideWhenUsed="0" w:uiPriority="0" w:semiHidden="0" w:name="page number" w:locked="1"/>
    <w:lsdException w:unhideWhenUsed="0" w:uiPriority="0" w:semiHidden="0" w:name="endnote reference" w:locked="1"/>
    <w:lsdException w:unhideWhenUsed="0" w:uiPriority="0" w:semiHidden="0" w:name="endnote text" w:locked="1"/>
    <w:lsdException w:qFormat="1" w:unhideWhenUsed="0" w:uiPriority="0" w:semiHidden="0" w:name="table of authorities" w:locked="1"/>
    <w:lsdException w:unhideWhenUsed="0" w:uiPriority="0" w:semiHidden="0" w:name="macro" w:locked="1"/>
    <w:lsdException w:unhideWhenUsed="0" w:uiPriority="0" w:semiHidden="0" w:name="toa heading" w:locked="1"/>
    <w:lsdException w:qFormat="1" w:uiPriority="0" w:semiHidden="0" w:name="List" w:locked="1"/>
    <w:lsdException w:unhideWhenUsed="0" w:uiPriority="0" w:semiHidden="0" w:name="List Bullet" w:locked="1"/>
    <w:lsdException w:unhideWhenUsed="0" w:uiPriority="0" w:semiHidden="0" w:name="List Number" w:locked="1"/>
    <w:lsdException w:unhideWhenUsed="0" w:uiPriority="0" w:semiHidden="0" w:name="List 2" w:locked="1"/>
    <w:lsdException w:unhideWhenUsed="0" w:uiPriority="0" w:semiHidden="0" w:name="List 3" w:locked="1"/>
    <w:lsdException w:unhideWhenUsed="0" w:uiPriority="0" w:semiHidden="0" w:name="List 4" w:locked="1"/>
    <w:lsdException w:unhideWhenUsed="0" w:uiPriority="0" w:semiHidden="0" w:name="List 5" w:locked="1"/>
    <w:lsdException w:unhideWhenUsed="0" w:uiPriority="0" w:semiHidden="0" w:name="List Bullet 2" w:locked="1"/>
    <w:lsdException w:unhideWhenUsed="0" w:uiPriority="0" w:semiHidden="0" w:name="List Bullet 3" w:locked="1"/>
    <w:lsdException w:unhideWhenUsed="0" w:uiPriority="0" w:semiHidden="0" w:name="List Bullet 4" w:locked="1"/>
    <w:lsdException w:unhideWhenUsed="0" w:uiPriority="0" w:semiHidden="0" w:name="List Bullet 5" w:locked="1"/>
    <w:lsdException w:unhideWhenUsed="0" w:uiPriority="0" w:semiHidden="0" w:name="List Number 2" w:locked="1"/>
    <w:lsdException w:unhideWhenUsed="0" w:uiPriority="0" w:semiHidden="0" w:name="List Number 3" w:locked="1"/>
    <w:lsdException w:unhideWhenUsed="0" w:uiPriority="0" w:semiHidden="0" w:name="List Number 4" w:locked="1"/>
    <w:lsdException w:unhideWhenUsed="0" w:uiPriority="0" w:semiHidden="0" w:name="List Number 5" w:locked="1"/>
    <w:lsdException w:qFormat="1" w:unhideWhenUsed="0" w:uiPriority="0" w:semiHidden="0" w:name="Title" w:locked="1"/>
    <w:lsdException w:unhideWhenUsed="0" w:uiPriority="0" w:semiHidden="0" w:name="Closing" w:locked="1"/>
    <w:lsdException w:unhideWhenUsed="0" w:uiPriority="0" w:semiHidden="0" w:name="Signature" w:locked="1"/>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ocked="1"/>
    <w:lsdException w:unhideWhenUsed="0" w:uiPriority="0" w:semiHidden="0" w:name="List Continue 2" w:locked="1"/>
    <w:lsdException w:unhideWhenUsed="0" w:uiPriority="0" w:semiHidden="0" w:name="List Continue 3" w:locked="1"/>
    <w:lsdException w:unhideWhenUsed="0" w:uiPriority="0" w:semiHidden="0" w:name="List Continue 4" w:locked="1"/>
    <w:lsdException w:unhideWhenUsed="0" w:uiPriority="0" w:semiHidden="0" w:name="List Continue 5" w:locked="1"/>
    <w:lsdException w:unhideWhenUsed="0" w:uiPriority="0" w:semiHidden="0" w:name="Message Header" w:locked="1"/>
    <w:lsdException w:qFormat="1" w:unhideWhenUsed="0" w:uiPriority="0" w:semiHidden="0" w:name="Subtitle" w:locked="1"/>
    <w:lsdException w:qFormat="1" w:uiPriority="0" w:semiHidden="0" w:name="Salutation" w:locked="1"/>
    <w:lsdException w:qFormat="1" w:unhideWhenUsed="0" w:uiPriority="0" w:semiHidden="0" w:name="Date"/>
    <w:lsdException w:qFormat="1" w:uiPriority="0" w:semiHidden="0" w:name="Body Text First Indent" w:locked="1"/>
    <w:lsdException w:qFormat="1" w:uiPriority="0" w:semiHidden="0" w:name="Body Text First Indent 2" w:locked="1"/>
    <w:lsdException w:unhideWhenUsed="0" w:uiPriority="0" w:semiHidden="0" w:name="Note Heading" w:locked="1"/>
    <w:lsdException w:qFormat="1" w:uiPriority="0" w:semiHidden="0" w:name="Body Text 2" w:locked="1"/>
    <w:lsdException w:qFormat="1" w:uiPriority="0" w:semiHidden="0" w:name="Body Text 3" w:locked="1"/>
    <w:lsdException w:qFormat="1" w:uiPriority="0" w:semiHidden="0" w:name="Body Text Indent 2" w:locked="1"/>
    <w:lsdException w:qFormat="1" w:uiPriority="0" w:semiHidden="0" w:name="Body Text Indent 3" w:locked="1"/>
    <w:lsdException w:qFormat="1" w:uiPriority="0" w:semiHidden="0" w:name="Block Text" w:locked="1"/>
    <w:lsdException w:qFormat="1" w:uiPriority="99" w:semiHidden="0" w:name="Hyperlink" w:locked="1"/>
    <w:lsdException w:qFormat="1" w:uiPriority="0" w:semiHidden="0" w:name="FollowedHyperlink" w:locked="1"/>
    <w:lsdException w:qFormat="1" w:unhideWhenUsed="0" w:uiPriority="22" w:semiHidden="0" w:name="Strong" w:locked="1"/>
    <w:lsdException w:qFormat="1" w:unhideWhenUsed="0" w:uiPriority="20" w:semiHidden="0" w:name="Emphasis" w:locked="1"/>
    <w:lsdException w:qFormat="1" w:uiPriority="0" w:semiHidden="0" w:name="Document Map" w:locked="1"/>
    <w:lsdException w:qFormat="1" w:unhideWhenUsed="0" w:uiPriority="0" w:semiHidden="0" w:name="Plain Text" w:locked="1"/>
    <w:lsdException w:unhideWhenUsed="0" w:uiPriority="0" w:semiHidden="0" w:name="E-mail Signature" w:locked="1"/>
    <w:lsdException w:qFormat="1" w:unhideWhenUsed="0" w:uiPriority="99" w:semiHidden="0" w:name="Normal (Web)"/>
    <w:lsdException w:unhideWhenUsed="0" w:uiPriority="0" w:semiHidden="0" w:name="HTML Acronym" w:locked="1"/>
    <w:lsdException w:unhideWhenUsed="0" w:uiPriority="0" w:semiHidden="0" w:name="HTML Address" w:locked="1"/>
    <w:lsdException w:unhideWhenUsed="0" w:uiPriority="0" w:semiHidden="0" w:name="HTML Cite" w:locked="1"/>
    <w:lsdException w:unhideWhenUsed="0" w:uiPriority="0" w:semiHidden="0" w:name="HTML Code" w:locked="1"/>
    <w:lsdException w:unhideWhenUsed="0" w:uiPriority="0" w:semiHidden="0" w:name="HTML Definition" w:locked="1"/>
    <w:lsdException w:unhideWhenUsed="0" w:uiPriority="0" w:semiHidden="0" w:name="HTML Keyboard" w:locked="1"/>
    <w:lsdException w:qFormat="1" w:uiPriority="99" w:semiHidden="0" w:name="HTML Preformatted" w:locked="1"/>
    <w:lsdException w:unhideWhenUsed="0" w:uiPriority="0" w:semiHidden="0" w:name="HTML Sample" w:locked="1"/>
    <w:lsdException w:unhideWhenUsed="0" w:uiPriority="0" w:semiHidden="0" w:name="HTML Typewriter" w:locked="1"/>
    <w:lsdException w:unhideWhenUsed="0" w:uiPriority="0" w:semiHidden="0" w:name="HTML Variable" w:locked="1"/>
    <w:lsdException w:qFormat="1" w:uiPriority="99" w:name="Normal Table"/>
    <w:lsdException w:qFormat="1" w:unhideWhenUsed="0" w:uiPriority="0" w:semiHidden="0" w:name="annotation subject"/>
    <w:lsdException w:uiPriority="0" w:name="Table Simple 1" w:locked="1"/>
    <w:lsdException w:uiPriority="0" w:name="Table Simple 2" w:locked="1"/>
    <w:lsdException w:uiPriority="0" w:name="Table Simple 3" w:locked="1"/>
    <w:lsdException w:uiPriority="0" w:name="Table Classic 1" w:locked="1"/>
    <w:lsdException w:uiPriority="0" w:name="Table Classic 2" w:locked="1"/>
    <w:lsdException w:uiPriority="0" w:name="Table Classic 3" w:locked="1"/>
    <w:lsdException w:uiPriority="0" w:name="Table Classic 4" w:locked="1"/>
    <w:lsdException w:uiPriority="0" w:name="Table Colorful 1" w:locked="1"/>
    <w:lsdException w:uiPriority="0" w:name="Table Colorful 2" w:locked="1"/>
    <w:lsdException w:uiPriority="0" w:name="Table Colorful 3" w:locked="1"/>
    <w:lsdException w:uiPriority="0" w:name="Table Columns 1" w:locked="1"/>
    <w:lsdException w:uiPriority="0" w:name="Table Columns 2" w:locked="1"/>
    <w:lsdException w:uiPriority="0" w:name="Table Columns 3" w:locked="1"/>
    <w:lsdException w:uiPriority="0" w:name="Table Columns 4" w:locked="1"/>
    <w:lsdException w:uiPriority="0" w:name="Table Columns 5" w:locked="1"/>
    <w:lsdException w:qFormat="1" w:uiPriority="0" w:semiHidden="0" w:name="Table Grid 1" w:locked="1"/>
    <w:lsdException w:uiPriority="0" w:name="Table Grid 2" w:locked="1"/>
    <w:lsdException w:uiPriority="0" w:name="Table Grid 3" w:locked="1"/>
    <w:lsdException w:uiPriority="0" w:name="Table Grid 4" w:locked="1"/>
    <w:lsdException w:qFormat="1" w:uiPriority="0" w:semiHidden="0" w:name="Table Grid 5" w:locked="1"/>
    <w:lsdException w:uiPriority="0" w:name="Table Grid 6" w:locked="1"/>
    <w:lsdException w:uiPriority="0" w:name="Table Grid 7" w:locked="1"/>
    <w:lsdException w:uiPriority="0" w:name="Table Grid 8" w:locked="1"/>
    <w:lsdException w:uiPriority="0" w:name="Table List 1" w:locked="1"/>
    <w:lsdException w:uiPriority="0" w:name="Table List 2" w:locked="1"/>
    <w:lsdException w:uiPriority="0" w:name="Table List 3" w:locked="1"/>
    <w:lsdException w:uiPriority="0" w:name="Table List 4" w:locked="1"/>
    <w:lsdException w:uiPriority="0" w:name="Table List 5" w:locked="1"/>
    <w:lsdException w:uiPriority="0" w:name="Table List 6" w:locked="1"/>
    <w:lsdException w:uiPriority="0" w:name="Table List 7" w:locked="1"/>
    <w:lsdException w:uiPriority="0" w:name="Table List 8" w:locked="1"/>
    <w:lsdException w:uiPriority="0" w:name="Table 3D effects 1" w:locked="1"/>
    <w:lsdException w:uiPriority="0" w:name="Table 3D effects 2" w:locked="1"/>
    <w:lsdException w:uiPriority="0" w:name="Table 3D effects 3" w:locked="1"/>
    <w:lsdException w:uiPriority="0" w:name="Table Contemporary" w:locked="1"/>
    <w:lsdException w:uiPriority="0" w:name="Table Elegant" w:locked="1"/>
    <w:lsdException w:uiPriority="0" w:name="Table Professional" w:locked="1"/>
    <w:lsdException w:uiPriority="0" w:name="Table Subtle 1" w:locked="1"/>
    <w:lsdException w:uiPriority="0" w:name="Table Subtle 2" w:locked="1"/>
    <w:lsdException w:uiPriority="0" w:name="Table Web 1" w:locked="1"/>
    <w:lsdException w:uiPriority="0" w:name="Table Web 2" w:locked="1"/>
    <w:lsdException w:uiPriority="0" w:name="Table Web 3" w:locked="1"/>
    <w:lsdException w:qFormat="1" w:unhideWhenUsed="0" w:uiPriority="0" w:semiHidden="0" w:name="Balloon Text"/>
    <w:lsdException w:qFormat="1" w:unhideWhenUsed="0" w:uiPriority="0" w:semiHidden="0" w:name="Table Grid"/>
    <w:lsdException w:uiPriority="0" w:name="Table Theme" w:locked="1"/>
    <w:lsdException w:qFormat="1" w:unhideWhenUsed="0" w:uiPriority="0" w:semiHidden="0" w:name="Placeholder Text"/>
    <w:lsdException w:qFormat="1" w:unhideWhenUsed="0" w:uiPriority="1"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宋体" w:cs="Times New Roman"/>
      <w:kern w:val="2"/>
      <w:sz w:val="21"/>
      <w:szCs w:val="24"/>
      <w:lang w:val="en-US" w:eastAsia="zh-CN" w:bidi="ar-SA"/>
    </w:rPr>
  </w:style>
  <w:style w:type="paragraph" w:styleId="3">
    <w:name w:val="heading 1"/>
    <w:basedOn w:val="1"/>
    <w:next w:val="1"/>
    <w:link w:val="55"/>
    <w:qFormat/>
    <w:locked/>
    <w:uiPriority w:val="0"/>
    <w:pPr>
      <w:keepNext/>
      <w:overflowPunct w:val="0"/>
      <w:snapToGrid w:val="0"/>
      <w:spacing w:before="120" w:after="160" w:line="259" w:lineRule="auto"/>
      <w:ind w:left="432" w:hanging="432"/>
      <w:outlineLvl w:val="0"/>
    </w:pPr>
    <w:rPr>
      <w:rFonts w:eastAsia="黑体"/>
      <w:b/>
      <w:bCs/>
      <w:color w:val="000000"/>
      <w:kern w:val="44"/>
      <w:sz w:val="30"/>
      <w:szCs w:val="30"/>
    </w:rPr>
  </w:style>
  <w:style w:type="paragraph" w:styleId="2">
    <w:name w:val="heading 2"/>
    <w:basedOn w:val="1"/>
    <w:next w:val="1"/>
    <w:link w:val="56"/>
    <w:qFormat/>
    <w:locked/>
    <w:uiPriority w:val="0"/>
    <w:pPr>
      <w:keepNext/>
      <w:spacing w:line="400" w:lineRule="exact"/>
      <w:jc w:val="left"/>
      <w:outlineLvl w:val="1"/>
    </w:pPr>
    <w:rPr>
      <w:b/>
      <w:w w:val="90"/>
      <w:sz w:val="28"/>
    </w:rPr>
  </w:style>
  <w:style w:type="paragraph" w:styleId="4">
    <w:name w:val="heading 3"/>
    <w:basedOn w:val="1"/>
    <w:next w:val="1"/>
    <w:link w:val="57"/>
    <w:qFormat/>
    <w:locked/>
    <w:uiPriority w:val="0"/>
    <w:pPr>
      <w:keepNext/>
      <w:keepLines/>
      <w:spacing w:before="260" w:after="260" w:line="416" w:lineRule="auto"/>
      <w:outlineLvl w:val="2"/>
    </w:pPr>
    <w:rPr>
      <w:b/>
      <w:bCs/>
      <w:sz w:val="32"/>
      <w:szCs w:val="32"/>
    </w:rPr>
  </w:style>
  <w:style w:type="paragraph" w:styleId="5">
    <w:name w:val="heading 4"/>
    <w:basedOn w:val="1"/>
    <w:next w:val="1"/>
    <w:link w:val="58"/>
    <w:qFormat/>
    <w:locked/>
    <w:uiPriority w:val="0"/>
    <w:pPr>
      <w:keepNext/>
      <w:spacing w:line="440" w:lineRule="exact"/>
      <w:ind w:left="-50" w:right="-50"/>
      <w:jc w:val="center"/>
      <w:outlineLvl w:val="3"/>
    </w:pPr>
    <w:rPr>
      <w:sz w:val="28"/>
    </w:rPr>
  </w:style>
  <w:style w:type="paragraph" w:styleId="6">
    <w:name w:val="heading 5"/>
    <w:basedOn w:val="1"/>
    <w:next w:val="1"/>
    <w:link w:val="229"/>
    <w:qFormat/>
    <w:locked/>
    <w:uiPriority w:val="0"/>
    <w:pPr>
      <w:keepNext/>
      <w:keepLines/>
      <w:spacing w:line="420" w:lineRule="exact"/>
      <w:ind w:firstLine="560" w:firstLineChars="200"/>
      <w:jc w:val="left"/>
      <w:outlineLvl w:val="4"/>
    </w:pPr>
    <w:rPr>
      <w:rFonts w:eastAsia="华文中宋"/>
      <w:bCs/>
      <w:sz w:val="28"/>
      <w:szCs w:val="28"/>
    </w:rPr>
  </w:style>
  <w:style w:type="paragraph" w:styleId="7">
    <w:name w:val="heading 6"/>
    <w:next w:val="1"/>
    <w:link w:val="230"/>
    <w:qFormat/>
    <w:locked/>
    <w:uiPriority w:val="0"/>
    <w:pPr>
      <w:tabs>
        <w:tab w:val="left" w:pos="500"/>
        <w:tab w:val="left" w:pos="927"/>
      </w:tabs>
      <w:spacing w:line="400" w:lineRule="atLeast"/>
      <w:ind w:left="567"/>
      <w:outlineLvl w:val="5"/>
    </w:pPr>
    <w:rPr>
      <w:rFonts w:ascii="Times New Roman" w:hAnsi="Times New Roman" w:eastAsia="宋体" w:cs="Times New Roman"/>
      <w:sz w:val="24"/>
      <w:lang w:val="en-US" w:eastAsia="zh-CN" w:bidi="ar-SA"/>
    </w:rPr>
  </w:style>
  <w:style w:type="paragraph" w:styleId="8">
    <w:name w:val="heading 7"/>
    <w:basedOn w:val="1"/>
    <w:next w:val="1"/>
    <w:link w:val="59"/>
    <w:qFormat/>
    <w:locked/>
    <w:uiPriority w:val="0"/>
    <w:pPr>
      <w:keepNext/>
      <w:numPr>
        <w:ilvl w:val="0"/>
        <w:numId w:val="1"/>
      </w:numPr>
      <w:spacing w:line="348" w:lineRule="auto"/>
      <w:outlineLvl w:val="6"/>
    </w:pPr>
    <w:rPr>
      <w:color w:val="000000"/>
      <w:sz w:val="28"/>
    </w:rPr>
  </w:style>
  <w:style w:type="paragraph" w:styleId="9">
    <w:name w:val="heading 8"/>
    <w:basedOn w:val="1"/>
    <w:next w:val="1"/>
    <w:link w:val="231"/>
    <w:qFormat/>
    <w:locked/>
    <w:uiPriority w:val="0"/>
    <w:pPr>
      <w:tabs>
        <w:tab w:val="left" w:pos="500"/>
        <w:tab w:val="left" w:pos="880"/>
      </w:tabs>
      <w:spacing w:line="400" w:lineRule="atLeast"/>
      <w:jc w:val="left"/>
      <w:outlineLvl w:val="7"/>
    </w:pPr>
    <w:rPr>
      <w:rFonts w:ascii="Arial" w:hAnsi="Arial"/>
      <w:b/>
      <w:sz w:val="24"/>
      <w:szCs w:val="20"/>
    </w:rPr>
  </w:style>
  <w:style w:type="paragraph" w:styleId="10">
    <w:name w:val="heading 9"/>
    <w:basedOn w:val="1"/>
    <w:next w:val="1"/>
    <w:link w:val="232"/>
    <w:qFormat/>
    <w:locked/>
    <w:uiPriority w:val="0"/>
    <w:pPr>
      <w:tabs>
        <w:tab w:val="left" w:pos="500"/>
        <w:tab w:val="left" w:pos="840"/>
      </w:tabs>
      <w:spacing w:line="400" w:lineRule="atLeast"/>
      <w:jc w:val="left"/>
      <w:outlineLvl w:val="8"/>
    </w:pPr>
    <w:rPr>
      <w:rFonts w:ascii="Arial" w:hAnsi="Arial"/>
      <w:b/>
      <w:sz w:val="24"/>
      <w:szCs w:val="20"/>
    </w:rPr>
  </w:style>
  <w:style w:type="character" w:default="1" w:styleId="47">
    <w:name w:val="Default Paragraph Font"/>
    <w:semiHidden/>
    <w:unhideWhenUsed/>
    <w:qFormat/>
    <w:uiPriority w:val="1"/>
  </w:style>
  <w:style w:type="table" w:default="1" w:styleId="43">
    <w:name w:val="Normal Table"/>
    <w:semiHidden/>
    <w:unhideWhenUsed/>
    <w:qFormat/>
    <w:uiPriority w:val="99"/>
    <w:tblPr>
      <w:tblCellMar>
        <w:top w:w="0" w:type="dxa"/>
        <w:left w:w="108" w:type="dxa"/>
        <w:bottom w:w="0" w:type="dxa"/>
        <w:right w:w="108" w:type="dxa"/>
      </w:tblCellMar>
    </w:tblPr>
  </w:style>
  <w:style w:type="paragraph" w:styleId="11">
    <w:name w:val="table of authorities"/>
    <w:basedOn w:val="1"/>
    <w:next w:val="1"/>
    <w:qFormat/>
    <w:locked/>
    <w:uiPriority w:val="0"/>
    <w:pPr>
      <w:spacing w:line="360" w:lineRule="auto"/>
      <w:ind w:left="420" w:leftChars="200" w:firstLine="640" w:firstLineChars="200"/>
    </w:pPr>
    <w:rPr>
      <w:sz w:val="24"/>
      <w:szCs w:val="24"/>
    </w:rPr>
  </w:style>
  <w:style w:type="paragraph" w:styleId="12">
    <w:name w:val="Normal Indent"/>
    <w:basedOn w:val="1"/>
    <w:next w:val="1"/>
    <w:link w:val="60"/>
    <w:qFormat/>
    <w:locked/>
    <w:uiPriority w:val="0"/>
    <w:pPr>
      <w:spacing w:line="520" w:lineRule="exact"/>
      <w:ind w:firstLine="624"/>
    </w:pPr>
    <w:rPr>
      <w:kern w:val="0"/>
      <w:sz w:val="28"/>
      <w:szCs w:val="20"/>
    </w:rPr>
  </w:style>
  <w:style w:type="paragraph" w:styleId="13">
    <w:name w:val="caption"/>
    <w:basedOn w:val="1"/>
    <w:next w:val="1"/>
    <w:link w:val="240"/>
    <w:qFormat/>
    <w:locked/>
    <w:uiPriority w:val="0"/>
    <w:pPr>
      <w:spacing w:before="152" w:after="160"/>
    </w:pPr>
    <w:rPr>
      <w:rFonts w:ascii="Arial" w:hAnsi="Arial" w:eastAsia="黑体" w:cs="Arial"/>
      <w:sz w:val="24"/>
      <w:szCs w:val="22"/>
    </w:rPr>
  </w:style>
  <w:style w:type="paragraph" w:styleId="14">
    <w:name w:val="Document Map"/>
    <w:basedOn w:val="1"/>
    <w:link w:val="61"/>
    <w:unhideWhenUsed/>
    <w:qFormat/>
    <w:locked/>
    <w:uiPriority w:val="0"/>
    <w:pPr>
      <w:shd w:val="clear" w:color="auto" w:fill="000080"/>
    </w:pPr>
  </w:style>
  <w:style w:type="paragraph" w:styleId="15">
    <w:name w:val="annotation text"/>
    <w:basedOn w:val="1"/>
    <w:link w:val="62"/>
    <w:qFormat/>
    <w:uiPriority w:val="0"/>
    <w:pPr>
      <w:jc w:val="left"/>
    </w:pPr>
    <w:rPr>
      <w:kern w:val="0"/>
      <w:sz w:val="24"/>
      <w:szCs w:val="20"/>
    </w:rPr>
  </w:style>
  <w:style w:type="paragraph" w:styleId="16">
    <w:name w:val="Salutation"/>
    <w:basedOn w:val="1"/>
    <w:next w:val="1"/>
    <w:link w:val="63"/>
    <w:unhideWhenUsed/>
    <w:qFormat/>
    <w:locked/>
    <w:uiPriority w:val="0"/>
    <w:rPr>
      <w:b/>
      <w:sz w:val="36"/>
      <w:szCs w:val="36"/>
    </w:rPr>
  </w:style>
  <w:style w:type="paragraph" w:styleId="17">
    <w:name w:val="Body Text 3"/>
    <w:basedOn w:val="1"/>
    <w:link w:val="64"/>
    <w:unhideWhenUsed/>
    <w:qFormat/>
    <w:locked/>
    <w:uiPriority w:val="0"/>
    <w:pPr>
      <w:widowControl/>
      <w:jc w:val="center"/>
    </w:pPr>
    <w:rPr>
      <w:rFonts w:eastAsia="方正书宋简体"/>
      <w:w w:val="90"/>
      <w:kern w:val="0"/>
      <w:sz w:val="28"/>
      <w:szCs w:val="20"/>
    </w:rPr>
  </w:style>
  <w:style w:type="paragraph" w:styleId="18">
    <w:name w:val="Body Text"/>
    <w:basedOn w:val="1"/>
    <w:next w:val="19"/>
    <w:link w:val="65"/>
    <w:qFormat/>
    <w:uiPriority w:val="0"/>
    <w:pPr>
      <w:widowControl/>
      <w:snapToGrid w:val="0"/>
      <w:spacing w:before="60" w:after="160" w:line="259" w:lineRule="auto"/>
      <w:ind w:right="113"/>
    </w:pPr>
    <w:rPr>
      <w:kern w:val="0"/>
      <w:sz w:val="18"/>
      <w:szCs w:val="20"/>
    </w:rPr>
  </w:style>
  <w:style w:type="paragraph" w:customStyle="1" w:styleId="19">
    <w:name w:val="Normal (Web)1"/>
    <w:basedOn w:val="1"/>
    <w:next w:val="20"/>
    <w:qFormat/>
    <w:uiPriority w:val="0"/>
    <w:pPr>
      <w:widowControl/>
      <w:jc w:val="left"/>
    </w:pPr>
    <w:rPr>
      <w:rFonts w:ascii="宋体"/>
      <w:kern w:val="0"/>
      <w:sz w:val="24"/>
      <w:szCs w:val="21"/>
    </w:rPr>
  </w:style>
  <w:style w:type="paragraph" w:customStyle="1" w:styleId="20">
    <w:name w:val="Date1"/>
    <w:basedOn w:val="1"/>
    <w:next w:val="1"/>
    <w:qFormat/>
    <w:uiPriority w:val="0"/>
    <w:pPr>
      <w:ind w:left="2500" w:leftChars="2500"/>
    </w:pPr>
  </w:style>
  <w:style w:type="paragraph" w:styleId="21">
    <w:name w:val="Body Text Indent"/>
    <w:basedOn w:val="1"/>
    <w:link w:val="66"/>
    <w:qFormat/>
    <w:uiPriority w:val="0"/>
    <w:pPr>
      <w:spacing w:after="120"/>
      <w:ind w:left="420" w:leftChars="200"/>
    </w:pPr>
    <w:rPr>
      <w:kern w:val="0"/>
      <w:sz w:val="24"/>
      <w:szCs w:val="20"/>
    </w:rPr>
  </w:style>
  <w:style w:type="paragraph" w:styleId="22">
    <w:name w:val="Block Text"/>
    <w:basedOn w:val="1"/>
    <w:unhideWhenUsed/>
    <w:qFormat/>
    <w:locked/>
    <w:uiPriority w:val="0"/>
    <w:pPr>
      <w:spacing w:line="360" w:lineRule="exact"/>
      <w:ind w:left="105" w:leftChars="50" w:right="105" w:rightChars="50"/>
    </w:pPr>
    <w:rPr>
      <w:sz w:val="24"/>
    </w:rPr>
  </w:style>
  <w:style w:type="paragraph" w:styleId="23">
    <w:name w:val="toc 5"/>
    <w:basedOn w:val="1"/>
    <w:next w:val="1"/>
    <w:qFormat/>
    <w:locked/>
    <w:uiPriority w:val="0"/>
    <w:pPr>
      <w:ind w:left="840"/>
      <w:jc w:val="left"/>
    </w:pPr>
    <w:rPr>
      <w:sz w:val="18"/>
      <w:szCs w:val="18"/>
    </w:rPr>
  </w:style>
  <w:style w:type="paragraph" w:styleId="24">
    <w:name w:val="toc 3"/>
    <w:basedOn w:val="1"/>
    <w:next w:val="1"/>
    <w:qFormat/>
    <w:locked/>
    <w:uiPriority w:val="39"/>
    <w:pPr>
      <w:ind w:left="840" w:leftChars="400"/>
    </w:pPr>
  </w:style>
  <w:style w:type="paragraph" w:styleId="25">
    <w:name w:val="Plain Text"/>
    <w:basedOn w:val="1"/>
    <w:next w:val="1"/>
    <w:link w:val="67"/>
    <w:qFormat/>
    <w:locked/>
    <w:uiPriority w:val="0"/>
    <w:rPr>
      <w:rFonts w:ascii="宋体" w:hAnsi="Courier New" w:cs="Courier New"/>
      <w:szCs w:val="21"/>
    </w:rPr>
  </w:style>
  <w:style w:type="paragraph" w:styleId="26">
    <w:name w:val="Date"/>
    <w:basedOn w:val="1"/>
    <w:next w:val="1"/>
    <w:link w:val="68"/>
    <w:qFormat/>
    <w:uiPriority w:val="0"/>
    <w:pPr>
      <w:ind w:left="100" w:leftChars="2500"/>
    </w:pPr>
    <w:rPr>
      <w:kern w:val="0"/>
      <w:sz w:val="24"/>
      <w:szCs w:val="20"/>
    </w:rPr>
  </w:style>
  <w:style w:type="paragraph" w:styleId="27">
    <w:name w:val="Body Text Indent 2"/>
    <w:basedOn w:val="1"/>
    <w:link w:val="69"/>
    <w:unhideWhenUsed/>
    <w:qFormat/>
    <w:locked/>
    <w:uiPriority w:val="0"/>
    <w:pPr>
      <w:spacing w:after="120" w:line="480" w:lineRule="auto"/>
      <w:ind w:left="420" w:leftChars="200"/>
    </w:pPr>
  </w:style>
  <w:style w:type="paragraph" w:styleId="28">
    <w:name w:val="Balloon Text"/>
    <w:basedOn w:val="1"/>
    <w:link w:val="70"/>
    <w:qFormat/>
    <w:uiPriority w:val="0"/>
    <w:rPr>
      <w:kern w:val="0"/>
      <w:sz w:val="18"/>
      <w:szCs w:val="20"/>
    </w:rPr>
  </w:style>
  <w:style w:type="paragraph" w:styleId="29">
    <w:name w:val="footer"/>
    <w:basedOn w:val="1"/>
    <w:link w:val="71"/>
    <w:qFormat/>
    <w:uiPriority w:val="99"/>
    <w:pPr>
      <w:tabs>
        <w:tab w:val="center" w:pos="4153"/>
        <w:tab w:val="right" w:pos="8306"/>
      </w:tabs>
      <w:snapToGrid w:val="0"/>
      <w:jc w:val="left"/>
    </w:pPr>
    <w:rPr>
      <w:kern w:val="0"/>
      <w:sz w:val="18"/>
      <w:szCs w:val="20"/>
    </w:rPr>
  </w:style>
  <w:style w:type="paragraph" w:styleId="30">
    <w:name w:val="header"/>
    <w:basedOn w:val="1"/>
    <w:link w:val="72"/>
    <w:qFormat/>
    <w:uiPriority w:val="0"/>
    <w:pPr>
      <w:pBdr>
        <w:bottom w:val="single" w:color="auto" w:sz="6" w:space="1"/>
      </w:pBdr>
      <w:tabs>
        <w:tab w:val="center" w:pos="4153"/>
        <w:tab w:val="right" w:pos="8306"/>
      </w:tabs>
      <w:snapToGrid w:val="0"/>
      <w:jc w:val="center"/>
    </w:pPr>
    <w:rPr>
      <w:kern w:val="0"/>
      <w:sz w:val="18"/>
      <w:szCs w:val="20"/>
    </w:rPr>
  </w:style>
  <w:style w:type="paragraph" w:styleId="31">
    <w:name w:val="toc 1"/>
    <w:basedOn w:val="1"/>
    <w:next w:val="1"/>
    <w:unhideWhenUsed/>
    <w:qFormat/>
    <w:locked/>
    <w:uiPriority w:val="39"/>
    <w:pPr>
      <w:tabs>
        <w:tab w:val="right" w:leader="dot" w:pos="9459"/>
      </w:tabs>
      <w:adjustRightInd w:val="0"/>
      <w:snapToGrid w:val="0"/>
      <w:spacing w:line="560" w:lineRule="exact"/>
    </w:pPr>
    <w:rPr>
      <w:w w:val="90"/>
      <w:sz w:val="28"/>
      <w:szCs w:val="32"/>
    </w:rPr>
  </w:style>
  <w:style w:type="paragraph" w:styleId="32">
    <w:name w:val="List"/>
    <w:basedOn w:val="1"/>
    <w:next w:val="1"/>
    <w:unhideWhenUsed/>
    <w:qFormat/>
    <w:locked/>
    <w:uiPriority w:val="0"/>
    <w:pPr>
      <w:ind w:left="200" w:hanging="200" w:hangingChars="200"/>
    </w:pPr>
  </w:style>
  <w:style w:type="paragraph" w:styleId="33">
    <w:name w:val="footnote text"/>
    <w:basedOn w:val="1"/>
    <w:link w:val="383"/>
    <w:unhideWhenUsed/>
    <w:qFormat/>
    <w:locked/>
    <w:uiPriority w:val="99"/>
    <w:pPr>
      <w:snapToGrid w:val="0"/>
      <w:jc w:val="left"/>
    </w:pPr>
    <w:rPr>
      <w:sz w:val="18"/>
      <w:szCs w:val="18"/>
    </w:rPr>
  </w:style>
  <w:style w:type="paragraph" w:styleId="34">
    <w:name w:val="Body Text Indent 3"/>
    <w:basedOn w:val="1"/>
    <w:link w:val="73"/>
    <w:unhideWhenUsed/>
    <w:qFormat/>
    <w:locked/>
    <w:uiPriority w:val="0"/>
    <w:pPr>
      <w:spacing w:line="560" w:lineRule="exact"/>
      <w:ind w:firstLine="560" w:firstLineChars="200"/>
    </w:pPr>
    <w:rPr>
      <w:sz w:val="28"/>
    </w:rPr>
  </w:style>
  <w:style w:type="paragraph" w:styleId="35">
    <w:name w:val="toc 2"/>
    <w:basedOn w:val="1"/>
    <w:next w:val="1"/>
    <w:qFormat/>
    <w:locked/>
    <w:uiPriority w:val="0"/>
    <w:pPr>
      <w:ind w:left="420" w:leftChars="200"/>
    </w:pPr>
  </w:style>
  <w:style w:type="paragraph" w:styleId="36">
    <w:name w:val="Body Text 2"/>
    <w:basedOn w:val="1"/>
    <w:link w:val="74"/>
    <w:unhideWhenUsed/>
    <w:qFormat/>
    <w:locked/>
    <w:uiPriority w:val="0"/>
    <w:rPr>
      <w:sz w:val="24"/>
    </w:rPr>
  </w:style>
  <w:style w:type="paragraph" w:styleId="37">
    <w:name w:val="HTML Preformatted"/>
    <w:basedOn w:val="1"/>
    <w:link w:val="75"/>
    <w:unhideWhenUsed/>
    <w:qFormat/>
    <w:locked/>
    <w:uiPriority w:val="99"/>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宋体" w:hAnsi="宋体" w:cs="宋体"/>
      <w:kern w:val="0"/>
      <w:sz w:val="24"/>
    </w:rPr>
  </w:style>
  <w:style w:type="paragraph" w:styleId="38">
    <w:name w:val="Normal (Web)"/>
    <w:basedOn w:val="1"/>
    <w:link w:val="76"/>
    <w:qFormat/>
    <w:uiPriority w:val="99"/>
    <w:pPr>
      <w:widowControl/>
      <w:spacing w:before="100" w:beforeAutospacing="1" w:after="100" w:afterAutospacing="1"/>
      <w:jc w:val="left"/>
    </w:pPr>
    <w:rPr>
      <w:rFonts w:ascii="宋体" w:hAnsi="宋体"/>
      <w:kern w:val="0"/>
      <w:sz w:val="24"/>
      <w:szCs w:val="20"/>
    </w:rPr>
  </w:style>
  <w:style w:type="paragraph" w:styleId="39">
    <w:name w:val="Title"/>
    <w:basedOn w:val="1"/>
    <w:next w:val="1"/>
    <w:link w:val="77"/>
    <w:qFormat/>
    <w:locked/>
    <w:uiPriority w:val="0"/>
    <w:pPr>
      <w:spacing w:before="240" w:after="60"/>
      <w:jc w:val="center"/>
      <w:outlineLvl w:val="0"/>
    </w:pPr>
    <w:rPr>
      <w:rFonts w:ascii="等线 Light" w:hAnsi="等线 Light"/>
      <w:b/>
      <w:bCs/>
      <w:sz w:val="32"/>
      <w:szCs w:val="32"/>
    </w:rPr>
  </w:style>
  <w:style w:type="paragraph" w:styleId="40">
    <w:name w:val="annotation subject"/>
    <w:basedOn w:val="15"/>
    <w:next w:val="15"/>
    <w:link w:val="78"/>
    <w:qFormat/>
    <w:uiPriority w:val="0"/>
    <w:rPr>
      <w:b/>
    </w:rPr>
  </w:style>
  <w:style w:type="paragraph" w:styleId="41">
    <w:name w:val="Body Text First Indent"/>
    <w:basedOn w:val="18"/>
    <w:next w:val="1"/>
    <w:link w:val="79"/>
    <w:unhideWhenUsed/>
    <w:qFormat/>
    <w:locked/>
    <w:uiPriority w:val="0"/>
    <w:pPr>
      <w:widowControl w:val="0"/>
      <w:snapToGrid/>
      <w:spacing w:before="0" w:after="120" w:line="240" w:lineRule="auto"/>
      <w:ind w:right="0" w:firstLine="420" w:firstLineChars="100"/>
    </w:pPr>
    <w:rPr>
      <w:kern w:val="2"/>
      <w:sz w:val="21"/>
      <w:szCs w:val="24"/>
    </w:rPr>
  </w:style>
  <w:style w:type="paragraph" w:styleId="42">
    <w:name w:val="Body Text First Indent 2"/>
    <w:basedOn w:val="21"/>
    <w:link w:val="80"/>
    <w:unhideWhenUsed/>
    <w:qFormat/>
    <w:locked/>
    <w:uiPriority w:val="0"/>
    <w:pPr>
      <w:ind w:firstLine="210" w:firstLineChars="200"/>
    </w:pPr>
    <w:rPr>
      <w:kern w:val="2"/>
      <w:sz w:val="21"/>
      <w:szCs w:val="24"/>
    </w:rPr>
  </w:style>
  <w:style w:type="table" w:styleId="44">
    <w:name w:val="Table Grid"/>
    <w:basedOn w:val="4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table" w:styleId="45">
    <w:name w:val="Table Grid 1"/>
    <w:basedOn w:val="43"/>
    <w:unhideWhenUsed/>
    <w:qFormat/>
    <w:locked/>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Pr>
    <w:tblStylePr w:type="lastRow">
      <w:rPr>
        <w:i/>
        <w:iCs/>
      </w:rPr>
      <w:tblPr/>
      <w:tcPr>
        <w:tcBorders>
          <w:top w:val="nil"/>
          <w:left w:val="nil"/>
          <w:bottom w:val="nil"/>
          <w:right w:val="nil"/>
          <w:insideH w:val="nil"/>
          <w:insideV w:val="nil"/>
          <w:tl2br w:val="nil"/>
          <w:tr2bl w:val="nil"/>
        </w:tcBorders>
      </w:tcPr>
    </w:tblStylePr>
    <w:tblStylePr w:type="lastCol">
      <w:rPr>
        <w:i/>
        <w:i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46">
    <w:name w:val="Table Grid 5"/>
    <w:basedOn w:val="43"/>
    <w:unhideWhenUsed/>
    <w:qFormat/>
    <w:locked/>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character" w:styleId="48">
    <w:name w:val="Strong"/>
    <w:qFormat/>
    <w:locked/>
    <w:uiPriority w:val="22"/>
    <w:rPr>
      <w:b/>
      <w:bCs/>
    </w:rPr>
  </w:style>
  <w:style w:type="character" w:styleId="49">
    <w:name w:val="page number"/>
    <w:qFormat/>
    <w:locked/>
    <w:uiPriority w:val="0"/>
  </w:style>
  <w:style w:type="character" w:styleId="50">
    <w:name w:val="FollowedHyperlink"/>
    <w:unhideWhenUsed/>
    <w:qFormat/>
    <w:locked/>
    <w:uiPriority w:val="0"/>
    <w:rPr>
      <w:color w:val="954F72"/>
      <w:u w:val="single"/>
    </w:rPr>
  </w:style>
  <w:style w:type="character" w:styleId="51">
    <w:name w:val="Emphasis"/>
    <w:basedOn w:val="47"/>
    <w:qFormat/>
    <w:locked/>
    <w:uiPriority w:val="20"/>
    <w:rPr>
      <w:i/>
      <w:iCs/>
    </w:rPr>
  </w:style>
  <w:style w:type="character" w:styleId="52">
    <w:name w:val="Hyperlink"/>
    <w:unhideWhenUsed/>
    <w:qFormat/>
    <w:locked/>
    <w:uiPriority w:val="99"/>
    <w:rPr>
      <w:color w:val="0000FF"/>
      <w:u w:val="single"/>
    </w:rPr>
  </w:style>
  <w:style w:type="character" w:styleId="53">
    <w:name w:val="annotation reference"/>
    <w:qFormat/>
    <w:uiPriority w:val="0"/>
    <w:rPr>
      <w:sz w:val="21"/>
    </w:rPr>
  </w:style>
  <w:style w:type="character" w:styleId="54">
    <w:name w:val="footnote reference"/>
    <w:unhideWhenUsed/>
    <w:qFormat/>
    <w:locked/>
    <w:uiPriority w:val="99"/>
    <w:rPr>
      <w:vertAlign w:val="superscript"/>
    </w:rPr>
  </w:style>
  <w:style w:type="character" w:customStyle="1" w:styleId="55">
    <w:name w:val="标题 1 Char"/>
    <w:link w:val="3"/>
    <w:qFormat/>
    <w:uiPriority w:val="0"/>
    <w:rPr>
      <w:rFonts w:eastAsia="黑体"/>
      <w:b/>
      <w:bCs/>
      <w:color w:val="000000"/>
      <w:kern w:val="44"/>
      <w:sz w:val="30"/>
      <w:szCs w:val="30"/>
    </w:rPr>
  </w:style>
  <w:style w:type="character" w:customStyle="1" w:styleId="56">
    <w:name w:val="标题 2 Char"/>
    <w:link w:val="2"/>
    <w:qFormat/>
    <w:uiPriority w:val="0"/>
    <w:rPr>
      <w:b/>
      <w:w w:val="90"/>
      <w:kern w:val="2"/>
      <w:sz w:val="28"/>
      <w:szCs w:val="24"/>
    </w:rPr>
  </w:style>
  <w:style w:type="character" w:customStyle="1" w:styleId="57">
    <w:name w:val="标题 3 Char"/>
    <w:link w:val="4"/>
    <w:qFormat/>
    <w:uiPriority w:val="0"/>
    <w:rPr>
      <w:b/>
      <w:bCs/>
      <w:kern w:val="2"/>
      <w:sz w:val="32"/>
      <w:szCs w:val="32"/>
    </w:rPr>
  </w:style>
  <w:style w:type="character" w:customStyle="1" w:styleId="58">
    <w:name w:val="标题 4 Char"/>
    <w:link w:val="5"/>
    <w:qFormat/>
    <w:uiPriority w:val="0"/>
    <w:rPr>
      <w:kern w:val="2"/>
      <w:sz w:val="28"/>
      <w:szCs w:val="24"/>
    </w:rPr>
  </w:style>
  <w:style w:type="character" w:customStyle="1" w:styleId="59">
    <w:name w:val="标题 7 Char"/>
    <w:link w:val="8"/>
    <w:qFormat/>
    <w:uiPriority w:val="0"/>
    <w:rPr>
      <w:color w:val="000000"/>
      <w:kern w:val="2"/>
      <w:sz w:val="28"/>
      <w:szCs w:val="24"/>
    </w:rPr>
  </w:style>
  <w:style w:type="character" w:customStyle="1" w:styleId="60">
    <w:name w:val="正文缩进 Char4"/>
    <w:link w:val="12"/>
    <w:qFormat/>
    <w:uiPriority w:val="0"/>
    <w:rPr>
      <w:sz w:val="28"/>
    </w:rPr>
  </w:style>
  <w:style w:type="character" w:customStyle="1" w:styleId="61">
    <w:name w:val="文档结构图 Char"/>
    <w:link w:val="14"/>
    <w:qFormat/>
    <w:uiPriority w:val="99"/>
    <w:rPr>
      <w:kern w:val="2"/>
      <w:sz w:val="21"/>
      <w:szCs w:val="24"/>
      <w:shd w:val="clear" w:color="auto" w:fill="000080"/>
    </w:rPr>
  </w:style>
  <w:style w:type="character" w:customStyle="1" w:styleId="62">
    <w:name w:val="批注文字 Char"/>
    <w:link w:val="15"/>
    <w:qFormat/>
    <w:locked/>
    <w:uiPriority w:val="99"/>
    <w:rPr>
      <w:rFonts w:ascii="Times New Roman" w:hAnsi="Times New Roman" w:eastAsia="宋体"/>
      <w:sz w:val="24"/>
    </w:rPr>
  </w:style>
  <w:style w:type="character" w:customStyle="1" w:styleId="63">
    <w:name w:val="称呼 Char"/>
    <w:link w:val="16"/>
    <w:qFormat/>
    <w:uiPriority w:val="0"/>
    <w:rPr>
      <w:b/>
      <w:kern w:val="2"/>
      <w:sz w:val="36"/>
      <w:szCs w:val="36"/>
    </w:rPr>
  </w:style>
  <w:style w:type="character" w:customStyle="1" w:styleId="64">
    <w:name w:val="正文文本 3 Char"/>
    <w:link w:val="17"/>
    <w:qFormat/>
    <w:uiPriority w:val="0"/>
    <w:rPr>
      <w:rFonts w:eastAsia="方正书宋简体"/>
      <w:w w:val="90"/>
      <w:sz w:val="28"/>
    </w:rPr>
  </w:style>
  <w:style w:type="character" w:customStyle="1" w:styleId="65">
    <w:name w:val="正文文本 Char1"/>
    <w:link w:val="18"/>
    <w:qFormat/>
    <w:locked/>
    <w:uiPriority w:val="99"/>
    <w:rPr>
      <w:sz w:val="18"/>
    </w:rPr>
  </w:style>
  <w:style w:type="character" w:customStyle="1" w:styleId="66">
    <w:name w:val="正文文本缩进 Char"/>
    <w:link w:val="21"/>
    <w:qFormat/>
    <w:locked/>
    <w:uiPriority w:val="99"/>
    <w:rPr>
      <w:rFonts w:ascii="Times New Roman" w:hAnsi="Times New Roman" w:eastAsia="宋体"/>
      <w:sz w:val="24"/>
    </w:rPr>
  </w:style>
  <w:style w:type="character" w:customStyle="1" w:styleId="67">
    <w:name w:val="纯文本 Char"/>
    <w:link w:val="25"/>
    <w:qFormat/>
    <w:uiPriority w:val="99"/>
    <w:rPr>
      <w:rFonts w:ascii="宋体" w:hAnsi="Courier New" w:cs="Courier New"/>
      <w:kern w:val="2"/>
      <w:sz w:val="21"/>
      <w:szCs w:val="21"/>
    </w:rPr>
  </w:style>
  <w:style w:type="character" w:customStyle="1" w:styleId="68">
    <w:name w:val="日期 Char"/>
    <w:link w:val="26"/>
    <w:qFormat/>
    <w:locked/>
    <w:uiPriority w:val="0"/>
    <w:rPr>
      <w:rFonts w:ascii="Times New Roman" w:hAnsi="Times New Roman" w:eastAsia="宋体"/>
      <w:sz w:val="24"/>
    </w:rPr>
  </w:style>
  <w:style w:type="character" w:customStyle="1" w:styleId="69">
    <w:name w:val="正文文本缩进 2 Char1"/>
    <w:link w:val="27"/>
    <w:qFormat/>
    <w:uiPriority w:val="0"/>
    <w:rPr>
      <w:kern w:val="2"/>
      <w:sz w:val="21"/>
      <w:szCs w:val="24"/>
    </w:rPr>
  </w:style>
  <w:style w:type="character" w:customStyle="1" w:styleId="70">
    <w:name w:val="批注框文本 Char"/>
    <w:link w:val="28"/>
    <w:semiHidden/>
    <w:qFormat/>
    <w:locked/>
    <w:uiPriority w:val="99"/>
    <w:rPr>
      <w:rFonts w:ascii="Times New Roman" w:hAnsi="Times New Roman" w:eastAsia="宋体"/>
      <w:sz w:val="18"/>
    </w:rPr>
  </w:style>
  <w:style w:type="character" w:customStyle="1" w:styleId="71">
    <w:name w:val="页脚 Char1"/>
    <w:link w:val="29"/>
    <w:qFormat/>
    <w:locked/>
    <w:uiPriority w:val="99"/>
    <w:rPr>
      <w:sz w:val="18"/>
    </w:rPr>
  </w:style>
  <w:style w:type="character" w:customStyle="1" w:styleId="72">
    <w:name w:val="页眉 Char1"/>
    <w:link w:val="30"/>
    <w:qFormat/>
    <w:locked/>
    <w:uiPriority w:val="99"/>
    <w:rPr>
      <w:sz w:val="18"/>
    </w:rPr>
  </w:style>
  <w:style w:type="character" w:customStyle="1" w:styleId="73">
    <w:name w:val="正文文本缩进 3 Char"/>
    <w:link w:val="34"/>
    <w:qFormat/>
    <w:uiPriority w:val="99"/>
    <w:rPr>
      <w:kern w:val="2"/>
      <w:sz w:val="28"/>
      <w:szCs w:val="24"/>
    </w:rPr>
  </w:style>
  <w:style w:type="character" w:customStyle="1" w:styleId="74">
    <w:name w:val="正文文本 2 Char"/>
    <w:link w:val="36"/>
    <w:qFormat/>
    <w:uiPriority w:val="99"/>
    <w:rPr>
      <w:kern w:val="2"/>
      <w:sz w:val="24"/>
      <w:szCs w:val="24"/>
    </w:rPr>
  </w:style>
  <w:style w:type="character" w:customStyle="1" w:styleId="75">
    <w:name w:val="HTML 预设格式 Char"/>
    <w:link w:val="37"/>
    <w:qFormat/>
    <w:uiPriority w:val="99"/>
    <w:rPr>
      <w:rFonts w:ascii="宋体" w:hAnsi="宋体" w:cs="宋体"/>
      <w:sz w:val="24"/>
      <w:szCs w:val="24"/>
    </w:rPr>
  </w:style>
  <w:style w:type="character" w:customStyle="1" w:styleId="76">
    <w:name w:val="普通(网站) Char"/>
    <w:link w:val="38"/>
    <w:qFormat/>
    <w:locked/>
    <w:uiPriority w:val="0"/>
    <w:rPr>
      <w:rFonts w:ascii="宋体" w:hAnsi="宋体" w:eastAsia="宋体"/>
      <w:sz w:val="24"/>
    </w:rPr>
  </w:style>
  <w:style w:type="character" w:customStyle="1" w:styleId="77">
    <w:name w:val="标题 Char"/>
    <w:link w:val="39"/>
    <w:qFormat/>
    <w:uiPriority w:val="0"/>
    <w:rPr>
      <w:rFonts w:ascii="等线 Light" w:hAnsi="等线 Light" w:cs="Times New Roman"/>
      <w:b/>
      <w:bCs/>
      <w:kern w:val="2"/>
      <w:sz w:val="32"/>
      <w:szCs w:val="32"/>
    </w:rPr>
  </w:style>
  <w:style w:type="character" w:customStyle="1" w:styleId="78">
    <w:name w:val="批注主题 Char"/>
    <w:link w:val="40"/>
    <w:semiHidden/>
    <w:qFormat/>
    <w:locked/>
    <w:uiPriority w:val="99"/>
    <w:rPr>
      <w:rFonts w:ascii="Times New Roman" w:hAnsi="Times New Roman" w:eastAsia="宋体"/>
      <w:b/>
      <w:kern w:val="2"/>
      <w:sz w:val="24"/>
    </w:rPr>
  </w:style>
  <w:style w:type="character" w:customStyle="1" w:styleId="79">
    <w:name w:val="正文首行缩进 Char"/>
    <w:link w:val="41"/>
    <w:qFormat/>
    <w:uiPriority w:val="0"/>
    <w:rPr>
      <w:kern w:val="2"/>
      <w:sz w:val="21"/>
      <w:szCs w:val="24"/>
    </w:rPr>
  </w:style>
  <w:style w:type="character" w:customStyle="1" w:styleId="80">
    <w:name w:val="正文首行缩进 2 Char"/>
    <w:link w:val="42"/>
    <w:qFormat/>
    <w:uiPriority w:val="0"/>
    <w:rPr>
      <w:rFonts w:ascii="Times New Roman" w:hAnsi="Times New Roman" w:eastAsia="宋体"/>
      <w:kern w:val="2"/>
      <w:sz w:val="21"/>
      <w:szCs w:val="24"/>
    </w:rPr>
  </w:style>
  <w:style w:type="character" w:customStyle="1" w:styleId="81">
    <w:name w:val="页脚 字符"/>
    <w:qFormat/>
    <w:uiPriority w:val="99"/>
  </w:style>
  <w:style w:type="character" w:customStyle="1" w:styleId="82">
    <w:name w:val="正文文本 字符1"/>
    <w:semiHidden/>
    <w:qFormat/>
    <w:uiPriority w:val="99"/>
    <w:rPr>
      <w:rFonts w:ascii="Times New Roman" w:hAnsi="Times New Roman" w:eastAsia="宋体"/>
      <w:sz w:val="24"/>
    </w:rPr>
  </w:style>
  <w:style w:type="character" w:customStyle="1" w:styleId="83">
    <w:name w:val="表格 Char"/>
    <w:link w:val="84"/>
    <w:qFormat/>
    <w:locked/>
    <w:uiPriority w:val="0"/>
    <w:rPr>
      <w:rFonts w:ascii="宋体"/>
      <w:sz w:val="21"/>
    </w:rPr>
  </w:style>
  <w:style w:type="paragraph" w:customStyle="1" w:styleId="84">
    <w:name w:val="表格"/>
    <w:basedOn w:val="1"/>
    <w:next w:val="1"/>
    <w:link w:val="83"/>
    <w:qFormat/>
    <w:uiPriority w:val="0"/>
    <w:pPr>
      <w:adjustRightInd w:val="0"/>
      <w:snapToGrid w:val="0"/>
      <w:spacing w:beforeLines="10" w:afterLines="10" w:line="259" w:lineRule="auto"/>
      <w:jc w:val="center"/>
    </w:pPr>
    <w:rPr>
      <w:rFonts w:ascii="宋体"/>
      <w:kern w:val="0"/>
      <w:szCs w:val="20"/>
    </w:rPr>
  </w:style>
  <w:style w:type="character" w:customStyle="1" w:styleId="85">
    <w:name w:val="日期 字符"/>
    <w:qFormat/>
    <w:uiPriority w:val="0"/>
    <w:rPr>
      <w:rFonts w:ascii="Times New Roman" w:hAnsi="Times New Roman" w:eastAsia="宋体"/>
      <w:sz w:val="24"/>
    </w:rPr>
  </w:style>
  <w:style w:type="character" w:customStyle="1" w:styleId="86">
    <w:name w:val="批注文字 字符1"/>
    <w:qFormat/>
    <w:uiPriority w:val="0"/>
    <w:rPr>
      <w:rFonts w:ascii="Times New Roman" w:hAnsi="Times New Roman" w:eastAsia="宋体"/>
      <w:sz w:val="24"/>
    </w:rPr>
  </w:style>
  <w:style w:type="paragraph" w:customStyle="1" w:styleId="87">
    <w:name w:val="正文_10"/>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88">
    <w:name w:val="普通(网站)2"/>
    <w:basedOn w:val="1"/>
    <w:qFormat/>
    <w:uiPriority w:val="0"/>
    <w:pPr>
      <w:widowControl/>
      <w:spacing w:before="100" w:beforeAutospacing="1" w:after="100" w:afterAutospacing="1"/>
      <w:jc w:val="left"/>
    </w:pPr>
    <w:rPr>
      <w:rFonts w:ascii="宋体" w:hAnsi="宋体"/>
      <w:sz w:val="24"/>
      <w:szCs w:val="20"/>
    </w:rPr>
  </w:style>
  <w:style w:type="character" w:customStyle="1" w:styleId="89">
    <w:name w:val="NormalCharacter"/>
    <w:semiHidden/>
    <w:qFormat/>
    <w:uiPriority w:val="0"/>
  </w:style>
  <w:style w:type="character" w:customStyle="1" w:styleId="90">
    <w:name w:val="表格内容 Char"/>
    <w:link w:val="91"/>
    <w:qFormat/>
    <w:uiPriority w:val="0"/>
    <w:rPr>
      <w:rFonts w:ascii="Arial" w:hAnsi="Arial"/>
      <w:color w:val="000000"/>
      <w:sz w:val="21"/>
      <w:szCs w:val="24"/>
    </w:rPr>
  </w:style>
  <w:style w:type="paragraph" w:customStyle="1" w:styleId="91">
    <w:name w:val="表格内容"/>
    <w:basedOn w:val="1"/>
    <w:next w:val="1"/>
    <w:link w:val="90"/>
    <w:qFormat/>
    <w:uiPriority w:val="0"/>
    <w:pPr>
      <w:overflowPunct w:val="0"/>
      <w:adjustRightInd w:val="0"/>
      <w:spacing w:before="40" w:after="60" w:line="200" w:lineRule="atLeast"/>
      <w:jc w:val="center"/>
      <w:textAlignment w:val="baseline"/>
    </w:pPr>
    <w:rPr>
      <w:rFonts w:ascii="Arial" w:hAnsi="Arial"/>
      <w:color w:val="000000"/>
      <w:kern w:val="0"/>
    </w:rPr>
  </w:style>
  <w:style w:type="character" w:customStyle="1" w:styleId="92">
    <w:name w:val="表格标题 Char"/>
    <w:link w:val="93"/>
    <w:qFormat/>
    <w:uiPriority w:val="0"/>
    <w:rPr>
      <w:b/>
      <w:sz w:val="21"/>
    </w:rPr>
  </w:style>
  <w:style w:type="paragraph" w:customStyle="1" w:styleId="93">
    <w:name w:val="表格标题"/>
    <w:basedOn w:val="1"/>
    <w:next w:val="94"/>
    <w:link w:val="92"/>
    <w:qFormat/>
    <w:uiPriority w:val="0"/>
    <w:pPr>
      <w:keepNext/>
      <w:tabs>
        <w:tab w:val="left" w:pos="0"/>
        <w:tab w:val="left" w:pos="360"/>
      </w:tabs>
      <w:jc w:val="center"/>
    </w:pPr>
    <w:rPr>
      <w:b/>
      <w:kern w:val="0"/>
      <w:szCs w:val="20"/>
    </w:rPr>
  </w:style>
  <w:style w:type="paragraph" w:customStyle="1" w:styleId="94">
    <w:name w:val="报告表正文"/>
    <w:basedOn w:val="95"/>
    <w:next w:val="1"/>
    <w:link w:val="96"/>
    <w:qFormat/>
    <w:uiPriority w:val="0"/>
  </w:style>
  <w:style w:type="paragraph" w:customStyle="1" w:styleId="95">
    <w:name w:val="CM4"/>
    <w:basedOn w:val="1"/>
    <w:next w:val="1"/>
    <w:qFormat/>
    <w:uiPriority w:val="0"/>
    <w:pPr>
      <w:keepNext/>
      <w:spacing w:line="520" w:lineRule="exact"/>
      <w:jc w:val="center"/>
    </w:pPr>
    <w:rPr>
      <w:b/>
      <w:kern w:val="0"/>
      <w:szCs w:val="21"/>
    </w:rPr>
  </w:style>
  <w:style w:type="character" w:customStyle="1" w:styleId="96">
    <w:name w:val="表中字 Char"/>
    <w:link w:val="94"/>
    <w:qFormat/>
    <w:uiPriority w:val="0"/>
    <w:rPr>
      <w:b/>
      <w:sz w:val="21"/>
      <w:szCs w:val="21"/>
    </w:rPr>
  </w:style>
  <w:style w:type="character" w:customStyle="1" w:styleId="97">
    <w:name w:val="正文格式 字符"/>
    <w:link w:val="98"/>
    <w:qFormat/>
    <w:uiPriority w:val="0"/>
    <w:rPr>
      <w:sz w:val="21"/>
      <w:szCs w:val="21"/>
    </w:rPr>
  </w:style>
  <w:style w:type="paragraph" w:customStyle="1" w:styleId="98">
    <w:name w:val="正文格式"/>
    <w:basedOn w:val="1"/>
    <w:link w:val="97"/>
    <w:qFormat/>
    <w:uiPriority w:val="0"/>
    <w:pPr>
      <w:spacing w:line="360" w:lineRule="auto"/>
      <w:ind w:firstLine="420" w:firstLineChars="200"/>
    </w:pPr>
    <w:rPr>
      <w:kern w:val="0"/>
      <w:szCs w:val="21"/>
    </w:rPr>
  </w:style>
  <w:style w:type="paragraph" w:customStyle="1" w:styleId="99">
    <w:name w:val="正文缩进2"/>
    <w:basedOn w:val="1"/>
    <w:qFormat/>
    <w:uiPriority w:val="0"/>
    <w:pPr>
      <w:spacing w:line="520" w:lineRule="exact"/>
      <w:ind w:firstLine="624"/>
    </w:pPr>
    <w:rPr>
      <w:sz w:val="28"/>
    </w:rPr>
  </w:style>
  <w:style w:type="character" w:customStyle="1" w:styleId="100">
    <w:name w:val="【表中文字】 Char Char"/>
    <w:link w:val="101"/>
    <w:qFormat/>
    <w:uiPriority w:val="0"/>
    <w:rPr>
      <w:sz w:val="21"/>
    </w:rPr>
  </w:style>
  <w:style w:type="paragraph" w:customStyle="1" w:styleId="101">
    <w:name w:val="【表中文字】"/>
    <w:basedOn w:val="1"/>
    <w:link w:val="100"/>
    <w:qFormat/>
    <w:uiPriority w:val="0"/>
    <w:pPr>
      <w:jc w:val="center"/>
    </w:pPr>
    <w:rPr>
      <w:kern w:val="0"/>
      <w:szCs w:val="20"/>
    </w:rPr>
  </w:style>
  <w:style w:type="paragraph" w:customStyle="1" w:styleId="102">
    <w:name w:val="a正文"/>
    <w:basedOn w:val="98"/>
    <w:link w:val="103"/>
    <w:qFormat/>
    <w:uiPriority w:val="0"/>
    <w:pPr>
      <w:spacing w:line="520" w:lineRule="exact"/>
      <w:ind w:firstLine="200"/>
    </w:pPr>
    <w:rPr>
      <w:sz w:val="24"/>
    </w:rPr>
  </w:style>
  <w:style w:type="character" w:customStyle="1" w:styleId="103">
    <w:name w:val="a正文 Char"/>
    <w:link w:val="102"/>
    <w:qFormat/>
    <w:uiPriority w:val="0"/>
    <w:rPr>
      <w:sz w:val="24"/>
      <w:szCs w:val="21"/>
    </w:rPr>
  </w:style>
  <w:style w:type="character" w:customStyle="1" w:styleId="104">
    <w:name w:val="样式1 Char Char"/>
    <w:link w:val="105"/>
    <w:qFormat/>
    <w:uiPriority w:val="0"/>
  </w:style>
  <w:style w:type="paragraph" w:customStyle="1" w:styleId="105">
    <w:name w:val="样式1"/>
    <w:basedOn w:val="1"/>
    <w:link w:val="104"/>
    <w:qFormat/>
    <w:uiPriority w:val="0"/>
    <w:pPr>
      <w:spacing w:line="360" w:lineRule="auto"/>
      <w:ind w:firstLine="720" w:firstLineChars="200"/>
    </w:pPr>
    <w:rPr>
      <w:kern w:val="0"/>
      <w:sz w:val="20"/>
      <w:szCs w:val="20"/>
    </w:rPr>
  </w:style>
  <w:style w:type="paragraph" w:customStyle="1" w:styleId="106">
    <w:name w:val="Default"/>
    <w:basedOn w:val="107"/>
    <w:next w:val="1"/>
    <w:link w:val="224"/>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07">
    <w:name w:val="表头"/>
    <w:basedOn w:val="35"/>
    <w:next w:val="1"/>
    <w:link w:val="110"/>
    <w:qFormat/>
    <w:uiPriority w:val="0"/>
    <w:pPr>
      <w:jc w:val="center"/>
    </w:pPr>
    <w:rPr>
      <w:rFonts w:ascii="Times New Roman" w:hAnsi="Times New Roman" w:eastAsia="宋体" w:cs="Times New Roman"/>
      <w:b/>
      <w:sz w:val="21"/>
      <w:szCs w:val="24"/>
      <w:lang w:val="en-US" w:eastAsia="zh-CN" w:bidi="ar-SA"/>
    </w:rPr>
  </w:style>
  <w:style w:type="paragraph" w:customStyle="1" w:styleId="108">
    <w:name w:val="表格正文"/>
    <w:link w:val="109"/>
    <w:qFormat/>
    <w:uiPriority w:val="0"/>
    <w:pPr>
      <w:adjustRightInd w:val="0"/>
      <w:snapToGrid w:val="0"/>
      <w:jc w:val="center"/>
    </w:pPr>
    <w:rPr>
      <w:rFonts w:ascii="Times New Roman" w:hAnsi="Times New Roman" w:eastAsia="宋体" w:cs="Times New Roman"/>
      <w:color w:val="FF0000"/>
      <w:kern w:val="2"/>
      <w:sz w:val="21"/>
      <w:szCs w:val="21"/>
      <w:lang w:val="en-US" w:eastAsia="zh-CN" w:bidi="ar-SA"/>
    </w:rPr>
  </w:style>
  <w:style w:type="character" w:customStyle="1" w:styleId="109">
    <w:name w:val="表格正文 Char"/>
    <w:link w:val="108"/>
    <w:qFormat/>
    <w:uiPriority w:val="0"/>
    <w:rPr>
      <w:color w:val="FF0000"/>
      <w:kern w:val="2"/>
      <w:sz w:val="21"/>
      <w:szCs w:val="21"/>
    </w:rPr>
  </w:style>
  <w:style w:type="character" w:customStyle="1" w:styleId="110">
    <w:name w:val="表头 Char1"/>
    <w:link w:val="107"/>
    <w:qFormat/>
    <w:locked/>
    <w:uiPriority w:val="0"/>
    <w:rPr>
      <w:b/>
      <w:sz w:val="21"/>
      <w:szCs w:val="24"/>
    </w:rPr>
  </w:style>
  <w:style w:type="character" w:customStyle="1" w:styleId="111">
    <w:name w:val="【正文】 Char"/>
    <w:link w:val="112"/>
    <w:qFormat/>
    <w:uiPriority w:val="0"/>
  </w:style>
  <w:style w:type="paragraph" w:customStyle="1" w:styleId="112">
    <w:name w:val="【正文】"/>
    <w:basedOn w:val="1"/>
    <w:link w:val="111"/>
    <w:qFormat/>
    <w:uiPriority w:val="0"/>
    <w:pPr>
      <w:widowControl/>
      <w:spacing w:line="520" w:lineRule="exact"/>
      <w:ind w:firstLine="480" w:firstLineChars="200"/>
    </w:pPr>
    <w:rPr>
      <w:kern w:val="0"/>
      <w:sz w:val="20"/>
      <w:szCs w:val="20"/>
    </w:rPr>
  </w:style>
  <w:style w:type="character" w:customStyle="1" w:styleId="113">
    <w:name w:val="【表头】 Char"/>
    <w:link w:val="114"/>
    <w:qFormat/>
    <w:uiPriority w:val="0"/>
    <w:rPr>
      <w:b/>
      <w:sz w:val="21"/>
    </w:rPr>
  </w:style>
  <w:style w:type="paragraph" w:customStyle="1" w:styleId="114">
    <w:name w:val="【表头】"/>
    <w:basedOn w:val="1"/>
    <w:link w:val="113"/>
    <w:qFormat/>
    <w:uiPriority w:val="0"/>
    <w:pPr>
      <w:widowControl/>
      <w:adjustRightInd w:val="0"/>
      <w:snapToGrid w:val="0"/>
      <w:spacing w:line="500" w:lineRule="exact"/>
      <w:jc w:val="center"/>
    </w:pPr>
    <w:rPr>
      <w:b/>
      <w:kern w:val="0"/>
      <w:szCs w:val="20"/>
    </w:rPr>
  </w:style>
  <w:style w:type="paragraph" w:customStyle="1" w:styleId="115">
    <w:name w:val="正文2"/>
    <w:qFormat/>
    <w:uiPriority w:val="0"/>
    <w:pPr>
      <w:widowControl w:val="0"/>
      <w:adjustRightInd w:val="0"/>
      <w:spacing w:line="360" w:lineRule="atLeast"/>
      <w:textAlignment w:val="baseline"/>
    </w:pPr>
    <w:rPr>
      <w:rFonts w:ascii="宋体" w:hAnsi="Times New Roman" w:eastAsia="宋体" w:cs="Times New Roman"/>
      <w:sz w:val="24"/>
      <w:lang w:val="en-US" w:eastAsia="zh-CN" w:bidi="ar-SA"/>
    </w:rPr>
  </w:style>
  <w:style w:type="paragraph" w:customStyle="1" w:styleId="116">
    <w:name w:val="表中的文字"/>
    <w:basedOn w:val="39"/>
    <w:link w:val="117"/>
    <w:qFormat/>
    <w:uiPriority w:val="0"/>
    <w:pPr>
      <w:spacing w:before="0" w:after="0"/>
      <w:outlineLvl w:val="9"/>
    </w:pPr>
    <w:rPr>
      <w:rFonts w:ascii="Times New Roman" w:hAnsi="Times New Roman"/>
      <w:b w:val="0"/>
      <w:sz w:val="21"/>
      <w:szCs w:val="21"/>
    </w:rPr>
  </w:style>
  <w:style w:type="character" w:customStyle="1" w:styleId="117">
    <w:name w:val="表中的文字 Char"/>
    <w:link w:val="116"/>
    <w:qFormat/>
    <w:uiPriority w:val="0"/>
    <w:rPr>
      <w:bCs/>
      <w:kern w:val="2"/>
      <w:sz w:val="21"/>
      <w:szCs w:val="21"/>
    </w:rPr>
  </w:style>
  <w:style w:type="paragraph" w:customStyle="1" w:styleId="118">
    <w:name w:val="环评表中文字"/>
    <w:basedOn w:val="1"/>
    <w:qFormat/>
    <w:uiPriority w:val="0"/>
    <w:pPr>
      <w:jc w:val="center"/>
    </w:pPr>
    <w:rPr>
      <w:szCs w:val="22"/>
    </w:rPr>
  </w:style>
  <w:style w:type="character" w:customStyle="1" w:styleId="119">
    <w:name w:val="【表中文字】- 字符"/>
    <w:link w:val="120"/>
    <w:qFormat/>
    <w:uiPriority w:val="0"/>
  </w:style>
  <w:style w:type="paragraph" w:customStyle="1" w:styleId="120">
    <w:name w:val="【表中文字】-"/>
    <w:basedOn w:val="1"/>
    <w:link w:val="119"/>
    <w:qFormat/>
    <w:uiPriority w:val="0"/>
    <w:pPr>
      <w:jc w:val="center"/>
    </w:pPr>
    <w:rPr>
      <w:kern w:val="0"/>
      <w:sz w:val="20"/>
      <w:szCs w:val="20"/>
    </w:rPr>
  </w:style>
  <w:style w:type="character" w:customStyle="1" w:styleId="121">
    <w:name w:val="正文00 Char"/>
    <w:link w:val="122"/>
    <w:qFormat/>
    <w:uiPriority w:val="0"/>
    <w:rPr>
      <w:rFonts w:cs="宋体"/>
      <w:kern w:val="2"/>
      <w:sz w:val="24"/>
      <w:szCs w:val="24"/>
    </w:rPr>
  </w:style>
  <w:style w:type="paragraph" w:customStyle="1" w:styleId="122">
    <w:name w:val="正文00"/>
    <w:basedOn w:val="1"/>
    <w:link w:val="121"/>
    <w:qFormat/>
    <w:uiPriority w:val="0"/>
    <w:pPr>
      <w:spacing w:line="360" w:lineRule="auto"/>
      <w:ind w:firstLine="480" w:firstLineChars="200"/>
    </w:pPr>
    <w:rPr>
      <w:rFonts w:cs="宋体"/>
      <w:sz w:val="24"/>
    </w:rPr>
  </w:style>
  <w:style w:type="paragraph" w:customStyle="1" w:styleId="123">
    <w:name w:val="表文"/>
    <w:basedOn w:val="1"/>
    <w:link w:val="124"/>
    <w:qFormat/>
    <w:uiPriority w:val="0"/>
    <w:pPr>
      <w:jc w:val="center"/>
    </w:pPr>
    <w:rPr>
      <w:sz w:val="24"/>
      <w:szCs w:val="20"/>
    </w:rPr>
  </w:style>
  <w:style w:type="character" w:customStyle="1" w:styleId="124">
    <w:name w:val="表文 Char"/>
    <w:link w:val="123"/>
    <w:qFormat/>
    <w:uiPriority w:val="0"/>
    <w:rPr>
      <w:kern w:val="2"/>
      <w:sz w:val="24"/>
    </w:rPr>
  </w:style>
  <w:style w:type="paragraph" w:customStyle="1" w:styleId="125">
    <w:name w:val="万瑞正文"/>
    <w:basedOn w:val="1"/>
    <w:qFormat/>
    <w:uiPriority w:val="0"/>
    <w:pPr>
      <w:adjustRightInd w:val="0"/>
      <w:snapToGrid w:val="0"/>
      <w:spacing w:line="360" w:lineRule="auto"/>
      <w:ind w:left="-4" w:leftChars="-2" w:firstLine="200" w:firstLineChars="200"/>
      <w:jc w:val="left"/>
    </w:pPr>
    <w:rPr>
      <w:sz w:val="24"/>
    </w:rPr>
  </w:style>
  <w:style w:type="character" w:customStyle="1" w:styleId="126">
    <w:name w:val="标题 字符1"/>
    <w:qFormat/>
    <w:locked/>
    <w:uiPriority w:val="0"/>
    <w:rPr>
      <w:rFonts w:ascii="Arial" w:hAnsi="Arial" w:eastAsia="黑体"/>
      <w:b/>
      <w:bCs/>
      <w:sz w:val="44"/>
      <w:szCs w:val="44"/>
    </w:rPr>
  </w:style>
  <w:style w:type="paragraph" w:customStyle="1" w:styleId="127">
    <w:name w:val="表格填充1"/>
    <w:basedOn w:val="25"/>
    <w:qFormat/>
    <w:uiPriority w:val="0"/>
    <w:pPr>
      <w:snapToGrid w:val="0"/>
    </w:pPr>
    <w:rPr>
      <w:rFonts w:ascii="Times New Roman" w:hAnsi="Times New Roman" w:eastAsia="仿宋_GB2312"/>
      <w:sz w:val="28"/>
      <w:szCs w:val="20"/>
    </w:rPr>
  </w:style>
  <w:style w:type="character" w:customStyle="1" w:styleId="128">
    <w:name w:val="【表中文字】 Char"/>
    <w:qFormat/>
    <w:uiPriority w:val="0"/>
    <w:rPr>
      <w:rFonts w:hint="default" w:ascii="Times New Roman" w:hAnsi="Times New Roman" w:cs="Times New Roman"/>
      <w:kern w:val="2"/>
      <w:sz w:val="21"/>
    </w:rPr>
  </w:style>
  <w:style w:type="paragraph" w:customStyle="1" w:styleId="129">
    <w:name w:val="Table Paragraph"/>
    <w:basedOn w:val="1"/>
    <w:qFormat/>
    <w:uiPriority w:val="0"/>
    <w:pPr>
      <w:widowControl/>
      <w:jc w:val="left"/>
    </w:pPr>
    <w:rPr>
      <w:rFonts w:ascii="Calibri" w:hAnsi="Calibri" w:cs="宋体"/>
      <w:kern w:val="0"/>
      <w:sz w:val="22"/>
      <w:szCs w:val="22"/>
    </w:rPr>
  </w:style>
  <w:style w:type="character" w:customStyle="1" w:styleId="130">
    <w:name w:val="【华瑞正文】 字符"/>
    <w:link w:val="131"/>
    <w:qFormat/>
    <w:locked/>
    <w:uiPriority w:val="0"/>
    <w:rPr>
      <w:rFonts w:ascii="宋体" w:hAnsi="宋体" w:cs="宋体"/>
      <w:kern w:val="2"/>
      <w:sz w:val="24"/>
    </w:rPr>
  </w:style>
  <w:style w:type="paragraph" w:customStyle="1" w:styleId="131">
    <w:name w:val="【华瑞正文】"/>
    <w:basedOn w:val="1"/>
    <w:link w:val="130"/>
    <w:qFormat/>
    <w:uiPriority w:val="0"/>
    <w:pPr>
      <w:spacing w:line="520" w:lineRule="exact"/>
      <w:ind w:firstLine="200" w:firstLineChars="200"/>
    </w:pPr>
    <w:rPr>
      <w:rFonts w:ascii="宋体" w:hAnsi="宋体" w:cs="宋体"/>
      <w:sz w:val="24"/>
      <w:szCs w:val="20"/>
    </w:rPr>
  </w:style>
  <w:style w:type="paragraph" w:customStyle="1" w:styleId="132">
    <w:name w:val="样式 Times New Roman 五号 居中1"/>
    <w:basedOn w:val="1"/>
    <w:qFormat/>
    <w:uiPriority w:val="0"/>
    <w:pPr>
      <w:jc w:val="center"/>
    </w:pPr>
    <w:rPr>
      <w:rFonts w:ascii="Calibri" w:hAnsi="Calibri" w:cs="宋体"/>
      <w:szCs w:val="20"/>
    </w:rPr>
  </w:style>
  <w:style w:type="character" w:customStyle="1" w:styleId="133">
    <w:name w:val="ref"/>
    <w:qFormat/>
    <w:uiPriority w:val="0"/>
  </w:style>
  <w:style w:type="character" w:customStyle="1" w:styleId="134">
    <w:name w:val="collect-text"/>
    <w:qFormat/>
    <w:uiPriority w:val="0"/>
  </w:style>
  <w:style w:type="character" w:customStyle="1" w:styleId="135">
    <w:name w:val="vote-count"/>
    <w:qFormat/>
    <w:uiPriority w:val="0"/>
  </w:style>
  <w:style w:type="character" w:customStyle="1" w:styleId="136">
    <w:name w:val="share-count"/>
    <w:qFormat/>
    <w:uiPriority w:val="0"/>
  </w:style>
  <w:style w:type="character" w:customStyle="1" w:styleId="137">
    <w:name w:val="lemma-pinyin"/>
    <w:qFormat/>
    <w:uiPriority w:val="0"/>
  </w:style>
  <w:style w:type="character" w:customStyle="1" w:styleId="138">
    <w:name w:val="text"/>
    <w:qFormat/>
    <w:uiPriority w:val="0"/>
  </w:style>
  <w:style w:type="character" w:customStyle="1" w:styleId="139">
    <w:name w:val="num"/>
    <w:qFormat/>
    <w:uiPriority w:val="0"/>
  </w:style>
  <w:style w:type="paragraph" w:customStyle="1" w:styleId="140">
    <w:name w:val="正文段落"/>
    <w:basedOn w:val="1"/>
    <w:qFormat/>
    <w:uiPriority w:val="0"/>
    <w:pPr>
      <w:spacing w:line="520" w:lineRule="exact"/>
      <w:ind w:firstLine="480" w:firstLineChars="200"/>
    </w:pPr>
    <w:rPr>
      <w:sz w:val="24"/>
    </w:rPr>
  </w:style>
  <w:style w:type="paragraph" w:customStyle="1" w:styleId="141">
    <w:name w:val="msonormal"/>
    <w:basedOn w:val="1"/>
    <w:qFormat/>
    <w:uiPriority w:val="0"/>
    <w:pPr>
      <w:widowControl/>
      <w:spacing w:before="100" w:beforeAutospacing="1" w:after="100" w:afterAutospacing="1"/>
      <w:jc w:val="left"/>
    </w:pPr>
    <w:rPr>
      <w:rFonts w:ascii="宋体" w:hAnsi="宋体"/>
      <w:kern w:val="0"/>
      <w:sz w:val="24"/>
    </w:rPr>
  </w:style>
  <w:style w:type="paragraph" w:customStyle="1" w:styleId="142">
    <w:name w:val="默认段落"/>
    <w:basedOn w:val="1"/>
    <w:qFormat/>
    <w:uiPriority w:val="99"/>
  </w:style>
  <w:style w:type="paragraph" w:styleId="143">
    <w:name w:val="List Paragraph"/>
    <w:basedOn w:val="1"/>
    <w:qFormat/>
    <w:uiPriority w:val="34"/>
    <w:pPr>
      <w:ind w:firstLine="420" w:firstLineChars="200"/>
    </w:pPr>
  </w:style>
  <w:style w:type="paragraph" w:customStyle="1" w:styleId="144">
    <w:name w:val="样式2"/>
    <w:basedOn w:val="1"/>
    <w:qFormat/>
    <w:uiPriority w:val="0"/>
    <w:pPr>
      <w:adjustRightInd w:val="0"/>
      <w:snapToGrid w:val="0"/>
      <w:spacing w:line="500" w:lineRule="exact"/>
      <w:jc w:val="center"/>
    </w:pPr>
    <w:rPr>
      <w:rFonts w:ascii="宋体" w:hAnsi="宋体"/>
      <w:b/>
      <w:bCs/>
      <w:sz w:val="24"/>
    </w:rPr>
  </w:style>
  <w:style w:type="paragraph" w:customStyle="1" w:styleId="145">
    <w:name w:val="表格标题新"/>
    <w:basedOn w:val="1"/>
    <w:qFormat/>
    <w:uiPriority w:val="0"/>
    <w:pPr>
      <w:tabs>
        <w:tab w:val="left" w:pos="0"/>
      </w:tabs>
      <w:adjustRightInd w:val="0"/>
      <w:snapToGrid w:val="0"/>
      <w:spacing w:beforeLines="50"/>
      <w:ind w:firstLine="562"/>
      <w:jc w:val="center"/>
    </w:pPr>
    <w:rPr>
      <w:rFonts w:ascii="仿宋_GB2312" w:eastAsia="黑体"/>
      <w:b/>
      <w:kern w:val="21"/>
      <w:sz w:val="24"/>
    </w:rPr>
  </w:style>
  <w:style w:type="character" w:customStyle="1" w:styleId="146">
    <w:name w:val="表、图名 Char"/>
    <w:link w:val="147"/>
    <w:semiHidden/>
    <w:qFormat/>
    <w:locked/>
    <w:uiPriority w:val="0"/>
    <w:rPr>
      <w:rFonts w:ascii="宋体" w:hAnsi="宋体"/>
      <w:b/>
      <w:sz w:val="24"/>
      <w:szCs w:val="24"/>
    </w:rPr>
  </w:style>
  <w:style w:type="paragraph" w:customStyle="1" w:styleId="147">
    <w:name w:val="表、图名"/>
    <w:basedOn w:val="1"/>
    <w:link w:val="146"/>
    <w:semiHidden/>
    <w:qFormat/>
    <w:uiPriority w:val="0"/>
    <w:pPr>
      <w:adjustRightInd w:val="0"/>
      <w:snapToGrid w:val="0"/>
      <w:spacing w:line="360" w:lineRule="auto"/>
      <w:jc w:val="center"/>
    </w:pPr>
    <w:rPr>
      <w:rFonts w:ascii="宋体" w:hAnsi="宋体"/>
      <w:b/>
      <w:kern w:val="0"/>
      <w:sz w:val="24"/>
    </w:rPr>
  </w:style>
  <w:style w:type="paragraph" w:customStyle="1" w:styleId="148">
    <w:name w:val="Char Char Char Char"/>
    <w:basedOn w:val="1"/>
    <w:qFormat/>
    <w:uiPriority w:val="0"/>
    <w:rPr>
      <w:sz w:val="24"/>
    </w:rPr>
  </w:style>
  <w:style w:type="paragraph" w:customStyle="1" w:styleId="149">
    <w:name w:val="Char"/>
    <w:basedOn w:val="1"/>
    <w:next w:val="18"/>
    <w:qFormat/>
    <w:uiPriority w:val="0"/>
    <w:rPr>
      <w:sz w:val="24"/>
    </w:rPr>
  </w:style>
  <w:style w:type="paragraph" w:customStyle="1" w:styleId="150">
    <w:name w:val="表格中文字"/>
    <w:basedOn w:val="1"/>
    <w:qFormat/>
    <w:uiPriority w:val="0"/>
    <w:pPr>
      <w:adjustRightInd w:val="0"/>
      <w:snapToGrid w:val="0"/>
      <w:jc w:val="center"/>
    </w:pPr>
    <w:rPr>
      <w:kern w:val="18"/>
      <w:szCs w:val="21"/>
    </w:rPr>
  </w:style>
  <w:style w:type="paragraph" w:customStyle="1" w:styleId="151">
    <w:name w:val="纯文本1"/>
    <w:basedOn w:val="1"/>
    <w:qFormat/>
    <w:uiPriority w:val="99"/>
    <w:pPr>
      <w:adjustRightInd w:val="0"/>
    </w:pPr>
    <w:rPr>
      <w:rFonts w:ascii="宋体" w:hAnsi="Courier New" w:cs="宋体"/>
    </w:rPr>
  </w:style>
  <w:style w:type="paragraph" w:customStyle="1" w:styleId="152">
    <w:name w:val="2"/>
    <w:basedOn w:val="1"/>
    <w:next w:val="25"/>
    <w:qFormat/>
    <w:uiPriority w:val="0"/>
    <w:rPr>
      <w:rFonts w:ascii="宋体" w:hAnsi="Lucida Console"/>
    </w:rPr>
  </w:style>
  <w:style w:type="paragraph" w:customStyle="1" w:styleId="153">
    <w:name w:val="表内5号居中"/>
    <w:qFormat/>
    <w:uiPriority w:val="0"/>
    <w:pPr>
      <w:widowControl w:val="0"/>
      <w:adjustRightInd w:val="0"/>
      <w:snapToGrid w:val="0"/>
      <w:spacing w:line="540" w:lineRule="exact"/>
      <w:ind w:firstLine="893" w:firstLineChars="425"/>
      <w:jc w:val="both"/>
    </w:pPr>
    <w:rPr>
      <w:rFonts w:ascii="黑体" w:hAnsi="Times New Roman" w:eastAsia="黑体" w:cs="Times New Roman"/>
      <w:kern w:val="2"/>
      <w:sz w:val="21"/>
      <w:szCs w:val="21"/>
      <w:lang w:val="en-US" w:eastAsia="zh-CN" w:bidi="ar-SA"/>
    </w:rPr>
  </w:style>
  <w:style w:type="paragraph" w:customStyle="1" w:styleId="154">
    <w:name w:val="CM2"/>
    <w:basedOn w:val="1"/>
    <w:next w:val="1"/>
    <w:qFormat/>
    <w:uiPriority w:val="0"/>
    <w:pPr>
      <w:autoSpaceDE w:val="0"/>
      <w:autoSpaceDN w:val="0"/>
      <w:adjustRightInd w:val="0"/>
      <w:spacing w:line="363" w:lineRule="atLeast"/>
      <w:jc w:val="left"/>
    </w:pPr>
    <w:rPr>
      <w:rFonts w:ascii="宋体" w:cs="宋体"/>
      <w:kern w:val="0"/>
      <w:sz w:val="24"/>
    </w:rPr>
  </w:style>
  <w:style w:type="paragraph" w:customStyle="1" w:styleId="155">
    <w:name w:val="中文报告书样式"/>
    <w:basedOn w:val="1"/>
    <w:qFormat/>
    <w:uiPriority w:val="0"/>
    <w:pPr>
      <w:adjustRightInd w:val="0"/>
      <w:spacing w:line="480" w:lineRule="atLeast"/>
      <w:ind w:firstLine="482"/>
    </w:pPr>
    <w:rPr>
      <w:kern w:val="24"/>
      <w:sz w:val="24"/>
      <w:szCs w:val="20"/>
    </w:rPr>
  </w:style>
  <w:style w:type="paragraph" w:customStyle="1" w:styleId="156">
    <w:name w:val="样式 方正仿宋_GBK 三号 行距: 固定值 28 磅"/>
    <w:basedOn w:val="1"/>
    <w:qFormat/>
    <w:uiPriority w:val="0"/>
    <w:pPr>
      <w:spacing w:line="360" w:lineRule="auto"/>
      <w:ind w:firstLine="200" w:firstLineChars="200"/>
      <w:jc w:val="left"/>
    </w:pPr>
    <w:rPr>
      <w:rFonts w:ascii="方正仿宋_GBK" w:hAnsi="方正仿宋_GBK" w:cs="宋体"/>
      <w:sz w:val="28"/>
    </w:rPr>
  </w:style>
  <w:style w:type="paragraph" w:customStyle="1" w:styleId="157">
    <w:name w:val="正文样式"/>
    <w:basedOn w:val="1"/>
    <w:qFormat/>
    <w:uiPriority w:val="0"/>
    <w:pPr>
      <w:spacing w:line="360" w:lineRule="auto"/>
      <w:ind w:firstLine="480" w:firstLineChars="200"/>
    </w:pPr>
    <w:rPr>
      <w:sz w:val="24"/>
      <w:szCs w:val="20"/>
    </w:rPr>
  </w:style>
  <w:style w:type="character" w:customStyle="1" w:styleId="158">
    <w:name w:val="报告书正文 Char"/>
    <w:link w:val="159"/>
    <w:qFormat/>
    <w:locked/>
    <w:uiPriority w:val="0"/>
    <w:rPr>
      <w:kern w:val="2"/>
      <w:sz w:val="24"/>
      <w:szCs w:val="24"/>
    </w:rPr>
  </w:style>
  <w:style w:type="paragraph" w:customStyle="1" w:styleId="159">
    <w:name w:val="报告书正文"/>
    <w:basedOn w:val="1"/>
    <w:link w:val="158"/>
    <w:qFormat/>
    <w:uiPriority w:val="0"/>
    <w:pPr>
      <w:spacing w:line="360" w:lineRule="auto"/>
      <w:ind w:firstLine="480" w:firstLineChars="200"/>
    </w:pPr>
    <w:rPr>
      <w:sz w:val="24"/>
    </w:rPr>
  </w:style>
  <w:style w:type="character" w:customStyle="1" w:styleId="160">
    <w:name w:val="正文－1.5行距－段后6磅 Char Char"/>
    <w:link w:val="161"/>
    <w:qFormat/>
    <w:locked/>
    <w:uiPriority w:val="0"/>
    <w:rPr>
      <w:rFonts w:ascii="Calibri" w:hAnsi="Calibri" w:cs="Calibri"/>
      <w:kern w:val="2"/>
      <w:sz w:val="24"/>
    </w:rPr>
  </w:style>
  <w:style w:type="paragraph" w:customStyle="1" w:styleId="161">
    <w:name w:val="正文－1.5行距－段后6磅"/>
    <w:basedOn w:val="1"/>
    <w:link w:val="160"/>
    <w:qFormat/>
    <w:uiPriority w:val="0"/>
    <w:pPr>
      <w:spacing w:after="120" w:line="360" w:lineRule="auto"/>
      <w:ind w:firstLine="200" w:firstLineChars="200"/>
    </w:pPr>
    <w:rPr>
      <w:rFonts w:ascii="Calibri" w:hAnsi="Calibri" w:cs="Calibri"/>
      <w:sz w:val="24"/>
      <w:szCs w:val="20"/>
    </w:rPr>
  </w:style>
  <w:style w:type="paragraph" w:customStyle="1" w:styleId="162">
    <w:name w:val="1 Char Char Char Char Char Char Char Char Char Char"/>
    <w:basedOn w:val="1"/>
    <w:qFormat/>
    <w:uiPriority w:val="0"/>
  </w:style>
  <w:style w:type="character" w:customStyle="1" w:styleId="163">
    <w:name w:val="表头1 Char"/>
    <w:link w:val="164"/>
    <w:qFormat/>
    <w:locked/>
    <w:uiPriority w:val="0"/>
    <w:rPr>
      <w:rFonts w:ascii="黑体" w:hAnsi="黑体" w:eastAsia="黑体"/>
      <w:sz w:val="21"/>
      <w:szCs w:val="28"/>
    </w:rPr>
  </w:style>
  <w:style w:type="paragraph" w:customStyle="1" w:styleId="164">
    <w:name w:val="表头1"/>
    <w:basedOn w:val="1"/>
    <w:next w:val="1"/>
    <w:link w:val="163"/>
    <w:qFormat/>
    <w:uiPriority w:val="0"/>
    <w:pPr>
      <w:tabs>
        <w:tab w:val="left" w:pos="605"/>
      </w:tabs>
      <w:adjustRightInd w:val="0"/>
      <w:snapToGrid w:val="0"/>
      <w:jc w:val="center"/>
    </w:pPr>
    <w:rPr>
      <w:rFonts w:ascii="黑体" w:hAnsi="黑体" w:eastAsia="黑体"/>
      <w:kern w:val="0"/>
      <w:szCs w:val="28"/>
    </w:rPr>
  </w:style>
  <w:style w:type="paragraph" w:customStyle="1" w:styleId="165">
    <w:name w:val="表格内容自定"/>
    <w:basedOn w:val="1"/>
    <w:qFormat/>
    <w:uiPriority w:val="0"/>
    <w:pPr>
      <w:spacing w:line="280" w:lineRule="exact"/>
      <w:jc w:val="center"/>
    </w:pPr>
    <w:rPr>
      <w:kern w:val="0"/>
      <w:sz w:val="18"/>
      <w:szCs w:val="21"/>
    </w:rPr>
  </w:style>
  <w:style w:type="paragraph" w:customStyle="1" w:styleId="166">
    <w:name w:val="三级标题"/>
    <w:basedOn w:val="1"/>
    <w:next w:val="42"/>
    <w:qFormat/>
    <w:uiPriority w:val="0"/>
    <w:pPr>
      <w:spacing w:line="440" w:lineRule="exact"/>
      <w:jc w:val="center"/>
    </w:pPr>
    <w:rPr>
      <w:w w:val="90"/>
      <w:sz w:val="24"/>
    </w:rPr>
  </w:style>
  <w:style w:type="paragraph" w:customStyle="1" w:styleId="167">
    <w:name w:val="hao01-图"/>
    <w:qFormat/>
    <w:uiPriority w:val="0"/>
    <w:pPr>
      <w:jc w:val="both"/>
    </w:pPr>
    <w:rPr>
      <w:rFonts w:ascii="宋体" w:hAnsi="Times New Roman" w:eastAsia="宋体" w:cs="Times New Roman"/>
      <w:kern w:val="2"/>
      <w:sz w:val="21"/>
      <w:lang w:val="en-US" w:eastAsia="zh-CN" w:bidi="ar-SA"/>
    </w:rPr>
  </w:style>
  <w:style w:type="character" w:customStyle="1" w:styleId="168">
    <w:name w:val="表头 Char"/>
    <w:qFormat/>
    <w:locked/>
    <w:uiPriority w:val="0"/>
    <w:rPr>
      <w:rFonts w:ascii="宋体" w:hAnsi="宋体"/>
      <w:spacing w:val="6"/>
      <w:kern w:val="2"/>
      <w:position w:val="10"/>
      <w:sz w:val="24"/>
      <w:szCs w:val="24"/>
    </w:rPr>
  </w:style>
  <w:style w:type="character" w:customStyle="1" w:styleId="169">
    <w:name w:val="正文1 Char"/>
    <w:link w:val="170"/>
    <w:qFormat/>
    <w:locked/>
    <w:uiPriority w:val="0"/>
    <w:rPr>
      <w:kern w:val="2"/>
      <w:sz w:val="24"/>
      <w:szCs w:val="24"/>
    </w:rPr>
  </w:style>
  <w:style w:type="paragraph" w:customStyle="1" w:styleId="170">
    <w:name w:val="正文1"/>
    <w:basedOn w:val="1"/>
    <w:link w:val="169"/>
    <w:qFormat/>
    <w:uiPriority w:val="0"/>
    <w:pPr>
      <w:spacing w:line="560" w:lineRule="exact"/>
      <w:ind w:firstLine="480" w:firstLineChars="200"/>
    </w:pPr>
    <w:rPr>
      <w:sz w:val="24"/>
    </w:rPr>
  </w:style>
  <w:style w:type="paragraph" w:customStyle="1" w:styleId="171">
    <w:name w:val="表"/>
    <w:basedOn w:val="1"/>
    <w:qFormat/>
    <w:uiPriority w:val="0"/>
    <w:pPr>
      <w:snapToGrid w:val="0"/>
      <w:jc w:val="center"/>
    </w:pPr>
    <w:rPr>
      <w:spacing w:val="2"/>
      <w:szCs w:val="20"/>
    </w:rPr>
  </w:style>
  <w:style w:type="paragraph" w:customStyle="1" w:styleId="172">
    <w:name w:val="报告表格"/>
    <w:basedOn w:val="1"/>
    <w:qFormat/>
    <w:uiPriority w:val="0"/>
    <w:pPr>
      <w:autoSpaceDE w:val="0"/>
      <w:autoSpaceDN w:val="0"/>
      <w:adjustRightInd w:val="0"/>
      <w:spacing w:before="40" w:after="40"/>
      <w:jc w:val="center"/>
    </w:pPr>
    <w:rPr>
      <w:kern w:val="0"/>
      <w:szCs w:val="20"/>
    </w:rPr>
  </w:style>
  <w:style w:type="paragraph" w:customStyle="1" w:styleId="173">
    <w:name w:val="表格式"/>
    <w:basedOn w:val="32"/>
    <w:qFormat/>
    <w:uiPriority w:val="0"/>
    <w:pPr>
      <w:spacing w:beforeLines="50" w:afterLines="50" w:line="200" w:lineRule="exact"/>
      <w:ind w:left="0" w:firstLine="0" w:firstLineChars="0"/>
      <w:jc w:val="center"/>
    </w:pPr>
    <w:rPr>
      <w:szCs w:val="20"/>
    </w:rPr>
  </w:style>
  <w:style w:type="paragraph" w:customStyle="1" w:styleId="174">
    <w:name w:val="图文框"/>
    <w:basedOn w:val="1"/>
    <w:qFormat/>
    <w:uiPriority w:val="0"/>
    <w:pPr>
      <w:widowControl/>
      <w:ind w:left="56" w:leftChars="-45" w:right="-67" w:rightChars="-28" w:hanging="164" w:hangingChars="78"/>
      <w:jc w:val="center"/>
    </w:pPr>
    <w:rPr>
      <w:rFonts w:ascii="宋体" w:hAnsi="宋体"/>
      <w:kern w:val="0"/>
      <w:szCs w:val="20"/>
    </w:rPr>
  </w:style>
  <w:style w:type="paragraph" w:customStyle="1" w:styleId="175">
    <w:name w:val="zxz5"/>
    <w:next w:val="1"/>
    <w:qFormat/>
    <w:uiPriority w:val="0"/>
    <w:pPr>
      <w:tabs>
        <w:tab w:val="left" w:pos="0"/>
      </w:tabs>
      <w:jc w:val="center"/>
    </w:pPr>
    <w:rPr>
      <w:rFonts w:ascii="Times New Roman" w:hAnsi="Times New Roman" w:eastAsia="宋体" w:cs="Times New Roman"/>
      <w:lang w:val="en-US" w:eastAsia="zh-CN" w:bidi="ar-SA"/>
    </w:rPr>
  </w:style>
  <w:style w:type="paragraph" w:customStyle="1" w:styleId="176">
    <w:name w:val="D正文"/>
    <w:basedOn w:val="1"/>
    <w:qFormat/>
    <w:uiPriority w:val="0"/>
    <w:pPr>
      <w:spacing w:line="324" w:lineRule="auto"/>
      <w:ind w:firstLine="200" w:firstLineChars="200"/>
    </w:pPr>
    <w:rPr>
      <w:rFonts w:ascii="Calibri" w:hAnsi="Calibri"/>
      <w:sz w:val="24"/>
      <w:szCs w:val="22"/>
    </w:rPr>
  </w:style>
  <w:style w:type="paragraph" w:customStyle="1" w:styleId="177">
    <w:name w:val="表的标题"/>
    <w:basedOn w:val="1"/>
    <w:next w:val="1"/>
    <w:qFormat/>
    <w:uiPriority w:val="0"/>
    <w:pPr>
      <w:adjustRightInd w:val="0"/>
      <w:snapToGrid w:val="0"/>
      <w:spacing w:beforeLines="50"/>
      <w:jc w:val="center"/>
    </w:pPr>
    <w:rPr>
      <w:rFonts w:eastAsia="黑体"/>
      <w:sz w:val="24"/>
    </w:rPr>
  </w:style>
  <w:style w:type="paragraph" w:customStyle="1" w:styleId="178">
    <w:name w:val="默认段落字体 Para Char Char Char Char Char Char Char Char Char Char"/>
    <w:basedOn w:val="4"/>
    <w:qFormat/>
    <w:uiPriority w:val="0"/>
    <w:pPr>
      <w:tabs>
        <w:tab w:val="left" w:pos="360"/>
        <w:tab w:val="left" w:pos="900"/>
      </w:tabs>
      <w:snapToGrid w:val="0"/>
      <w:spacing w:before="120" w:after="120" w:line="360" w:lineRule="auto"/>
      <w:ind w:left="542" w:leftChars="-12" w:firstLine="200" w:firstLineChars="200"/>
      <w:jc w:val="left"/>
    </w:pPr>
    <w:rPr>
      <w:rFonts w:eastAsia="黑体"/>
      <w:b w:val="0"/>
      <w:bCs w:val="0"/>
      <w:sz w:val="24"/>
      <w:szCs w:val="24"/>
    </w:rPr>
  </w:style>
  <w:style w:type="paragraph" w:customStyle="1" w:styleId="179">
    <w:name w:val="Char Char Char Char Char Char1 Char"/>
    <w:basedOn w:val="1"/>
    <w:qFormat/>
    <w:uiPriority w:val="0"/>
    <w:pPr>
      <w:spacing w:line="360" w:lineRule="auto"/>
    </w:pPr>
    <w:rPr>
      <w:sz w:val="24"/>
    </w:rPr>
  </w:style>
  <w:style w:type="paragraph" w:customStyle="1" w:styleId="180">
    <w:name w:val="Default1"/>
    <w:qFormat/>
    <w:uiPriority w:val="0"/>
    <w:pPr>
      <w:widowControl w:val="0"/>
      <w:autoSpaceDE w:val="0"/>
      <w:autoSpaceDN w:val="0"/>
      <w:adjustRightInd w:val="0"/>
    </w:pPr>
    <w:rPr>
      <w:rFonts w:ascii="宋体" w:hAnsi="Times New Roman" w:eastAsia="宋体" w:cs="宋体"/>
      <w:color w:val="000000"/>
      <w:sz w:val="24"/>
      <w:szCs w:val="24"/>
      <w:lang w:val="en-US" w:eastAsia="zh-CN" w:bidi="ar-SA"/>
    </w:rPr>
  </w:style>
  <w:style w:type="paragraph" w:customStyle="1" w:styleId="181">
    <w:name w:val="默认段落字体 Para Char Char Char Char"/>
    <w:basedOn w:val="1"/>
    <w:qFormat/>
    <w:uiPriority w:val="0"/>
    <w:rPr>
      <w:sz w:val="24"/>
    </w:rPr>
  </w:style>
  <w:style w:type="paragraph" w:customStyle="1" w:styleId="182">
    <w:name w:val="Char Char Char Char Char Char Char"/>
    <w:basedOn w:val="1"/>
    <w:qFormat/>
    <w:uiPriority w:val="0"/>
    <w:pPr>
      <w:adjustRightInd w:val="0"/>
      <w:spacing w:line="360" w:lineRule="auto"/>
    </w:pPr>
    <w:rPr>
      <w:kern w:val="0"/>
      <w:sz w:val="24"/>
      <w:szCs w:val="20"/>
    </w:rPr>
  </w:style>
  <w:style w:type="paragraph" w:customStyle="1" w:styleId="183">
    <w:name w:val="样式35"/>
    <w:basedOn w:val="1"/>
    <w:qFormat/>
    <w:uiPriority w:val="0"/>
    <w:pPr>
      <w:adjustRightInd w:val="0"/>
      <w:spacing w:line="312" w:lineRule="auto"/>
      <w:ind w:firstLine="567"/>
    </w:pPr>
    <w:rPr>
      <w:rFonts w:ascii="宋体"/>
      <w:kern w:val="0"/>
      <w:sz w:val="28"/>
      <w:szCs w:val="20"/>
    </w:rPr>
  </w:style>
  <w:style w:type="character" w:customStyle="1" w:styleId="184">
    <w:name w:val="文本 Char"/>
    <w:link w:val="185"/>
    <w:qFormat/>
    <w:locked/>
    <w:uiPriority w:val="0"/>
    <w:rPr>
      <w:kern w:val="2"/>
      <w:sz w:val="24"/>
      <w:szCs w:val="24"/>
    </w:rPr>
  </w:style>
  <w:style w:type="paragraph" w:customStyle="1" w:styleId="185">
    <w:name w:val="文本"/>
    <w:basedOn w:val="1"/>
    <w:link w:val="184"/>
    <w:qFormat/>
    <w:uiPriority w:val="0"/>
    <w:pPr>
      <w:adjustRightInd w:val="0"/>
      <w:snapToGrid w:val="0"/>
      <w:spacing w:line="360" w:lineRule="auto"/>
      <w:ind w:firstLine="1446" w:firstLineChars="200"/>
    </w:pPr>
    <w:rPr>
      <w:sz w:val="24"/>
    </w:rPr>
  </w:style>
  <w:style w:type="paragraph" w:customStyle="1" w:styleId="186">
    <w:name w:val="T表格"/>
    <w:qFormat/>
    <w:uiPriority w:val="0"/>
    <w:pPr>
      <w:jc w:val="center"/>
    </w:pPr>
    <w:rPr>
      <w:rFonts w:ascii="Times New Roman" w:hAnsi="Times New Roman" w:eastAsia="宋体" w:cs="Times New Roman"/>
      <w:sz w:val="21"/>
      <w:lang w:val="en-US" w:eastAsia="zh-CN" w:bidi="ar-SA"/>
    </w:rPr>
  </w:style>
  <w:style w:type="paragraph" w:customStyle="1" w:styleId="187">
    <w:name w:val="报告书表格"/>
    <w:basedOn w:val="1"/>
    <w:qFormat/>
    <w:uiPriority w:val="0"/>
    <w:pPr>
      <w:adjustRightInd w:val="0"/>
      <w:spacing w:line="240" w:lineRule="atLeast"/>
      <w:jc w:val="center"/>
    </w:pPr>
    <w:rPr>
      <w:kern w:val="0"/>
      <w:sz w:val="24"/>
      <w:szCs w:val="20"/>
    </w:rPr>
  </w:style>
  <w:style w:type="paragraph" w:customStyle="1" w:styleId="188">
    <w:name w:val="font5"/>
    <w:basedOn w:val="1"/>
    <w:qFormat/>
    <w:uiPriority w:val="0"/>
    <w:pPr>
      <w:widowControl/>
      <w:spacing w:before="100" w:beforeAutospacing="1" w:after="100" w:afterAutospacing="1"/>
      <w:jc w:val="left"/>
    </w:pPr>
    <w:rPr>
      <w:rFonts w:ascii="宋体" w:hAnsi="宋体"/>
      <w:kern w:val="0"/>
      <w:sz w:val="18"/>
      <w:szCs w:val="18"/>
    </w:rPr>
  </w:style>
  <w:style w:type="paragraph" w:customStyle="1" w:styleId="189">
    <w:name w:val="xl22"/>
    <w:basedOn w:val="1"/>
    <w:qFormat/>
    <w:uiPriority w:val="0"/>
    <w:pPr>
      <w:widowControl/>
      <w:spacing w:before="100" w:after="100"/>
      <w:jc w:val="center"/>
    </w:pPr>
    <w:rPr>
      <w:kern w:val="0"/>
      <w:sz w:val="24"/>
    </w:rPr>
  </w:style>
  <w:style w:type="paragraph" w:customStyle="1" w:styleId="190">
    <w:name w:val="样式 正文 首行缩进:  2 字符 + 首行缩进:  2 字符"/>
    <w:basedOn w:val="1"/>
    <w:qFormat/>
    <w:uiPriority w:val="0"/>
    <w:pPr>
      <w:spacing w:line="520" w:lineRule="exact"/>
      <w:ind w:firstLine="420" w:firstLineChars="150"/>
    </w:pPr>
    <w:rPr>
      <w:rFonts w:ascii="仿宋_GB2312" w:eastAsia="仿宋_GB2312"/>
      <w:bCs/>
      <w:w w:val="80"/>
      <w:sz w:val="28"/>
      <w:szCs w:val="28"/>
    </w:rPr>
  </w:style>
  <w:style w:type="character" w:customStyle="1" w:styleId="191">
    <w:name w:val="正文(首行缩进) Char"/>
    <w:link w:val="192"/>
    <w:qFormat/>
    <w:locked/>
    <w:uiPriority w:val="0"/>
    <w:rPr>
      <w:sz w:val="24"/>
      <w:szCs w:val="24"/>
    </w:rPr>
  </w:style>
  <w:style w:type="paragraph" w:customStyle="1" w:styleId="192">
    <w:name w:val="正文(首行缩进)"/>
    <w:basedOn w:val="1"/>
    <w:link w:val="191"/>
    <w:qFormat/>
    <w:uiPriority w:val="0"/>
    <w:pPr>
      <w:adjustRightInd w:val="0"/>
      <w:snapToGrid w:val="0"/>
      <w:spacing w:line="360" w:lineRule="auto"/>
      <w:ind w:firstLine="200" w:firstLineChars="200"/>
    </w:pPr>
    <w:rPr>
      <w:kern w:val="0"/>
      <w:sz w:val="24"/>
    </w:rPr>
  </w:style>
  <w:style w:type="paragraph" w:customStyle="1" w:styleId="193">
    <w:name w:val="xl29"/>
    <w:basedOn w:val="1"/>
    <w:qFormat/>
    <w:uiPriority w:val="0"/>
    <w:pPr>
      <w:widowControl/>
      <w:pBdr>
        <w:bottom w:val="single" w:color="auto" w:sz="4" w:space="0"/>
        <w:right w:val="single" w:color="auto" w:sz="8" w:space="0"/>
      </w:pBdr>
      <w:spacing w:before="100" w:beforeAutospacing="1" w:after="100" w:afterAutospacing="1"/>
      <w:jc w:val="center"/>
    </w:pPr>
    <w:rPr>
      <w:kern w:val="0"/>
      <w:szCs w:val="21"/>
    </w:rPr>
  </w:style>
  <w:style w:type="paragraph" w:customStyle="1" w:styleId="194">
    <w:name w:val="表格 32"/>
    <w:basedOn w:val="1"/>
    <w:qFormat/>
    <w:uiPriority w:val="0"/>
    <w:pPr>
      <w:autoSpaceDE w:val="0"/>
      <w:autoSpaceDN w:val="0"/>
      <w:adjustRightInd w:val="0"/>
      <w:spacing w:line="240" w:lineRule="atLeast"/>
      <w:jc w:val="center"/>
    </w:pPr>
    <w:rPr>
      <w:kern w:val="0"/>
      <w:sz w:val="24"/>
    </w:rPr>
  </w:style>
  <w:style w:type="paragraph" w:customStyle="1" w:styleId="195">
    <w:name w:val="样式 标题 3 + 宋体 小四"/>
    <w:basedOn w:val="4"/>
    <w:qFormat/>
    <w:uiPriority w:val="0"/>
    <w:pPr>
      <w:keepLines w:val="0"/>
      <w:spacing w:before="0" w:after="0" w:line="360" w:lineRule="auto"/>
      <w:ind w:right="-105" w:rightChars="-50" w:firstLine="482" w:firstLineChars="100"/>
      <w:jc w:val="center"/>
      <w:outlineLvl w:val="9"/>
    </w:pPr>
    <w:rPr>
      <w:rFonts w:ascii="Calibri" w:hAnsi="Calibri"/>
      <w:b w:val="0"/>
      <w:w w:val="90"/>
      <w:kern w:val="0"/>
      <w:sz w:val="24"/>
    </w:rPr>
  </w:style>
  <w:style w:type="character" w:customStyle="1" w:styleId="196">
    <w:name w:val="报告 Char"/>
    <w:link w:val="197"/>
    <w:qFormat/>
    <w:locked/>
    <w:uiPriority w:val="0"/>
    <w:rPr>
      <w:sz w:val="24"/>
    </w:rPr>
  </w:style>
  <w:style w:type="paragraph" w:customStyle="1" w:styleId="197">
    <w:name w:val="报告"/>
    <w:basedOn w:val="1"/>
    <w:link w:val="196"/>
    <w:qFormat/>
    <w:uiPriority w:val="0"/>
    <w:pPr>
      <w:adjustRightInd w:val="0"/>
      <w:spacing w:line="360" w:lineRule="auto"/>
      <w:ind w:firstLine="505"/>
      <w:jc w:val="left"/>
    </w:pPr>
    <w:rPr>
      <w:kern w:val="0"/>
      <w:sz w:val="24"/>
      <w:szCs w:val="20"/>
    </w:rPr>
  </w:style>
  <w:style w:type="paragraph" w:customStyle="1" w:styleId="198">
    <w:name w:val="样式3"/>
    <w:basedOn w:val="1"/>
    <w:qFormat/>
    <w:uiPriority w:val="0"/>
    <w:pPr>
      <w:autoSpaceDE w:val="0"/>
      <w:autoSpaceDN w:val="0"/>
      <w:snapToGrid w:val="0"/>
      <w:spacing w:before="120" w:line="460" w:lineRule="atLeast"/>
      <w:jc w:val="center"/>
    </w:pPr>
    <w:rPr>
      <w:rFonts w:eastAsia="黑体"/>
      <w:sz w:val="28"/>
    </w:rPr>
  </w:style>
  <w:style w:type="paragraph" w:customStyle="1" w:styleId="199">
    <w:name w:val="pic-info"/>
    <w:basedOn w:val="1"/>
    <w:qFormat/>
    <w:uiPriority w:val="0"/>
    <w:pPr>
      <w:widowControl/>
      <w:spacing w:before="100" w:beforeAutospacing="1" w:after="100" w:afterAutospacing="1"/>
      <w:jc w:val="left"/>
    </w:pPr>
    <w:rPr>
      <w:rFonts w:ascii="宋体" w:hAnsi="宋体" w:cs="宋体"/>
      <w:kern w:val="0"/>
      <w:sz w:val="24"/>
    </w:rPr>
  </w:style>
  <w:style w:type="paragraph" w:customStyle="1" w:styleId="200">
    <w:name w:val="图文"/>
    <w:basedOn w:val="1"/>
    <w:qFormat/>
    <w:uiPriority w:val="0"/>
    <w:pPr>
      <w:jc w:val="center"/>
    </w:pPr>
  </w:style>
  <w:style w:type="paragraph" w:customStyle="1" w:styleId="201">
    <w:name w:val="hao01-0"/>
    <w:qFormat/>
    <w:uiPriority w:val="0"/>
    <w:pPr>
      <w:ind w:firstLine="200" w:firstLineChars="200"/>
    </w:pPr>
    <w:rPr>
      <w:rFonts w:ascii="Times New Roman" w:hAnsi="Times New Roman" w:eastAsia="宋体" w:cs="Times New Roman"/>
      <w:kern w:val="2"/>
      <w:sz w:val="24"/>
      <w:lang w:val="en-US" w:eastAsia="zh-CN" w:bidi="ar-SA"/>
    </w:rPr>
  </w:style>
  <w:style w:type="paragraph" w:customStyle="1" w:styleId="202">
    <w:name w:val="默认段落字体 Para Char"/>
    <w:basedOn w:val="1"/>
    <w:qFormat/>
    <w:uiPriority w:val="0"/>
    <w:rPr>
      <w:sz w:val="24"/>
    </w:rPr>
  </w:style>
  <w:style w:type="character" w:customStyle="1" w:styleId="203">
    <w:name w:val="font111"/>
    <w:qFormat/>
    <w:uiPriority w:val="0"/>
    <w:rPr>
      <w:rFonts w:hint="eastAsia" w:ascii="宋体" w:hAnsi="宋体" w:eastAsia="宋体"/>
      <w:b/>
      <w:bCs/>
      <w:color w:val="426196"/>
      <w:sz w:val="28"/>
      <w:szCs w:val="28"/>
    </w:rPr>
  </w:style>
  <w:style w:type="character" w:customStyle="1" w:styleId="204">
    <w:name w:val="表内文字 Char Char"/>
    <w:qFormat/>
    <w:uiPriority w:val="0"/>
    <w:rPr>
      <w:rFonts w:hint="eastAsia" w:ascii="宋体" w:hAnsi="Courier New" w:eastAsia="宋体" w:cs="Courier New"/>
      <w:kern w:val="2"/>
      <w:sz w:val="21"/>
      <w:szCs w:val="21"/>
      <w:lang w:val="en-US" w:eastAsia="zh-CN" w:bidi="ar-SA"/>
    </w:rPr>
  </w:style>
  <w:style w:type="character" w:customStyle="1" w:styleId="205">
    <w:name w:val="apple-style-span"/>
    <w:qFormat/>
    <w:uiPriority w:val="0"/>
  </w:style>
  <w:style w:type="character" w:customStyle="1" w:styleId="206">
    <w:name w:val="t_tag"/>
    <w:qFormat/>
    <w:uiPriority w:val="0"/>
  </w:style>
  <w:style w:type="character" w:customStyle="1" w:styleId="207">
    <w:name w:val="ddd"/>
    <w:qFormat/>
    <w:uiPriority w:val="0"/>
  </w:style>
  <w:style w:type="character" w:customStyle="1" w:styleId="208">
    <w:name w:val="正文文本缩进 2 Char"/>
    <w:qFormat/>
    <w:uiPriority w:val="0"/>
    <w:rPr>
      <w:rFonts w:hint="eastAsia" w:ascii="宋体" w:hAnsi="宋体" w:eastAsia="宋体"/>
      <w:kern w:val="2"/>
      <w:sz w:val="28"/>
      <w:szCs w:val="24"/>
      <w:lang w:val="en-US" w:eastAsia="zh-CN" w:bidi="ar-SA"/>
    </w:rPr>
  </w:style>
  <w:style w:type="character" w:customStyle="1" w:styleId="209">
    <w:name w:val="postbody1"/>
    <w:qFormat/>
    <w:uiPriority w:val="0"/>
    <w:rPr>
      <w:sz w:val="21"/>
      <w:szCs w:val="21"/>
    </w:rPr>
  </w:style>
  <w:style w:type="character" w:customStyle="1" w:styleId="210">
    <w:name w:val="表格 Char Char"/>
    <w:qFormat/>
    <w:locked/>
    <w:uiPriority w:val="0"/>
    <w:rPr>
      <w:rFonts w:hint="eastAsia" w:ascii="黑体" w:hAnsi="黑体" w:eastAsia="黑体" w:cs="Times New Roman"/>
      <w:kern w:val="2"/>
      <w:sz w:val="21"/>
      <w:szCs w:val="24"/>
    </w:rPr>
  </w:style>
  <w:style w:type="character" w:customStyle="1" w:styleId="211">
    <w:name w:val="body21"/>
    <w:qFormat/>
    <w:uiPriority w:val="0"/>
    <w:rPr>
      <w:rFonts w:hint="eastAsia" w:ascii="宋体" w:hAnsi="宋体" w:eastAsia="宋体"/>
      <w:color w:val="006666"/>
      <w:sz w:val="27"/>
      <w:szCs w:val="27"/>
    </w:rPr>
  </w:style>
  <w:style w:type="character" w:customStyle="1" w:styleId="212">
    <w:name w:val="普通文字 Char Char Char Char Char Char1"/>
    <w:qFormat/>
    <w:uiPriority w:val="0"/>
    <w:rPr>
      <w:rFonts w:hint="eastAsia" w:ascii="宋体" w:hAnsi="Courier New" w:eastAsia="宋体" w:cs="Courier New"/>
      <w:kern w:val="2"/>
      <w:sz w:val="21"/>
      <w:szCs w:val="21"/>
      <w:lang w:val="en-US" w:eastAsia="zh-CN" w:bidi="ar-SA"/>
    </w:rPr>
  </w:style>
  <w:style w:type="character" w:customStyle="1" w:styleId="213">
    <w:name w:val="wz1"/>
    <w:qFormat/>
    <w:uiPriority w:val="0"/>
  </w:style>
  <w:style w:type="character" w:customStyle="1" w:styleId="214">
    <w:name w:val="style10"/>
    <w:qFormat/>
    <w:uiPriority w:val="0"/>
  </w:style>
  <w:style w:type="table" w:customStyle="1" w:styleId="215">
    <w:name w:val="左右无边表格"/>
    <w:basedOn w:val="43"/>
    <w:qFormat/>
    <w:uiPriority w:val="0"/>
    <w:pPr>
      <w:jc w:val="center"/>
    </w:pPr>
    <w:rPr>
      <w:sz w:val="21"/>
    </w:rPr>
    <w:tblPr>
      <w:tblBorders>
        <w:top w:val="single" w:color="auto" w:sz="12" w:space="0"/>
        <w:bottom w:val="single" w:color="auto" w:sz="12" w:space="0"/>
        <w:insideH w:val="single" w:color="auto" w:sz="4" w:space="0"/>
        <w:insideV w:val="single" w:color="auto" w:sz="4" w:space="0"/>
      </w:tblBorders>
      <w:tblCellMar>
        <w:left w:w="0" w:type="dxa"/>
        <w:right w:w="0" w:type="dxa"/>
      </w:tblCellMar>
    </w:tblPr>
    <w:tcPr>
      <w:vAlign w:val="center"/>
    </w:tcPr>
  </w:style>
  <w:style w:type="table" w:customStyle="1" w:styleId="216">
    <w:name w:val="无左右边框型"/>
    <w:basedOn w:val="44"/>
    <w:qFormat/>
    <w:uiPriority w:val="0"/>
    <w:pPr>
      <w:widowControl w:val="0"/>
      <w:jc w:val="both"/>
    </w:pPr>
  </w:style>
  <w:style w:type="paragraph" w:customStyle="1" w:styleId="217">
    <w:name w:val="表格名称"/>
    <w:basedOn w:val="84"/>
    <w:qFormat/>
    <w:uiPriority w:val="0"/>
    <w:pPr>
      <w:spacing w:beforeLines="0" w:afterLines="0" w:line="240" w:lineRule="atLeast"/>
    </w:pPr>
    <w:rPr>
      <w:rFonts w:hint="eastAsia" w:ascii="仿宋_GB2312" w:eastAsia="仿宋_GB2312"/>
      <w:b/>
      <w:kern w:val="2"/>
      <w:sz w:val="24"/>
    </w:rPr>
  </w:style>
  <w:style w:type="character" w:customStyle="1" w:styleId="218">
    <w:name w:val="样式 样式 样式 样式 首行缩进:  1 字符 + 首行缩进:  2 字符2 + 首行缩进:  2 字符 + Char"/>
    <w:qFormat/>
    <w:uiPriority w:val="99"/>
    <w:rPr>
      <w:rFonts w:eastAsia="Times New Roman"/>
      <w:sz w:val="24"/>
      <w:szCs w:val="24"/>
      <w:lang w:val="en-US" w:eastAsia="zh-CN"/>
    </w:rPr>
  </w:style>
  <w:style w:type="paragraph" w:customStyle="1" w:styleId="219">
    <w:name w:val="样式 样式 样式 首行缩进:  1 字符 + 首行缩进:  2 字符1 + 首行缩进:  2 字符2"/>
    <w:basedOn w:val="1"/>
    <w:qFormat/>
    <w:uiPriority w:val="0"/>
    <w:pPr>
      <w:spacing w:line="360" w:lineRule="auto"/>
      <w:ind w:firstLine="480" w:firstLineChars="200"/>
    </w:pPr>
    <w:rPr>
      <w:rFonts w:ascii="宋体" w:hAnsi="宋体" w:cs="宋体"/>
      <w:sz w:val="24"/>
    </w:rPr>
  </w:style>
  <w:style w:type="character" w:customStyle="1" w:styleId="220">
    <w:name w:val="样式 样式 样式 首行缩进:  1 字符 + 首行缩进:  2 字符2 + 首行缩进:  2 字符 Char Char"/>
    <w:link w:val="221"/>
    <w:qFormat/>
    <w:locked/>
    <w:uiPriority w:val="0"/>
    <w:rPr>
      <w:rFonts w:ascii="宋体" w:hAnsi="宋体" w:eastAsia="Times New Roman" w:cs="宋体"/>
      <w:sz w:val="24"/>
      <w:szCs w:val="24"/>
    </w:rPr>
  </w:style>
  <w:style w:type="paragraph" w:customStyle="1" w:styleId="221">
    <w:name w:val="样式 样式 样式 首行缩进:  1 字符 + 首行缩进:  2 字符2 + 首行缩进:  2 字符"/>
    <w:basedOn w:val="1"/>
    <w:link w:val="220"/>
    <w:qFormat/>
    <w:uiPriority w:val="0"/>
    <w:pPr>
      <w:spacing w:line="360" w:lineRule="auto"/>
      <w:ind w:firstLine="480" w:firstLineChars="200"/>
    </w:pPr>
    <w:rPr>
      <w:rFonts w:ascii="宋体" w:hAnsi="宋体" w:eastAsia="Times New Roman" w:cs="宋体"/>
      <w:kern w:val="0"/>
      <w:sz w:val="24"/>
    </w:rPr>
  </w:style>
  <w:style w:type="character" w:customStyle="1" w:styleId="222">
    <w:name w:val="htd01"/>
    <w:qFormat/>
    <w:uiPriority w:val="0"/>
  </w:style>
  <w:style w:type="paragraph" w:customStyle="1" w:styleId="223">
    <w:name w:val="样式 表格内文字格式 + 四号 加粗 首行缩进:  2 字符"/>
    <w:basedOn w:val="1"/>
    <w:qFormat/>
    <w:uiPriority w:val="0"/>
    <w:pPr>
      <w:widowControl/>
      <w:spacing w:line="360" w:lineRule="auto"/>
      <w:ind w:right="-55" w:firstLine="517" w:firstLineChars="158"/>
      <w:jc w:val="left"/>
    </w:pPr>
    <w:rPr>
      <w:rFonts w:ascii="宋体" w:hAnsi="宋体" w:cs="宋体"/>
      <w:b/>
      <w:bCs/>
      <w:spacing w:val="80"/>
      <w:sz w:val="28"/>
      <w:szCs w:val="20"/>
    </w:rPr>
  </w:style>
  <w:style w:type="character" w:customStyle="1" w:styleId="224">
    <w:name w:val="Default Char Char"/>
    <w:link w:val="106"/>
    <w:qFormat/>
    <w:uiPriority w:val="0"/>
    <w:rPr>
      <w:rFonts w:ascii="宋体" w:cs="宋体"/>
      <w:color w:val="000000"/>
      <w:sz w:val="24"/>
      <w:szCs w:val="24"/>
    </w:rPr>
  </w:style>
  <w:style w:type="paragraph" w:customStyle="1" w:styleId="225">
    <w:name w:val="2表中文字"/>
    <w:qFormat/>
    <w:uiPriority w:val="0"/>
    <w:pPr>
      <w:jc w:val="center"/>
    </w:pPr>
    <w:rPr>
      <w:rFonts w:ascii="Times New Roman" w:hAnsi="Times New Roman" w:eastAsia="宋体" w:cs="Times New Roman"/>
      <w:kern w:val="2"/>
      <w:sz w:val="21"/>
      <w:szCs w:val="21"/>
      <w:lang w:val="en-US" w:eastAsia="zh-CN" w:bidi="ar-SA"/>
    </w:rPr>
  </w:style>
  <w:style w:type="paragraph" w:customStyle="1" w:styleId="226">
    <w:name w:val="正文缩进1"/>
    <w:basedOn w:val="1"/>
    <w:qFormat/>
    <w:uiPriority w:val="0"/>
    <w:pPr>
      <w:spacing w:line="520" w:lineRule="exact"/>
      <w:ind w:firstLine="624"/>
    </w:pPr>
    <w:rPr>
      <w:sz w:val="28"/>
    </w:rPr>
  </w:style>
  <w:style w:type="paragraph" w:customStyle="1" w:styleId="227">
    <w:name w:val="TOC Heading"/>
    <w:basedOn w:val="3"/>
    <w:next w:val="1"/>
    <w:unhideWhenUsed/>
    <w:qFormat/>
    <w:uiPriority w:val="39"/>
    <w:pPr>
      <w:keepLines/>
      <w:widowControl/>
      <w:overflowPunct/>
      <w:snapToGrid/>
      <w:spacing w:before="240" w:after="0"/>
      <w:ind w:left="0" w:firstLine="0"/>
      <w:jc w:val="left"/>
      <w:outlineLvl w:val="9"/>
    </w:pPr>
    <w:rPr>
      <w:rFonts w:ascii="等线 Light" w:hAnsi="等线 Light" w:eastAsia="等线 Light"/>
      <w:b w:val="0"/>
      <w:bCs w:val="0"/>
      <w:color w:val="2E74B5"/>
      <w:kern w:val="0"/>
      <w:sz w:val="32"/>
      <w:szCs w:val="32"/>
    </w:rPr>
  </w:style>
  <w:style w:type="paragraph" w:customStyle="1" w:styleId="228">
    <w:name w:val="表格题目"/>
    <w:basedOn w:val="1"/>
    <w:qFormat/>
    <w:uiPriority w:val="0"/>
    <w:pPr>
      <w:spacing w:line="240" w:lineRule="atLeast"/>
      <w:jc w:val="center"/>
    </w:pPr>
    <w:rPr>
      <w:rFonts w:ascii="黑体" w:hAnsi="宋体" w:eastAsia="黑体"/>
      <w:sz w:val="24"/>
    </w:rPr>
  </w:style>
  <w:style w:type="character" w:customStyle="1" w:styleId="229">
    <w:name w:val="标题 5 Char"/>
    <w:basedOn w:val="47"/>
    <w:link w:val="6"/>
    <w:qFormat/>
    <w:uiPriority w:val="0"/>
    <w:rPr>
      <w:rFonts w:eastAsia="华文中宋"/>
      <w:bCs/>
      <w:kern w:val="2"/>
      <w:sz w:val="28"/>
      <w:szCs w:val="28"/>
    </w:rPr>
  </w:style>
  <w:style w:type="character" w:customStyle="1" w:styleId="230">
    <w:name w:val="标题 6 Char"/>
    <w:basedOn w:val="47"/>
    <w:link w:val="7"/>
    <w:qFormat/>
    <w:uiPriority w:val="0"/>
    <w:rPr>
      <w:sz w:val="24"/>
    </w:rPr>
  </w:style>
  <w:style w:type="character" w:customStyle="1" w:styleId="231">
    <w:name w:val="标题 8 Char"/>
    <w:basedOn w:val="47"/>
    <w:link w:val="9"/>
    <w:qFormat/>
    <w:uiPriority w:val="0"/>
    <w:rPr>
      <w:rFonts w:ascii="Arial" w:hAnsi="Arial"/>
      <w:b/>
      <w:kern w:val="2"/>
      <w:sz w:val="24"/>
    </w:rPr>
  </w:style>
  <w:style w:type="character" w:customStyle="1" w:styleId="232">
    <w:name w:val="标题 9 Char"/>
    <w:basedOn w:val="47"/>
    <w:link w:val="10"/>
    <w:qFormat/>
    <w:uiPriority w:val="0"/>
    <w:rPr>
      <w:rFonts w:ascii="Arial" w:hAnsi="Arial"/>
      <w:b/>
      <w:kern w:val="2"/>
      <w:sz w:val="24"/>
    </w:rPr>
  </w:style>
  <w:style w:type="paragraph" w:customStyle="1" w:styleId="233">
    <w:name w:val="WW-纯文本"/>
    <w:basedOn w:val="1"/>
    <w:qFormat/>
    <w:uiPriority w:val="0"/>
    <w:pPr>
      <w:suppressAutoHyphens/>
      <w:spacing w:line="312" w:lineRule="atLeast"/>
      <w:textAlignment w:val="baseline"/>
    </w:pPr>
    <w:rPr>
      <w:rFonts w:ascii="宋体" w:hAnsi="宋体" w:eastAsia="楷体_GB2312" w:cs="Courier New"/>
      <w:szCs w:val="21"/>
    </w:rPr>
  </w:style>
  <w:style w:type="character" w:customStyle="1" w:styleId="234">
    <w:name w:val="font01"/>
    <w:qFormat/>
    <w:uiPriority w:val="0"/>
    <w:rPr>
      <w:rFonts w:hint="default" w:ascii="Times New Roman" w:hAnsi="Times New Roman" w:cs="Times New Roman"/>
      <w:color w:val="000000"/>
      <w:sz w:val="21"/>
      <w:szCs w:val="21"/>
      <w:u w:val="none"/>
      <w:vertAlign w:val="subscript"/>
    </w:rPr>
  </w:style>
  <w:style w:type="character" w:customStyle="1" w:styleId="235">
    <w:name w:val="apple-converted-space"/>
    <w:qFormat/>
    <w:uiPriority w:val="0"/>
  </w:style>
  <w:style w:type="character" w:customStyle="1" w:styleId="236">
    <w:name w:val="标题2"/>
    <w:qFormat/>
    <w:uiPriority w:val="0"/>
  </w:style>
  <w:style w:type="paragraph" w:customStyle="1" w:styleId="237">
    <w:name w:val="_Style 4"/>
    <w:qFormat/>
    <w:uiPriority w:val="0"/>
    <w:pPr>
      <w:widowControl w:val="0"/>
      <w:jc w:val="both"/>
    </w:pPr>
    <w:rPr>
      <w:rFonts w:ascii="Calibri" w:hAnsi="Calibri" w:eastAsia="仿宋_GB2312" w:cs="Times New Roman"/>
      <w:kern w:val="2"/>
      <w:sz w:val="24"/>
      <w:szCs w:val="22"/>
      <w:lang w:val="en-US" w:eastAsia="zh-CN" w:bidi="ar-SA"/>
    </w:rPr>
  </w:style>
  <w:style w:type="paragraph" w:customStyle="1" w:styleId="238">
    <w:name w:val="无间隔1"/>
    <w:link w:val="239"/>
    <w:qFormat/>
    <w:uiPriority w:val="0"/>
    <w:pPr>
      <w:widowControl w:val="0"/>
      <w:spacing w:line="360" w:lineRule="auto"/>
      <w:jc w:val="both"/>
    </w:pPr>
    <w:rPr>
      <w:rFonts w:ascii="Calibri" w:hAnsi="Calibri" w:eastAsia="宋体" w:cs="Times New Roman"/>
      <w:kern w:val="2"/>
      <w:sz w:val="24"/>
      <w:szCs w:val="22"/>
      <w:lang w:val="en-US" w:eastAsia="zh-CN" w:bidi="ar-SA"/>
    </w:rPr>
  </w:style>
  <w:style w:type="character" w:customStyle="1" w:styleId="239">
    <w:name w:val="无间隔 字符"/>
    <w:link w:val="238"/>
    <w:qFormat/>
    <w:uiPriority w:val="0"/>
    <w:rPr>
      <w:rFonts w:ascii="Calibri" w:hAnsi="Calibri"/>
      <w:kern w:val="2"/>
      <w:sz w:val="24"/>
      <w:szCs w:val="22"/>
    </w:rPr>
  </w:style>
  <w:style w:type="character" w:customStyle="1" w:styleId="240">
    <w:name w:val="题注 Char"/>
    <w:link w:val="13"/>
    <w:qFormat/>
    <w:uiPriority w:val="0"/>
    <w:rPr>
      <w:rFonts w:ascii="Arial" w:hAnsi="Arial" w:eastAsia="黑体" w:cs="Arial"/>
      <w:kern w:val="2"/>
      <w:sz w:val="24"/>
      <w:szCs w:val="22"/>
    </w:rPr>
  </w:style>
  <w:style w:type="paragraph" w:customStyle="1" w:styleId="241">
    <w:name w:val="封皮-证书编号"/>
    <w:basedOn w:val="1"/>
    <w:qFormat/>
    <w:uiPriority w:val="0"/>
    <w:pPr>
      <w:jc w:val="center"/>
    </w:pPr>
    <w:rPr>
      <w:rFonts w:eastAsia="黑体"/>
      <w:sz w:val="28"/>
    </w:rPr>
  </w:style>
  <w:style w:type="character" w:customStyle="1" w:styleId="242">
    <w:name w:val="【图号】"/>
    <w:qFormat/>
    <w:uiPriority w:val="0"/>
    <w:rPr>
      <w:b/>
      <w:kern w:val="2"/>
      <w:sz w:val="21"/>
      <w:szCs w:val="24"/>
    </w:rPr>
  </w:style>
  <w:style w:type="character" w:customStyle="1" w:styleId="243">
    <w:name w:val="font21"/>
    <w:qFormat/>
    <w:uiPriority w:val="0"/>
    <w:rPr>
      <w:rFonts w:hint="default" w:ascii="Times New Roman" w:hAnsi="Times New Roman" w:cs="Times New Roman"/>
      <w:color w:val="000000"/>
      <w:sz w:val="21"/>
      <w:szCs w:val="21"/>
      <w:u w:val="none"/>
    </w:rPr>
  </w:style>
  <w:style w:type="character" w:customStyle="1" w:styleId="244">
    <w:name w:val="font31"/>
    <w:qFormat/>
    <w:uiPriority w:val="0"/>
    <w:rPr>
      <w:rFonts w:hint="default" w:ascii="Times New Roman" w:hAnsi="Times New Roman" w:cs="Times New Roman"/>
      <w:color w:val="000000"/>
      <w:sz w:val="21"/>
      <w:szCs w:val="21"/>
      <w:u w:val="none"/>
      <w:vertAlign w:val="superscript"/>
    </w:rPr>
  </w:style>
  <w:style w:type="paragraph" w:customStyle="1" w:styleId="245">
    <w:name w:val="正文缩进3"/>
    <w:basedOn w:val="1"/>
    <w:qFormat/>
    <w:uiPriority w:val="0"/>
    <w:pPr>
      <w:spacing w:line="520" w:lineRule="exact"/>
      <w:ind w:firstLine="624"/>
    </w:pPr>
    <w:rPr>
      <w:sz w:val="28"/>
    </w:rPr>
  </w:style>
  <w:style w:type="paragraph" w:customStyle="1" w:styleId="246">
    <w:name w:val="附图标题"/>
    <w:basedOn w:val="1"/>
    <w:qFormat/>
    <w:uiPriority w:val="0"/>
    <w:pPr>
      <w:jc w:val="center"/>
    </w:pPr>
    <w:rPr>
      <w:b/>
      <w:sz w:val="28"/>
    </w:rPr>
  </w:style>
  <w:style w:type="paragraph" w:customStyle="1" w:styleId="247">
    <w:name w:val="正文----------------"/>
    <w:basedOn w:val="1"/>
    <w:link w:val="298"/>
    <w:qFormat/>
    <w:uiPriority w:val="0"/>
    <w:pPr>
      <w:spacing w:line="440" w:lineRule="exact"/>
      <w:ind w:firstLine="544" w:firstLineChars="200"/>
    </w:pPr>
    <w:rPr>
      <w:spacing w:val="16"/>
      <w:sz w:val="24"/>
      <w:szCs w:val="20"/>
    </w:rPr>
  </w:style>
  <w:style w:type="paragraph" w:customStyle="1" w:styleId="248">
    <w:name w:val="内容"/>
    <w:basedOn w:val="1"/>
    <w:link w:val="249"/>
    <w:qFormat/>
    <w:uiPriority w:val="0"/>
    <w:pPr>
      <w:spacing w:before="156" w:beforeLines="50" w:after="156" w:afterLines="50"/>
      <w:ind w:firstLine="200" w:firstLineChars="200"/>
    </w:pPr>
    <w:rPr>
      <w:color w:val="000000"/>
      <w:sz w:val="24"/>
    </w:rPr>
  </w:style>
  <w:style w:type="character" w:customStyle="1" w:styleId="249">
    <w:name w:val="内容 Char"/>
    <w:link w:val="248"/>
    <w:qFormat/>
    <w:uiPriority w:val="0"/>
    <w:rPr>
      <w:color w:val="000000"/>
      <w:kern w:val="2"/>
      <w:sz w:val="24"/>
      <w:szCs w:val="24"/>
    </w:rPr>
  </w:style>
  <w:style w:type="paragraph" w:customStyle="1" w:styleId="250">
    <w:name w:val="样式 正文11 + 首行缩进:  2 字符"/>
    <w:basedOn w:val="1"/>
    <w:qFormat/>
    <w:uiPriority w:val="0"/>
    <w:pPr>
      <w:spacing w:line="500" w:lineRule="exact"/>
      <w:ind w:firstLine="560" w:firstLineChars="200"/>
    </w:pPr>
    <w:rPr>
      <w:rFonts w:ascii="宋体" w:hAnsi="宋体" w:cs="宋体"/>
      <w:color w:val="FF0000"/>
      <w:sz w:val="28"/>
      <w:szCs w:val="20"/>
    </w:rPr>
  </w:style>
  <w:style w:type="paragraph" w:customStyle="1" w:styleId="251">
    <w:name w:val="报告表信息录入大表格格式"/>
    <w:basedOn w:val="1"/>
    <w:next w:val="1"/>
    <w:qFormat/>
    <w:uiPriority w:val="0"/>
    <w:pPr>
      <w:jc w:val="center"/>
    </w:pPr>
    <w:rPr>
      <w:sz w:val="24"/>
    </w:rPr>
  </w:style>
  <w:style w:type="paragraph" w:customStyle="1" w:styleId="252">
    <w:name w:val="报告表图标题"/>
    <w:basedOn w:val="1"/>
    <w:qFormat/>
    <w:uiPriority w:val="0"/>
    <w:pPr>
      <w:numPr>
        <w:ilvl w:val="0"/>
        <w:numId w:val="2"/>
      </w:numPr>
      <w:tabs>
        <w:tab w:val="left" w:pos="0"/>
      </w:tabs>
      <w:spacing w:line="360" w:lineRule="auto"/>
      <w:jc w:val="center"/>
    </w:pPr>
    <w:rPr>
      <w:b/>
      <w:kern w:val="0"/>
      <w:sz w:val="24"/>
      <w:szCs w:val="22"/>
    </w:rPr>
  </w:style>
  <w:style w:type="character" w:customStyle="1" w:styleId="253">
    <w:name w:val="C【表中文字】- 字符"/>
    <w:link w:val="254"/>
    <w:qFormat/>
    <w:uiPriority w:val="0"/>
    <w:rPr>
      <w:kern w:val="2"/>
      <w:sz w:val="21"/>
      <w:szCs w:val="21"/>
    </w:rPr>
  </w:style>
  <w:style w:type="paragraph" w:customStyle="1" w:styleId="254">
    <w:name w:val="C【表中文字】-"/>
    <w:basedOn w:val="101"/>
    <w:next w:val="102"/>
    <w:link w:val="253"/>
    <w:qFormat/>
    <w:uiPriority w:val="0"/>
    <w:pPr>
      <w:overflowPunct w:val="0"/>
      <w:adjustRightInd w:val="0"/>
      <w:textAlignment w:val="baseline"/>
    </w:pPr>
    <w:rPr>
      <w:kern w:val="2"/>
      <w:szCs w:val="21"/>
    </w:rPr>
  </w:style>
  <w:style w:type="character" w:customStyle="1" w:styleId="255">
    <w:name w:val="表格15 Char"/>
    <w:link w:val="256"/>
    <w:qFormat/>
    <w:uiPriority w:val="0"/>
    <w:rPr>
      <w:rFonts w:ascii="宋体"/>
      <w:color w:val="000000"/>
      <w:kern w:val="2"/>
      <w:sz w:val="21"/>
      <w:szCs w:val="21"/>
    </w:rPr>
  </w:style>
  <w:style w:type="paragraph" w:customStyle="1" w:styleId="256">
    <w:name w:val="表格15"/>
    <w:basedOn w:val="1"/>
    <w:link w:val="255"/>
    <w:qFormat/>
    <w:uiPriority w:val="0"/>
    <w:pPr>
      <w:widowControl/>
      <w:spacing w:line="300" w:lineRule="exact"/>
      <w:jc w:val="center"/>
    </w:pPr>
    <w:rPr>
      <w:rFonts w:ascii="宋体"/>
      <w:color w:val="000000"/>
      <w:szCs w:val="21"/>
    </w:rPr>
  </w:style>
  <w:style w:type="paragraph" w:customStyle="1" w:styleId="257">
    <w:name w:val="表格18"/>
    <w:basedOn w:val="1"/>
    <w:qFormat/>
    <w:uiPriority w:val="0"/>
    <w:pPr>
      <w:widowControl/>
      <w:spacing w:line="360" w:lineRule="exact"/>
      <w:jc w:val="center"/>
    </w:pPr>
    <w:rPr>
      <w:rFonts w:ascii="宋体"/>
      <w:color w:val="000000"/>
      <w:sz w:val="28"/>
      <w:szCs w:val="21"/>
    </w:rPr>
  </w:style>
  <w:style w:type="paragraph" w:customStyle="1" w:styleId="258">
    <w:name w:val="C首行缩进正文"/>
    <w:basedOn w:val="112"/>
    <w:link w:val="259"/>
    <w:qFormat/>
    <w:uiPriority w:val="0"/>
    <w:pPr>
      <w:widowControl w:val="0"/>
      <w:spacing w:line="360" w:lineRule="auto"/>
      <w:ind w:firstLine="200"/>
    </w:pPr>
    <w:rPr>
      <w:rFonts w:cs="宋体"/>
      <w:color w:val="000000"/>
      <w:sz w:val="21"/>
      <w:szCs w:val="24"/>
    </w:rPr>
  </w:style>
  <w:style w:type="character" w:customStyle="1" w:styleId="259">
    <w:name w:val="C首行缩进正文 字符"/>
    <w:link w:val="258"/>
    <w:qFormat/>
    <w:uiPriority w:val="0"/>
    <w:rPr>
      <w:rFonts w:cs="宋体"/>
      <w:color w:val="000000"/>
      <w:sz w:val="21"/>
      <w:szCs w:val="24"/>
    </w:rPr>
  </w:style>
  <w:style w:type="paragraph" w:customStyle="1" w:styleId="260">
    <w:name w:val="1黑体头"/>
    <w:basedOn w:val="1"/>
    <w:qFormat/>
    <w:uiPriority w:val="0"/>
    <w:pPr>
      <w:spacing w:line="360" w:lineRule="auto"/>
      <w:ind w:firstLine="479" w:firstLineChars="199"/>
      <w:jc w:val="left"/>
      <w:textAlignment w:val="center"/>
    </w:pPr>
    <w:rPr>
      <w:b/>
      <w:sz w:val="24"/>
      <w:szCs w:val="21"/>
    </w:rPr>
  </w:style>
  <w:style w:type="paragraph" w:customStyle="1" w:styleId="261">
    <w:name w:val="cucd-0"/>
    <w:qFormat/>
    <w:uiPriority w:val="0"/>
    <w:pPr>
      <w:spacing w:line="360" w:lineRule="auto"/>
      <w:ind w:firstLine="480" w:firstLineChars="200"/>
    </w:pPr>
    <w:rPr>
      <w:rFonts w:ascii="Times New Roman" w:hAnsi="Times New Roman" w:eastAsia="宋体" w:cs="Times New Roman"/>
      <w:kern w:val="2"/>
      <w:sz w:val="24"/>
      <w:szCs w:val="24"/>
      <w:lang w:val="en-US" w:eastAsia="zh-CN" w:bidi="ar-SA"/>
    </w:rPr>
  </w:style>
  <w:style w:type="character" w:customStyle="1" w:styleId="262">
    <w:name w:val="纯文本 Char1"/>
    <w:qFormat/>
    <w:uiPriority w:val="0"/>
    <w:rPr>
      <w:rFonts w:ascii="宋体" w:hAnsi="Courier New" w:cs="Courier New"/>
      <w:kern w:val="2"/>
      <w:sz w:val="21"/>
      <w:szCs w:val="21"/>
    </w:rPr>
  </w:style>
  <w:style w:type="character" w:customStyle="1" w:styleId="263">
    <w:name w:val="表格文字 Char"/>
    <w:qFormat/>
    <w:uiPriority w:val="0"/>
    <w:rPr>
      <w:rFonts w:ascii="仿宋_GB2312" w:hAnsi="Arial Black" w:eastAsia="仿宋_GB2312"/>
      <w:kern w:val="44"/>
      <w:sz w:val="24"/>
      <w:szCs w:val="24"/>
      <w:lang w:val="en-US" w:eastAsia="zh-CN" w:bidi="ar-SA"/>
    </w:rPr>
  </w:style>
  <w:style w:type="character" w:customStyle="1" w:styleId="264">
    <w:name w:val="正文首行缩进 字符1"/>
    <w:semiHidden/>
    <w:qFormat/>
    <w:uiPriority w:val="99"/>
  </w:style>
  <w:style w:type="character" w:customStyle="1" w:styleId="265">
    <w:name w:val="纯文本 字符1"/>
    <w:qFormat/>
    <w:uiPriority w:val="0"/>
    <w:rPr>
      <w:rFonts w:ascii="等线" w:hAnsi="Courier New" w:eastAsia="等线" w:cs="Courier New"/>
    </w:rPr>
  </w:style>
  <w:style w:type="paragraph" w:customStyle="1" w:styleId="266">
    <w:name w:val="表1"/>
    <w:basedOn w:val="1"/>
    <w:next w:val="1"/>
    <w:qFormat/>
    <w:uiPriority w:val="0"/>
    <w:pPr>
      <w:widowControl/>
      <w:adjustRightInd w:val="0"/>
      <w:snapToGrid w:val="0"/>
      <w:jc w:val="center"/>
    </w:pPr>
    <w:rPr>
      <w:rFonts w:ascii="宋体" w:cs="宋体"/>
      <w:color w:val="000000"/>
      <w:kern w:val="0"/>
      <w:szCs w:val="21"/>
    </w:rPr>
  </w:style>
  <w:style w:type="paragraph" w:customStyle="1" w:styleId="267">
    <w:name w:val="Char Char1 Char Char Char Char"/>
    <w:basedOn w:val="1"/>
    <w:qFormat/>
    <w:uiPriority w:val="0"/>
  </w:style>
  <w:style w:type="paragraph" w:customStyle="1" w:styleId="268">
    <w:name w:val="表中大字"/>
    <w:basedOn w:val="1"/>
    <w:qFormat/>
    <w:uiPriority w:val="0"/>
    <w:pPr>
      <w:widowControl/>
      <w:spacing w:line="0" w:lineRule="atLeast"/>
      <w:jc w:val="center"/>
    </w:pPr>
    <w:rPr>
      <w:rFonts w:eastAsia="华文中宋"/>
      <w:kern w:val="0"/>
      <w:sz w:val="28"/>
      <w:szCs w:val="28"/>
    </w:rPr>
  </w:style>
  <w:style w:type="paragraph" w:customStyle="1" w:styleId="269">
    <w:name w:val="图头"/>
    <w:basedOn w:val="1"/>
    <w:qFormat/>
    <w:uiPriority w:val="0"/>
    <w:pPr>
      <w:spacing w:line="360" w:lineRule="auto"/>
      <w:jc w:val="center"/>
    </w:pPr>
    <w:rPr>
      <w:rFonts w:ascii="黑体" w:eastAsia="黑体"/>
      <w:sz w:val="28"/>
      <w:szCs w:val="28"/>
    </w:rPr>
  </w:style>
  <w:style w:type="paragraph" w:customStyle="1" w:styleId="270">
    <w:name w:val="标题4"/>
    <w:basedOn w:val="1"/>
    <w:qFormat/>
    <w:uiPriority w:val="0"/>
    <w:pPr>
      <w:spacing w:line="500" w:lineRule="exact"/>
      <w:ind w:firstLine="200" w:firstLineChars="200"/>
    </w:pPr>
    <w:rPr>
      <w:rFonts w:eastAsia="华文中宋"/>
      <w:b/>
      <w:sz w:val="28"/>
      <w:szCs w:val="28"/>
    </w:rPr>
  </w:style>
  <w:style w:type="paragraph" w:customStyle="1" w:styleId="271">
    <w:name w:val="段落"/>
    <w:basedOn w:val="1"/>
    <w:qFormat/>
    <w:uiPriority w:val="0"/>
    <w:pPr>
      <w:adjustRightInd w:val="0"/>
      <w:spacing w:line="360" w:lineRule="auto"/>
      <w:ind w:firstLine="539"/>
      <w:jc w:val="left"/>
      <w:textAlignment w:val="baseline"/>
    </w:pPr>
    <w:rPr>
      <w:kern w:val="0"/>
      <w:sz w:val="24"/>
      <w:szCs w:val="21"/>
    </w:rPr>
  </w:style>
  <w:style w:type="paragraph" w:customStyle="1" w:styleId="272">
    <w:name w:val="表格文字"/>
    <w:basedOn w:val="1"/>
    <w:qFormat/>
    <w:uiPriority w:val="0"/>
    <w:pPr>
      <w:jc w:val="center"/>
    </w:pPr>
    <w:rPr>
      <w:rFonts w:ascii="仿宋_GB2312" w:hAnsi="Arial Black" w:eastAsia="仿宋_GB2312"/>
      <w:kern w:val="44"/>
      <w:sz w:val="24"/>
    </w:rPr>
  </w:style>
  <w:style w:type="paragraph" w:customStyle="1" w:styleId="273">
    <w:name w:val="char"/>
    <w:basedOn w:val="1"/>
    <w:qFormat/>
    <w:uiPriority w:val="0"/>
    <w:pPr>
      <w:widowControl/>
      <w:spacing w:after="160" w:line="240" w:lineRule="exact"/>
      <w:jc w:val="left"/>
    </w:pPr>
    <w:rPr>
      <w:rFonts w:ascii="Verdana" w:hAnsi="Verdana" w:eastAsia="仿宋_GB2312" w:cs="”“Times New Roman”“"/>
      <w:kern w:val="0"/>
      <w:sz w:val="24"/>
      <w:szCs w:val="20"/>
      <w:lang w:eastAsia="en-US"/>
    </w:rPr>
  </w:style>
  <w:style w:type="paragraph" w:customStyle="1" w:styleId="274">
    <w:name w:val="表格填充项"/>
    <w:basedOn w:val="1"/>
    <w:qFormat/>
    <w:uiPriority w:val="0"/>
    <w:pPr>
      <w:spacing w:line="240" w:lineRule="atLeast"/>
      <w:jc w:val="center"/>
    </w:pPr>
    <w:rPr>
      <w:rFonts w:ascii="宋体" w:hAnsi="宋体"/>
      <w:b/>
    </w:rPr>
  </w:style>
  <w:style w:type="paragraph" w:customStyle="1" w:styleId="275">
    <w:name w:val="表文字居中"/>
    <w:link w:val="389"/>
    <w:qFormat/>
    <w:uiPriority w:val="0"/>
    <w:pPr>
      <w:adjustRightInd w:val="0"/>
      <w:spacing w:line="360" w:lineRule="auto"/>
      <w:jc w:val="center"/>
    </w:pPr>
    <w:rPr>
      <w:rFonts w:ascii="Times New Roman" w:hAnsi="Times New Roman" w:eastAsia="宋体" w:cs="Times New Roman"/>
      <w:kern w:val="2"/>
      <w:sz w:val="21"/>
      <w:szCs w:val="24"/>
      <w:lang w:val="en-US" w:eastAsia="zh-CN" w:bidi="ar-SA"/>
    </w:rPr>
  </w:style>
  <w:style w:type="paragraph" w:customStyle="1" w:styleId="276">
    <w:name w:val="样式 标题 4款标题1.1.1.1 南陵标题 4标题 4 CharH4PIM 4h4First Subheadin..."/>
    <w:basedOn w:val="5"/>
    <w:qFormat/>
    <w:uiPriority w:val="99"/>
    <w:pPr>
      <w:keepNext w:val="0"/>
      <w:spacing w:line="360" w:lineRule="auto"/>
      <w:ind w:left="0" w:right="0" w:firstLine="480"/>
      <w:jc w:val="both"/>
    </w:pPr>
    <w:rPr>
      <w:rFonts w:ascii="黑体" w:hAnsi="黑体" w:eastAsia="黑体" w:cs="黑体"/>
      <w:color w:val="000000"/>
      <w:kern w:val="0"/>
      <w:sz w:val="24"/>
    </w:rPr>
  </w:style>
  <w:style w:type="paragraph" w:customStyle="1" w:styleId="277">
    <w:name w:val="Char Char2 Char Char Char Char Char Char"/>
    <w:basedOn w:val="1"/>
    <w:qFormat/>
    <w:uiPriority w:val="0"/>
    <w:rPr>
      <w:sz w:val="44"/>
      <w:szCs w:val="20"/>
    </w:rPr>
  </w:style>
  <w:style w:type="paragraph" w:customStyle="1" w:styleId="278">
    <w:name w:val="Char Char Char Char Char Char Char Char Char Char"/>
    <w:basedOn w:val="1"/>
    <w:qFormat/>
    <w:uiPriority w:val="0"/>
    <w:pPr>
      <w:widowControl/>
      <w:spacing w:after="160" w:line="240" w:lineRule="exact"/>
      <w:jc w:val="left"/>
    </w:pPr>
  </w:style>
  <w:style w:type="paragraph" w:customStyle="1" w:styleId="279">
    <w:name w:val="表格文字2"/>
    <w:basedOn w:val="272"/>
    <w:qFormat/>
    <w:uiPriority w:val="0"/>
    <w:pPr>
      <w:spacing w:before="60"/>
    </w:pPr>
  </w:style>
  <w:style w:type="paragraph" w:customStyle="1" w:styleId="280">
    <w:name w:val="xl41"/>
    <w:basedOn w:val="1"/>
    <w:qFormat/>
    <w:uiPriority w:val="0"/>
    <w:pPr>
      <w:widowControl/>
      <w:pBdr>
        <w:bottom w:val="single" w:color="auto" w:sz="4" w:space="0"/>
        <w:right w:val="single" w:color="auto" w:sz="4" w:space="0"/>
      </w:pBdr>
      <w:spacing w:before="100" w:beforeAutospacing="1" w:after="100" w:afterAutospacing="1"/>
      <w:jc w:val="center"/>
      <w:textAlignment w:val="center"/>
    </w:pPr>
    <w:rPr>
      <w:rFonts w:ascii="宋体" w:hAnsi="Calibri" w:eastAsia="Arial Unicode MS"/>
      <w:kern w:val="0"/>
      <w:sz w:val="24"/>
      <w:szCs w:val="22"/>
    </w:rPr>
  </w:style>
  <w:style w:type="character" w:customStyle="1" w:styleId="281">
    <w:name w:val="正文缩进 Char"/>
    <w:qFormat/>
    <w:uiPriority w:val="0"/>
    <w:rPr>
      <w:rFonts w:eastAsia="宋体"/>
      <w:kern w:val="2"/>
      <w:sz w:val="24"/>
      <w:lang w:val="en-US" w:eastAsia="zh-CN" w:bidi="ar-SA"/>
    </w:rPr>
  </w:style>
  <w:style w:type="paragraph" w:customStyle="1" w:styleId="282">
    <w:name w:val="新正文"/>
    <w:basedOn w:val="1"/>
    <w:qFormat/>
    <w:uiPriority w:val="0"/>
    <w:pPr>
      <w:spacing w:line="500" w:lineRule="exact"/>
      <w:ind w:firstLine="200" w:firstLineChars="200"/>
    </w:pPr>
    <w:rPr>
      <w:rFonts w:ascii="宋体"/>
      <w:kern w:val="0"/>
      <w:sz w:val="24"/>
      <w:szCs w:val="22"/>
    </w:rPr>
  </w:style>
  <w:style w:type="paragraph" w:customStyle="1" w:styleId="283">
    <w:name w:val="图表标题"/>
    <w:basedOn w:val="1"/>
    <w:qFormat/>
    <w:uiPriority w:val="0"/>
    <w:pPr>
      <w:widowControl/>
      <w:spacing w:line="500" w:lineRule="exact"/>
      <w:jc w:val="center"/>
    </w:pPr>
    <w:rPr>
      <w:rFonts w:ascii="黑体" w:hAnsi="黑体" w:eastAsia="黑体"/>
      <w:kern w:val="0"/>
      <w:sz w:val="24"/>
      <w:szCs w:val="22"/>
    </w:rPr>
  </w:style>
  <w:style w:type="paragraph" w:styleId="284">
    <w:name w:val="No Spacing"/>
    <w:qFormat/>
    <w:uiPriority w:val="1"/>
    <w:pPr>
      <w:widowControl w:val="0"/>
      <w:jc w:val="center"/>
    </w:pPr>
    <w:rPr>
      <w:rFonts w:ascii="Times New Roman" w:hAnsi="Times New Roman" w:eastAsia="宋体" w:cs="Times New Roman"/>
      <w:kern w:val="2"/>
      <w:sz w:val="21"/>
      <w:szCs w:val="22"/>
      <w:lang w:val="en-US" w:eastAsia="zh-CN" w:bidi="ar-SA"/>
    </w:rPr>
  </w:style>
  <w:style w:type="character" w:customStyle="1" w:styleId="285">
    <w:name w:val="文章正文 Char"/>
    <w:link w:val="286"/>
    <w:qFormat/>
    <w:uiPriority w:val="0"/>
    <w:rPr>
      <w:szCs w:val="24"/>
    </w:rPr>
  </w:style>
  <w:style w:type="paragraph" w:customStyle="1" w:styleId="286">
    <w:name w:val="文章正文"/>
    <w:link w:val="285"/>
    <w:qFormat/>
    <w:uiPriority w:val="0"/>
    <w:pPr>
      <w:widowControl w:val="0"/>
      <w:spacing w:line="360" w:lineRule="auto"/>
      <w:ind w:firstLine="510"/>
      <w:jc w:val="both"/>
    </w:pPr>
    <w:rPr>
      <w:rFonts w:ascii="Times New Roman" w:hAnsi="Times New Roman" w:eastAsia="宋体" w:cs="Times New Roman"/>
      <w:szCs w:val="24"/>
      <w:lang w:val="en-US" w:eastAsia="zh-CN" w:bidi="ar-SA"/>
    </w:rPr>
  </w:style>
  <w:style w:type="paragraph" w:customStyle="1" w:styleId="287">
    <w:name w:val="表内格式"/>
    <w:basedOn w:val="1"/>
    <w:qFormat/>
    <w:uiPriority w:val="0"/>
    <w:pPr>
      <w:jc w:val="center"/>
    </w:pPr>
    <w:rPr>
      <w:sz w:val="18"/>
      <w:szCs w:val="20"/>
    </w:rPr>
  </w:style>
  <w:style w:type="paragraph" w:customStyle="1" w:styleId="288">
    <w:name w:val="附录名称"/>
    <w:basedOn w:val="143"/>
    <w:link w:val="289"/>
    <w:qFormat/>
    <w:uiPriority w:val="0"/>
    <w:pPr>
      <w:ind w:firstLine="0" w:firstLineChars="0"/>
      <w:jc w:val="center"/>
    </w:pPr>
    <w:rPr>
      <w:rFonts w:ascii="黑体" w:hAnsi="黑体" w:eastAsia="黑体"/>
      <w:szCs w:val="22"/>
      <w:lang w:val="zh-CN"/>
    </w:rPr>
  </w:style>
  <w:style w:type="character" w:customStyle="1" w:styleId="289">
    <w:name w:val="附录名称 Char"/>
    <w:link w:val="288"/>
    <w:qFormat/>
    <w:uiPriority w:val="0"/>
    <w:rPr>
      <w:rFonts w:ascii="黑体" w:hAnsi="黑体" w:eastAsia="黑体"/>
      <w:kern w:val="2"/>
      <w:sz w:val="21"/>
      <w:szCs w:val="22"/>
      <w:lang w:val="zh-CN"/>
    </w:rPr>
  </w:style>
  <w:style w:type="paragraph" w:customStyle="1" w:styleId="290">
    <w:name w:val="TOC 标题1"/>
    <w:basedOn w:val="3"/>
    <w:next w:val="1"/>
    <w:unhideWhenUsed/>
    <w:qFormat/>
    <w:uiPriority w:val="39"/>
    <w:pPr>
      <w:keepLines/>
      <w:widowControl/>
      <w:overflowPunct/>
      <w:snapToGrid/>
      <w:spacing w:before="240" w:after="0"/>
      <w:ind w:left="0" w:firstLine="0"/>
      <w:jc w:val="left"/>
      <w:outlineLvl w:val="9"/>
    </w:pPr>
    <w:rPr>
      <w:rFonts w:ascii="等线 Light" w:hAnsi="等线 Light" w:eastAsia="等线 Light"/>
      <w:b w:val="0"/>
      <w:bCs w:val="0"/>
      <w:color w:val="2E74B5"/>
      <w:kern w:val="0"/>
      <w:sz w:val="32"/>
      <w:szCs w:val="32"/>
    </w:rPr>
  </w:style>
  <w:style w:type="character" w:customStyle="1" w:styleId="291">
    <w:name w:val="【正文】 Char1"/>
    <w:qFormat/>
    <w:uiPriority w:val="0"/>
    <w:rPr>
      <w:rFonts w:ascii="Times New Roman" w:hAnsi="Times New Roman" w:eastAsia="宋体"/>
      <w:sz w:val="24"/>
    </w:rPr>
  </w:style>
  <w:style w:type="character" w:customStyle="1" w:styleId="292">
    <w:name w:val="表格标题 Char Char"/>
    <w:qFormat/>
    <w:uiPriority w:val="0"/>
    <w:rPr>
      <w:kern w:val="2"/>
      <w:sz w:val="21"/>
    </w:rPr>
  </w:style>
  <w:style w:type="paragraph" w:customStyle="1" w:styleId="293">
    <w:name w:val="表中文字"/>
    <w:basedOn w:val="1"/>
    <w:qFormat/>
    <w:uiPriority w:val="0"/>
    <w:pPr>
      <w:jc w:val="center"/>
    </w:pPr>
    <w:rPr>
      <w:szCs w:val="22"/>
    </w:rPr>
  </w:style>
  <w:style w:type="paragraph" w:customStyle="1" w:styleId="294">
    <w:name w:val="巴彦正文"/>
    <w:basedOn w:val="1"/>
    <w:link w:val="295"/>
    <w:qFormat/>
    <w:uiPriority w:val="0"/>
    <w:pPr>
      <w:spacing w:line="360" w:lineRule="auto"/>
      <w:ind w:firstLine="200" w:firstLineChars="200"/>
    </w:pPr>
    <w:rPr>
      <w:kern w:val="0"/>
      <w:sz w:val="28"/>
      <w:szCs w:val="20"/>
      <w:lang w:val="zh-CN" w:eastAsia="zh-CN"/>
    </w:rPr>
  </w:style>
  <w:style w:type="character" w:customStyle="1" w:styleId="295">
    <w:name w:val="巴彦正文 Char"/>
    <w:link w:val="294"/>
    <w:qFormat/>
    <w:uiPriority w:val="0"/>
    <w:rPr>
      <w:sz w:val="28"/>
      <w:lang w:val="zh-CN" w:eastAsia="zh-CN"/>
    </w:rPr>
  </w:style>
  <w:style w:type="character" w:customStyle="1" w:styleId="296">
    <w:name w:val="正文 Char Char"/>
    <w:qFormat/>
    <w:uiPriority w:val="99"/>
    <w:rPr>
      <w:rFonts w:ascii="宋体" w:hAnsi="宋体" w:eastAsia="宋体"/>
      <w:kern w:val="2"/>
      <w:sz w:val="24"/>
      <w:lang w:val="en-US" w:eastAsia="zh-CN"/>
    </w:rPr>
  </w:style>
  <w:style w:type="character" w:customStyle="1" w:styleId="297">
    <w:name w:val="标题 1 字符1"/>
    <w:qFormat/>
    <w:uiPriority w:val="0"/>
    <w:rPr>
      <w:rFonts w:eastAsia="仿宋_GB2312" w:cs="Times New Roman"/>
      <w:sz w:val="28"/>
    </w:rPr>
  </w:style>
  <w:style w:type="character" w:customStyle="1" w:styleId="298">
    <w:name w:val="正文---------------- Char"/>
    <w:link w:val="247"/>
    <w:qFormat/>
    <w:uiPriority w:val="0"/>
    <w:rPr>
      <w:spacing w:val="16"/>
      <w:kern w:val="2"/>
      <w:sz w:val="24"/>
    </w:rPr>
  </w:style>
  <w:style w:type="character" w:customStyle="1" w:styleId="299">
    <w:name w:val="批注主题 字符1"/>
    <w:qFormat/>
    <w:uiPriority w:val="0"/>
    <w:rPr>
      <w:b/>
      <w:bCs/>
      <w:sz w:val="21"/>
    </w:rPr>
  </w:style>
  <w:style w:type="character" w:styleId="300">
    <w:name w:val="Placeholder Text"/>
    <w:qFormat/>
    <w:uiPriority w:val="0"/>
    <w:rPr>
      <w:color w:val="808080"/>
    </w:rPr>
  </w:style>
  <w:style w:type="character" w:customStyle="1" w:styleId="301">
    <w:name w:val="zhengwencolor1"/>
    <w:qFormat/>
    <w:uiPriority w:val="0"/>
    <w:rPr>
      <w:color w:val="000000"/>
      <w:spacing w:val="330"/>
      <w:sz w:val="18"/>
      <w:szCs w:val="18"/>
    </w:rPr>
  </w:style>
  <w:style w:type="character" w:customStyle="1" w:styleId="302">
    <w:name w:val="正文文本缩进 字符1"/>
    <w:qFormat/>
    <w:uiPriority w:val="0"/>
    <w:rPr>
      <w:sz w:val="21"/>
    </w:rPr>
  </w:style>
  <w:style w:type="character" w:customStyle="1" w:styleId="303">
    <w:name w:val="正文111 Char"/>
    <w:link w:val="304"/>
    <w:qFormat/>
    <w:uiPriority w:val="0"/>
    <w:rPr>
      <w:rFonts w:eastAsia="仿宋_GB2312"/>
      <w:bCs/>
    </w:rPr>
  </w:style>
  <w:style w:type="paragraph" w:customStyle="1" w:styleId="304">
    <w:name w:val="正文111"/>
    <w:basedOn w:val="1"/>
    <w:link w:val="303"/>
    <w:qFormat/>
    <w:uiPriority w:val="0"/>
    <w:pPr>
      <w:spacing w:line="520" w:lineRule="exact"/>
      <w:ind w:firstLine="480" w:firstLineChars="200"/>
    </w:pPr>
    <w:rPr>
      <w:rFonts w:eastAsia="仿宋_GB2312"/>
      <w:bCs/>
      <w:kern w:val="0"/>
      <w:sz w:val="20"/>
      <w:szCs w:val="20"/>
    </w:rPr>
  </w:style>
  <w:style w:type="paragraph" w:customStyle="1" w:styleId="305">
    <w:name w:val="样式 表格 32 + 首行缩进:  2 字符"/>
    <w:basedOn w:val="1"/>
    <w:qFormat/>
    <w:uiPriority w:val="0"/>
    <w:pPr>
      <w:autoSpaceDE w:val="0"/>
      <w:autoSpaceDN w:val="0"/>
      <w:adjustRightInd w:val="0"/>
      <w:spacing w:line="240" w:lineRule="atLeast"/>
      <w:jc w:val="center"/>
      <w:textAlignment w:val="baseline"/>
    </w:pPr>
    <w:rPr>
      <w:kern w:val="0"/>
      <w:szCs w:val="21"/>
    </w:rPr>
  </w:style>
  <w:style w:type="paragraph" w:customStyle="1" w:styleId="306">
    <w:name w:val="图题注"/>
    <w:basedOn w:val="307"/>
    <w:qFormat/>
    <w:uiPriority w:val="0"/>
    <w:pPr>
      <w:tabs>
        <w:tab w:val="left" w:pos="360"/>
        <w:tab w:val="left" w:pos="945"/>
      </w:tabs>
      <w:ind w:left="360" w:hanging="360"/>
      <w:jc w:val="center"/>
    </w:pPr>
    <w:rPr>
      <w:sz w:val="21"/>
    </w:rPr>
  </w:style>
  <w:style w:type="paragraph" w:customStyle="1" w:styleId="307">
    <w:name w:val="表题注"/>
    <w:basedOn w:val="10"/>
    <w:qFormat/>
    <w:uiPriority w:val="0"/>
    <w:pPr>
      <w:tabs>
        <w:tab w:val="left" w:pos="360"/>
        <w:tab w:val="left" w:pos="945"/>
        <w:tab w:val="clear" w:pos="500"/>
        <w:tab w:val="clear" w:pos="840"/>
      </w:tabs>
      <w:spacing w:beforeLines="50" w:afterLines="50"/>
      <w:ind w:left="289" w:hanging="289"/>
    </w:pPr>
  </w:style>
  <w:style w:type="paragraph" w:customStyle="1" w:styleId="308">
    <w:name w:val="Char1"/>
    <w:basedOn w:val="1"/>
    <w:qFormat/>
    <w:uiPriority w:val="0"/>
    <w:pPr>
      <w:widowControl/>
      <w:ind w:firstLine="200" w:firstLineChars="200"/>
      <w:jc w:val="left"/>
    </w:pPr>
    <w:rPr>
      <w:kern w:val="0"/>
      <w:sz w:val="28"/>
      <w:szCs w:val="28"/>
      <w:lang w:eastAsia="en-US"/>
    </w:rPr>
  </w:style>
  <w:style w:type="paragraph" w:customStyle="1" w:styleId="309">
    <w:name w:val="正文缩近"/>
    <w:basedOn w:val="1"/>
    <w:qFormat/>
    <w:uiPriority w:val="0"/>
    <w:pPr>
      <w:spacing w:line="360" w:lineRule="auto"/>
      <w:ind w:firstLine="560" w:firstLineChars="200"/>
    </w:pPr>
    <w:rPr>
      <w:sz w:val="28"/>
      <w:szCs w:val="28"/>
    </w:rPr>
  </w:style>
  <w:style w:type="paragraph" w:customStyle="1" w:styleId="310">
    <w:name w:val="样式 标题 3条标题 + 段前: 0.5 行"/>
    <w:basedOn w:val="4"/>
    <w:qFormat/>
    <w:uiPriority w:val="0"/>
    <w:pPr>
      <w:spacing w:before="0" w:beforeLines="50" w:after="0" w:afterLines="50" w:line="240" w:lineRule="auto"/>
      <w:ind w:left="720" w:hanging="720"/>
    </w:pPr>
    <w:rPr>
      <w:rFonts w:eastAsia="黑体" w:cs="宋体"/>
      <w:sz w:val="24"/>
      <w:szCs w:val="20"/>
    </w:rPr>
  </w:style>
  <w:style w:type="paragraph" w:customStyle="1" w:styleId="311">
    <w:name w:val="样式 表格标题 + 左侧:  -0.45 字符"/>
    <w:basedOn w:val="1"/>
    <w:qFormat/>
    <w:uiPriority w:val="0"/>
    <w:pPr>
      <w:adjustRightInd w:val="0"/>
      <w:snapToGrid w:val="0"/>
      <w:spacing w:before="120" w:after="60" w:line="400" w:lineRule="exact"/>
      <w:ind w:left="-45" w:leftChars="-45"/>
      <w:jc w:val="center"/>
    </w:pPr>
    <w:rPr>
      <w:rFonts w:ascii="Times" w:eastAsia="仿宋_GB2312" w:cs="宋体"/>
      <w:b/>
      <w:bCs/>
      <w:sz w:val="24"/>
      <w:szCs w:val="20"/>
    </w:rPr>
  </w:style>
  <w:style w:type="paragraph" w:customStyle="1" w:styleId="312">
    <w:name w:val="标题10"/>
    <w:basedOn w:val="7"/>
    <w:qFormat/>
    <w:uiPriority w:val="0"/>
    <w:pPr>
      <w:tabs>
        <w:tab w:val="left" w:pos="360"/>
        <w:tab w:val="clear" w:pos="500"/>
        <w:tab w:val="clear" w:pos="927"/>
      </w:tabs>
      <w:spacing w:line="240" w:lineRule="atLeast"/>
      <w:ind w:left="360" w:hanging="360"/>
      <w:outlineLvl w:val="8"/>
    </w:pPr>
    <w:rPr>
      <w:sz w:val="15"/>
    </w:rPr>
  </w:style>
  <w:style w:type="paragraph" w:customStyle="1" w:styleId="313">
    <w:name w:val="样式 样式 标题 3条标题 + 段前: 0.5 行 + (符号) 宋体 非加粗"/>
    <w:basedOn w:val="310"/>
    <w:qFormat/>
    <w:uiPriority w:val="0"/>
    <w:rPr>
      <w:b w:val="0"/>
      <w:bCs w:val="0"/>
      <w:sz w:val="28"/>
      <w:szCs w:val="28"/>
    </w:rPr>
  </w:style>
  <w:style w:type="paragraph" w:customStyle="1" w:styleId="314">
    <w:name w:val="环正文"/>
    <w:basedOn w:val="1"/>
    <w:qFormat/>
    <w:uiPriority w:val="0"/>
    <w:pPr>
      <w:widowControl/>
      <w:suppressAutoHyphens/>
      <w:adjustRightInd w:val="0"/>
      <w:spacing w:line="312" w:lineRule="atLeast"/>
      <w:ind w:firstLine="549" w:firstLineChars="200"/>
      <w:textAlignment w:val="baseline"/>
    </w:pPr>
    <w:rPr>
      <w:rFonts w:ascii="宋体" w:hAnsi="宋体"/>
      <w:kern w:val="0"/>
      <w:sz w:val="24"/>
      <w:szCs w:val="20"/>
    </w:rPr>
  </w:style>
  <w:style w:type="paragraph" w:customStyle="1" w:styleId="315">
    <w:name w:val="Char Char Char Char1"/>
    <w:basedOn w:val="1"/>
    <w:qFormat/>
    <w:uiPriority w:val="0"/>
  </w:style>
  <w:style w:type="paragraph" w:customStyle="1" w:styleId="316">
    <w:name w:val="样式 表格标题 + 首行缩进:  0.61 字符"/>
    <w:basedOn w:val="1"/>
    <w:qFormat/>
    <w:uiPriority w:val="0"/>
    <w:pPr>
      <w:wordWrap w:val="0"/>
      <w:adjustRightInd w:val="0"/>
      <w:snapToGrid w:val="0"/>
      <w:spacing w:line="400" w:lineRule="exact"/>
      <w:ind w:left="-143" w:leftChars="-68" w:firstLine="128" w:firstLineChars="61"/>
      <w:jc w:val="center"/>
    </w:pPr>
    <w:rPr>
      <w:rFonts w:cs="宋体"/>
      <w:szCs w:val="20"/>
    </w:rPr>
  </w:style>
  <w:style w:type="paragraph" w:customStyle="1" w:styleId="317">
    <w:name w:val="日期1"/>
    <w:basedOn w:val="1"/>
    <w:next w:val="1"/>
    <w:qFormat/>
    <w:uiPriority w:val="0"/>
    <w:pPr>
      <w:adjustRightInd w:val="0"/>
      <w:textAlignment w:val="baseline"/>
    </w:pPr>
    <w:rPr>
      <w:sz w:val="28"/>
      <w:szCs w:val="20"/>
    </w:rPr>
  </w:style>
  <w:style w:type="paragraph" w:customStyle="1" w:styleId="318">
    <w:name w:val="样式 标题 4 + 段前: 7.8 磅 段后: 0 磅 行距: 单倍行距"/>
    <w:basedOn w:val="5"/>
    <w:qFormat/>
    <w:uiPriority w:val="0"/>
    <w:pPr>
      <w:keepLines/>
      <w:tabs>
        <w:tab w:val="left" w:pos="864"/>
      </w:tabs>
      <w:spacing w:before="156" w:line="240" w:lineRule="auto"/>
      <w:ind w:left="864" w:right="0" w:hanging="864"/>
      <w:jc w:val="both"/>
    </w:pPr>
    <w:rPr>
      <w:rFonts w:ascii="Arial" w:hAnsi="Arial" w:eastAsia="黑体" w:cs="宋体"/>
      <w:b/>
      <w:bCs/>
      <w:i/>
      <w:sz w:val="24"/>
      <w:szCs w:val="20"/>
    </w:rPr>
  </w:style>
  <w:style w:type="character" w:customStyle="1" w:styleId="319">
    <w:name w:val="页脚 Char"/>
    <w:qFormat/>
    <w:uiPriority w:val="99"/>
    <w:rPr>
      <w:kern w:val="2"/>
      <w:sz w:val="18"/>
      <w:szCs w:val="18"/>
    </w:rPr>
  </w:style>
  <w:style w:type="character" w:customStyle="1" w:styleId="320">
    <w:name w:val="批注框文本 字符1"/>
    <w:qFormat/>
    <w:uiPriority w:val="0"/>
    <w:rPr>
      <w:rFonts w:cs="Times New Roman"/>
      <w:sz w:val="18"/>
      <w:szCs w:val="18"/>
    </w:rPr>
  </w:style>
  <w:style w:type="paragraph" w:customStyle="1" w:styleId="321">
    <w:name w:val="样式"/>
    <w:qFormat/>
    <w:uiPriority w:val="0"/>
    <w:pPr>
      <w:widowControl w:val="0"/>
      <w:autoSpaceDE w:val="0"/>
      <w:autoSpaceDN w:val="0"/>
      <w:adjustRightInd w:val="0"/>
    </w:pPr>
    <w:rPr>
      <w:rFonts w:ascii="宋体" w:hAnsi="宋体" w:eastAsia="宋体" w:cs="Times New Roman"/>
      <w:sz w:val="24"/>
      <w:szCs w:val="24"/>
      <w:lang w:val="en-US" w:eastAsia="zh-CN" w:bidi="ar-SA"/>
    </w:rPr>
  </w:style>
  <w:style w:type="paragraph" w:customStyle="1" w:styleId="322">
    <w:name w:val="样式 标题 1 + 首行缩进:  2 字符1"/>
    <w:basedOn w:val="3"/>
    <w:qFormat/>
    <w:uiPriority w:val="0"/>
    <w:pPr>
      <w:keepLines/>
      <w:overflowPunct/>
      <w:snapToGrid/>
      <w:spacing w:before="340" w:after="330" w:line="576" w:lineRule="auto"/>
      <w:ind w:left="0" w:firstLine="0"/>
      <w:jc w:val="center"/>
    </w:pPr>
    <w:rPr>
      <w:rFonts w:eastAsia="宋体"/>
      <w:color w:val="auto"/>
      <w:sz w:val="44"/>
      <w:szCs w:val="44"/>
    </w:rPr>
  </w:style>
  <w:style w:type="paragraph" w:customStyle="1" w:styleId="323">
    <w:name w:val="缩进"/>
    <w:basedOn w:val="1"/>
    <w:qFormat/>
    <w:uiPriority w:val="0"/>
    <w:pPr>
      <w:autoSpaceDE w:val="0"/>
      <w:autoSpaceDN w:val="0"/>
      <w:adjustRightInd w:val="0"/>
      <w:spacing w:line="400" w:lineRule="atLeast"/>
      <w:ind w:firstLine="425"/>
      <w:textAlignment w:val="baseline"/>
    </w:pPr>
    <w:rPr>
      <w:kern w:val="0"/>
      <w:sz w:val="24"/>
      <w:szCs w:val="20"/>
    </w:rPr>
  </w:style>
  <w:style w:type="paragraph" w:customStyle="1" w:styleId="324">
    <w:name w:val="五号表格"/>
    <w:basedOn w:val="1"/>
    <w:qFormat/>
    <w:uiPriority w:val="0"/>
    <w:pPr>
      <w:spacing w:line="360" w:lineRule="auto"/>
      <w:jc w:val="center"/>
    </w:pPr>
    <w:rPr>
      <w:kern w:val="0"/>
      <w:sz w:val="24"/>
      <w:szCs w:val="20"/>
    </w:rPr>
  </w:style>
  <w:style w:type="character" w:customStyle="1" w:styleId="325">
    <w:name w:val="页眉 Char"/>
    <w:qFormat/>
    <w:uiPriority w:val="0"/>
    <w:rPr>
      <w:kern w:val="2"/>
      <w:sz w:val="18"/>
      <w:szCs w:val="18"/>
    </w:rPr>
  </w:style>
  <w:style w:type="character" w:customStyle="1" w:styleId="326">
    <w:name w:val="cssb"/>
    <w:qFormat/>
    <w:uiPriority w:val="0"/>
  </w:style>
  <w:style w:type="character" w:customStyle="1" w:styleId="327">
    <w:name w:val="正文缩进 Char3"/>
    <w:qFormat/>
    <w:uiPriority w:val="0"/>
    <w:rPr>
      <w:rFonts w:ascii="Times New Roman" w:hAnsi="Times New Roman" w:eastAsia="宋体" w:cs="Times New Roman"/>
      <w:sz w:val="28"/>
      <w:szCs w:val="20"/>
    </w:rPr>
  </w:style>
  <w:style w:type="paragraph" w:customStyle="1" w:styleId="328">
    <w:name w:val="日期2"/>
    <w:basedOn w:val="1"/>
    <w:next w:val="1"/>
    <w:qFormat/>
    <w:uiPriority w:val="0"/>
    <w:pPr>
      <w:adjustRightInd w:val="0"/>
      <w:textAlignment w:val="baseline"/>
    </w:pPr>
    <w:rPr>
      <w:sz w:val="28"/>
      <w:szCs w:val="20"/>
    </w:rPr>
  </w:style>
  <w:style w:type="character" w:customStyle="1" w:styleId="329">
    <w:name w:val="tpc_content1"/>
    <w:qFormat/>
    <w:uiPriority w:val="0"/>
    <w:rPr>
      <w:sz w:val="20"/>
      <w:szCs w:val="20"/>
    </w:rPr>
  </w:style>
  <w:style w:type="paragraph" w:customStyle="1" w:styleId="330">
    <w:name w:val="articlecontent"/>
    <w:basedOn w:val="1"/>
    <w:qFormat/>
    <w:uiPriority w:val="0"/>
    <w:pPr>
      <w:widowControl/>
      <w:spacing w:before="100" w:beforeAutospacing="1" w:after="100" w:afterAutospacing="1"/>
      <w:jc w:val="left"/>
    </w:pPr>
    <w:rPr>
      <w:rFonts w:ascii="宋体" w:hAnsi="宋体" w:cs="宋体"/>
      <w:kern w:val="0"/>
      <w:sz w:val="24"/>
    </w:rPr>
  </w:style>
  <w:style w:type="paragraph" w:customStyle="1" w:styleId="331">
    <w:name w:val="Char Char Char Char2"/>
    <w:basedOn w:val="1"/>
    <w:qFormat/>
    <w:uiPriority w:val="0"/>
  </w:style>
  <w:style w:type="paragraph" w:customStyle="1" w:styleId="332">
    <w:name w:val="登记表"/>
    <w:basedOn w:val="1"/>
    <w:qFormat/>
    <w:uiPriority w:val="0"/>
    <w:pPr>
      <w:widowControl/>
      <w:spacing w:line="180" w:lineRule="exact"/>
      <w:jc w:val="center"/>
    </w:pPr>
    <w:rPr>
      <w:bCs/>
      <w:kern w:val="28"/>
      <w:sz w:val="18"/>
      <w:szCs w:val="18"/>
      <w:lang w:val="sv-SE"/>
    </w:rPr>
  </w:style>
  <w:style w:type="paragraph" w:customStyle="1" w:styleId="333">
    <w:name w:val="正文首行缩近"/>
    <w:qFormat/>
    <w:uiPriority w:val="0"/>
    <w:pPr>
      <w:adjustRightInd w:val="0"/>
      <w:snapToGrid w:val="0"/>
      <w:spacing w:line="360" w:lineRule="auto"/>
      <w:ind w:firstLine="480" w:firstLineChars="200"/>
      <w:jc w:val="both"/>
    </w:pPr>
    <w:rPr>
      <w:rFonts w:ascii="Times New Roman" w:hAnsi="Times New Roman" w:eastAsia="宋体" w:cs="Times New Roman"/>
      <w:sz w:val="24"/>
      <w:lang w:val="en-US" w:eastAsia="zh-CN" w:bidi="ar-SA"/>
    </w:rPr>
  </w:style>
  <w:style w:type="character" w:customStyle="1" w:styleId="334">
    <w:name w:val="正文格式 Char"/>
    <w:qFormat/>
    <w:uiPriority w:val="0"/>
    <w:rPr>
      <w:rFonts w:cs="Times New Roman"/>
    </w:rPr>
  </w:style>
  <w:style w:type="paragraph" w:customStyle="1" w:styleId="335">
    <w:name w:val="报告正文"/>
    <w:basedOn w:val="1"/>
    <w:next w:val="1"/>
    <w:link w:val="336"/>
    <w:qFormat/>
    <w:uiPriority w:val="0"/>
    <w:pPr>
      <w:adjustRightInd w:val="0"/>
      <w:snapToGrid w:val="0"/>
      <w:spacing w:line="480" w:lineRule="exact"/>
      <w:ind w:firstLine="200" w:firstLineChars="200"/>
    </w:pPr>
    <w:rPr>
      <w:sz w:val="24"/>
    </w:rPr>
  </w:style>
  <w:style w:type="character" w:customStyle="1" w:styleId="336">
    <w:name w:val="报告正文 Char"/>
    <w:link w:val="335"/>
    <w:qFormat/>
    <w:uiPriority w:val="0"/>
    <w:rPr>
      <w:kern w:val="2"/>
      <w:sz w:val="24"/>
      <w:szCs w:val="24"/>
    </w:rPr>
  </w:style>
  <w:style w:type="paragraph" w:customStyle="1" w:styleId="337">
    <w:name w:val="第一章表标头"/>
    <w:basedOn w:val="1"/>
    <w:qFormat/>
    <w:uiPriority w:val="0"/>
    <w:pPr>
      <w:adjustRightInd w:val="0"/>
      <w:snapToGrid w:val="0"/>
      <w:spacing w:line="480" w:lineRule="exact"/>
      <w:ind w:left="420" w:hanging="420"/>
      <w:jc w:val="center"/>
    </w:pPr>
    <w:rPr>
      <w:rFonts w:ascii="黑体" w:hAnsi="黑体" w:eastAsia="黑体"/>
      <w:sz w:val="24"/>
      <w:szCs w:val="20"/>
    </w:rPr>
  </w:style>
  <w:style w:type="paragraph" w:customStyle="1" w:styleId="338">
    <w:name w:val="样式 正文文字 + 首行缩进:  2 字符 行距: 最小值 24 磅"/>
    <w:basedOn w:val="1"/>
    <w:link w:val="339"/>
    <w:qFormat/>
    <w:uiPriority w:val="0"/>
    <w:pPr>
      <w:adjustRightInd w:val="0"/>
      <w:snapToGrid w:val="0"/>
      <w:spacing w:line="480" w:lineRule="atLeast"/>
      <w:ind w:firstLine="480" w:firstLineChars="200"/>
    </w:pPr>
    <w:rPr>
      <w:sz w:val="24"/>
      <w:szCs w:val="20"/>
    </w:rPr>
  </w:style>
  <w:style w:type="character" w:customStyle="1" w:styleId="339">
    <w:name w:val="样式 正文文字 + 首行缩进:  2 字符 行距: 最小值 24 磅 Char"/>
    <w:link w:val="338"/>
    <w:qFormat/>
    <w:uiPriority w:val="0"/>
    <w:rPr>
      <w:kern w:val="2"/>
      <w:sz w:val="24"/>
    </w:rPr>
  </w:style>
  <w:style w:type="character" w:customStyle="1" w:styleId="340">
    <w:name w:val="文档结构图 字符1"/>
    <w:qFormat/>
    <w:uiPriority w:val="0"/>
    <w:rPr>
      <w:rFonts w:ascii="宋体" w:cs="Times New Roman"/>
      <w:sz w:val="18"/>
      <w:szCs w:val="18"/>
    </w:rPr>
  </w:style>
  <w:style w:type="character" w:customStyle="1" w:styleId="341">
    <w:name w:val="样式 正文 +"/>
    <w:qFormat/>
    <w:uiPriority w:val="0"/>
    <w:rPr>
      <w:kern w:val="0"/>
      <w:sz w:val="24"/>
    </w:rPr>
  </w:style>
  <w:style w:type="paragraph" w:customStyle="1" w:styleId="342">
    <w:name w:val="样式 标题 1标题 1 Char + 首行缩进:  2 字符"/>
    <w:basedOn w:val="3"/>
    <w:qFormat/>
    <w:uiPriority w:val="0"/>
    <w:pPr>
      <w:keepLines/>
      <w:overflowPunct/>
      <w:snapToGrid/>
      <w:spacing w:before="340" w:after="330" w:line="360" w:lineRule="auto"/>
      <w:ind w:left="0" w:firstLine="0"/>
      <w:jc w:val="left"/>
    </w:pPr>
    <w:rPr>
      <w:rFonts w:ascii="宋体" w:hAnsi="宋体" w:eastAsia="宋体" w:cs="宋体"/>
      <w:color w:val="auto"/>
      <w:sz w:val="44"/>
      <w:szCs w:val="20"/>
    </w:rPr>
  </w:style>
  <w:style w:type="paragraph" w:customStyle="1" w:styleId="343">
    <w:name w:val="样式 标题 2 + 首行缩进:  2 字符"/>
    <w:basedOn w:val="2"/>
    <w:qFormat/>
    <w:uiPriority w:val="0"/>
    <w:pPr>
      <w:keepLines/>
      <w:tabs>
        <w:tab w:val="left" w:pos="0"/>
        <w:tab w:val="left" w:pos="1135"/>
      </w:tabs>
      <w:spacing w:before="260" w:after="260" w:line="360" w:lineRule="auto"/>
      <w:ind w:left="568"/>
    </w:pPr>
    <w:rPr>
      <w:rFonts w:ascii="Arial" w:hAnsi="Arial" w:cs="宋体"/>
      <w:b w:val="0"/>
      <w:bCs/>
      <w:w w:val="100"/>
      <w:sz w:val="32"/>
      <w:szCs w:val="20"/>
    </w:rPr>
  </w:style>
  <w:style w:type="paragraph" w:customStyle="1" w:styleId="344">
    <w:name w:val="样式 标题 3 + 首行缩进:  2 字符"/>
    <w:basedOn w:val="4"/>
    <w:qFormat/>
    <w:uiPriority w:val="0"/>
    <w:pPr>
      <w:tabs>
        <w:tab w:val="left" w:pos="964"/>
      </w:tabs>
      <w:adjustRightInd w:val="0"/>
      <w:snapToGrid w:val="0"/>
      <w:spacing w:before="240" w:after="240" w:line="360" w:lineRule="auto"/>
      <w:jc w:val="left"/>
    </w:pPr>
    <w:rPr>
      <w:rFonts w:ascii="宋体" w:hAnsi="宋体" w:cs="宋体"/>
      <w:szCs w:val="20"/>
    </w:rPr>
  </w:style>
  <w:style w:type="paragraph" w:customStyle="1" w:styleId="345">
    <w:name w:val="样式 标题 4 + 首行缩进:  2 字符"/>
    <w:basedOn w:val="344"/>
    <w:next w:val="1"/>
    <w:qFormat/>
    <w:uiPriority w:val="0"/>
    <w:pPr>
      <w:tabs>
        <w:tab w:val="left" w:pos="851"/>
        <w:tab w:val="clear" w:pos="964"/>
      </w:tabs>
    </w:pPr>
    <w:rPr>
      <w:sz w:val="28"/>
    </w:rPr>
  </w:style>
  <w:style w:type="paragraph" w:customStyle="1" w:styleId="346">
    <w:name w:val="正"/>
    <w:basedOn w:val="1"/>
    <w:qFormat/>
    <w:uiPriority w:val="0"/>
    <w:pPr>
      <w:ind w:firstLine="360" w:firstLineChars="150"/>
    </w:pPr>
    <w:rPr>
      <w:rFonts w:ascii="宋体" w:hAnsi="宋体"/>
      <w:sz w:val="24"/>
    </w:rPr>
  </w:style>
  <w:style w:type="paragraph" w:customStyle="1" w:styleId="347">
    <w:name w:val="表格正文居中"/>
    <w:basedOn w:val="1"/>
    <w:qFormat/>
    <w:uiPriority w:val="0"/>
    <w:pPr>
      <w:framePr w:hSpace="180" w:wrap="around" w:vAnchor="text" w:hAnchor="margin" w:y="16"/>
    </w:pPr>
    <w:rPr>
      <w:szCs w:val="21"/>
    </w:rPr>
  </w:style>
  <w:style w:type="paragraph" w:customStyle="1" w:styleId="348">
    <w:name w:val="样式 首行缩进:  1.04 厘米"/>
    <w:basedOn w:val="1"/>
    <w:qFormat/>
    <w:uiPriority w:val="0"/>
    <w:pPr>
      <w:adjustRightInd w:val="0"/>
      <w:spacing w:line="400" w:lineRule="exact"/>
      <w:ind w:firstLine="480" w:firstLineChars="200"/>
      <w:textAlignment w:val="baseline"/>
    </w:pPr>
    <w:rPr>
      <w:rFonts w:ascii="仿宋_GB2312" w:hAnsi="宋体" w:eastAsia="仿宋_GB2312"/>
      <w:kern w:val="0"/>
      <w:sz w:val="24"/>
      <w:szCs w:val="20"/>
    </w:rPr>
  </w:style>
  <w:style w:type="paragraph" w:customStyle="1" w:styleId="349">
    <w:name w:val="样式 标题 3 + 段前: 0.5 行 段后: 0.5 行"/>
    <w:basedOn w:val="4"/>
    <w:qFormat/>
    <w:uiPriority w:val="0"/>
    <w:pPr>
      <w:keepNext w:val="0"/>
      <w:keepLines w:val="0"/>
      <w:adjustRightInd w:val="0"/>
      <w:spacing w:before="0" w:beforeLines="50" w:after="0" w:afterLines="50" w:line="400" w:lineRule="exact"/>
      <w:textAlignment w:val="baseline"/>
    </w:pPr>
    <w:rPr>
      <w:rFonts w:cs="宋体"/>
      <w:kern w:val="0"/>
      <w:sz w:val="24"/>
      <w:szCs w:val="24"/>
    </w:rPr>
  </w:style>
  <w:style w:type="paragraph" w:customStyle="1" w:styleId="350">
    <w:name w:val="样式 标题3"/>
    <w:basedOn w:val="4"/>
    <w:qFormat/>
    <w:uiPriority w:val="0"/>
    <w:pPr>
      <w:spacing w:before="0" w:beforeLines="50" w:after="0" w:afterLines="50" w:line="360" w:lineRule="auto"/>
      <w:ind w:firstLine="200"/>
      <w:jc w:val="left"/>
    </w:pPr>
    <w:rPr>
      <w:rFonts w:ascii="宋体" w:hAnsi="宋体" w:cs="宋体"/>
      <w:sz w:val="28"/>
      <w:szCs w:val="24"/>
    </w:rPr>
  </w:style>
  <w:style w:type="paragraph" w:customStyle="1" w:styleId="351">
    <w:name w:val="本文格式"/>
    <w:basedOn w:val="1"/>
    <w:qFormat/>
    <w:uiPriority w:val="0"/>
    <w:pPr>
      <w:adjustRightInd w:val="0"/>
      <w:spacing w:line="360" w:lineRule="exact"/>
      <w:ind w:firstLine="476"/>
      <w:textAlignment w:val="baseline"/>
    </w:pPr>
    <w:rPr>
      <w:rFonts w:cs="宋体"/>
      <w:kern w:val="0"/>
      <w:sz w:val="24"/>
    </w:rPr>
  </w:style>
  <w:style w:type="paragraph" w:customStyle="1" w:styleId="352">
    <w:name w:val="样式 标题2"/>
    <w:basedOn w:val="2"/>
    <w:qFormat/>
    <w:uiPriority w:val="0"/>
    <w:pPr>
      <w:keepNext w:val="0"/>
      <w:tabs>
        <w:tab w:val="left" w:pos="0"/>
      </w:tabs>
      <w:spacing w:line="620" w:lineRule="exact"/>
      <w:jc w:val="both"/>
      <w:textAlignment w:val="baseline"/>
    </w:pPr>
    <w:rPr>
      <w:rFonts w:ascii="宋体" w:hAnsi="宋体"/>
      <w:bCs/>
      <w:w w:val="100"/>
      <w:kern w:val="0"/>
      <w:sz w:val="24"/>
      <w:szCs w:val="28"/>
    </w:rPr>
  </w:style>
  <w:style w:type="character" w:customStyle="1" w:styleId="353">
    <w:name w:val="style15"/>
    <w:qFormat/>
    <w:uiPriority w:val="0"/>
  </w:style>
  <w:style w:type="paragraph" w:customStyle="1" w:styleId="354">
    <w:name w:val="style45"/>
    <w:basedOn w:val="1"/>
    <w:qFormat/>
    <w:uiPriority w:val="0"/>
    <w:pPr>
      <w:widowControl/>
      <w:spacing w:before="100" w:beforeAutospacing="1" w:after="100" w:afterAutospacing="1" w:line="600" w:lineRule="auto"/>
      <w:jc w:val="left"/>
    </w:pPr>
    <w:rPr>
      <w:rFonts w:ascii="宋体" w:hAnsi="宋体" w:cs="宋体"/>
      <w:kern w:val="0"/>
      <w:sz w:val="24"/>
    </w:rPr>
  </w:style>
  <w:style w:type="character" w:customStyle="1" w:styleId="355">
    <w:name w:val="style44"/>
    <w:qFormat/>
    <w:uiPriority w:val="0"/>
  </w:style>
  <w:style w:type="paragraph" w:customStyle="1" w:styleId="356">
    <w:name w:val="style441"/>
    <w:basedOn w:val="1"/>
    <w:qFormat/>
    <w:uiPriority w:val="0"/>
    <w:pPr>
      <w:widowControl/>
      <w:spacing w:before="100" w:beforeAutospacing="1" w:after="100" w:afterAutospacing="1" w:line="600" w:lineRule="auto"/>
      <w:jc w:val="left"/>
    </w:pPr>
    <w:rPr>
      <w:rFonts w:ascii="宋体" w:hAnsi="宋体" w:cs="宋体"/>
      <w:kern w:val="0"/>
      <w:sz w:val="24"/>
    </w:rPr>
  </w:style>
  <w:style w:type="paragraph" w:customStyle="1" w:styleId="357">
    <w:name w:val="style451"/>
    <w:basedOn w:val="1"/>
    <w:qFormat/>
    <w:uiPriority w:val="0"/>
    <w:pPr>
      <w:widowControl/>
      <w:spacing w:before="100" w:beforeAutospacing="1" w:after="100" w:afterAutospacing="1" w:line="600" w:lineRule="auto"/>
      <w:jc w:val="left"/>
    </w:pPr>
    <w:rPr>
      <w:rFonts w:ascii="宋体" w:hAnsi="宋体" w:cs="宋体"/>
      <w:kern w:val="0"/>
      <w:sz w:val="24"/>
    </w:rPr>
  </w:style>
  <w:style w:type="paragraph" w:customStyle="1" w:styleId="358">
    <w:name w:val="style11"/>
    <w:basedOn w:val="1"/>
    <w:qFormat/>
    <w:uiPriority w:val="0"/>
    <w:pPr>
      <w:widowControl/>
      <w:spacing w:before="100" w:beforeAutospacing="1" w:after="100" w:afterAutospacing="1" w:line="600" w:lineRule="auto"/>
      <w:jc w:val="left"/>
    </w:pPr>
    <w:rPr>
      <w:rFonts w:ascii="宋体" w:hAnsi="宋体" w:cs="宋体"/>
      <w:kern w:val="0"/>
      <w:sz w:val="24"/>
    </w:rPr>
  </w:style>
  <w:style w:type="paragraph" w:customStyle="1" w:styleId="359">
    <w:name w:val="style12"/>
    <w:basedOn w:val="1"/>
    <w:qFormat/>
    <w:uiPriority w:val="0"/>
    <w:pPr>
      <w:widowControl/>
      <w:spacing w:before="100" w:beforeAutospacing="1" w:after="100" w:afterAutospacing="1" w:line="600" w:lineRule="auto"/>
      <w:jc w:val="left"/>
    </w:pPr>
    <w:rPr>
      <w:rFonts w:ascii="宋体" w:hAnsi="宋体" w:cs="宋体"/>
      <w:kern w:val="0"/>
      <w:sz w:val="24"/>
    </w:rPr>
  </w:style>
  <w:style w:type="character" w:customStyle="1" w:styleId="360">
    <w:name w:val="style13"/>
    <w:qFormat/>
    <w:uiPriority w:val="0"/>
  </w:style>
  <w:style w:type="paragraph" w:customStyle="1" w:styleId="361">
    <w:name w:val="样式4"/>
    <w:basedOn w:val="1"/>
    <w:qFormat/>
    <w:uiPriority w:val="0"/>
    <w:pPr>
      <w:spacing w:line="480" w:lineRule="exact"/>
    </w:pPr>
    <w:rPr>
      <w:rFonts w:ascii="华文中宋" w:hAnsi="华文中宋" w:eastAsia="华文中宋"/>
      <w:sz w:val="24"/>
    </w:rPr>
  </w:style>
  <w:style w:type="character" w:customStyle="1" w:styleId="362">
    <w:name w:val="样式 宋体 小四"/>
    <w:qFormat/>
    <w:uiPriority w:val="0"/>
    <w:rPr>
      <w:rFonts w:ascii="Times New Roman" w:hAnsi="Times New Roman"/>
      <w:sz w:val="24"/>
      <w:szCs w:val="24"/>
    </w:rPr>
  </w:style>
  <w:style w:type="paragraph" w:customStyle="1" w:styleId="363">
    <w:name w:val="样式 样式 样式 正文文本缩进 2 + 非加粗 非倾斜 + 左侧:  0.99 厘米 + 首行缩进:  2 字符 段前: 0...."/>
    <w:basedOn w:val="1"/>
    <w:qFormat/>
    <w:uiPriority w:val="0"/>
    <w:pPr>
      <w:overflowPunct w:val="0"/>
      <w:topLinePunct/>
      <w:adjustRightInd w:val="0"/>
      <w:spacing w:before="120" w:after="120" w:line="360" w:lineRule="auto"/>
      <w:ind w:firstLine="560" w:firstLineChars="200"/>
      <w:jc w:val="left"/>
    </w:pPr>
    <w:rPr>
      <w:rFonts w:ascii="宋体" w:hAnsi="宋体"/>
      <w:b/>
      <w:i/>
      <w:color w:val="000000"/>
      <w:kern w:val="0"/>
      <w:sz w:val="28"/>
      <w:szCs w:val="20"/>
    </w:rPr>
  </w:style>
  <w:style w:type="paragraph" w:customStyle="1" w:styleId="364">
    <w:name w:val="填表内容"/>
    <w:basedOn w:val="1"/>
    <w:qFormat/>
    <w:uiPriority w:val="0"/>
    <w:pPr>
      <w:adjustRightInd w:val="0"/>
      <w:spacing w:line="480" w:lineRule="exact"/>
      <w:ind w:firstLine="560" w:firstLineChars="200"/>
      <w:jc w:val="left"/>
      <w:textAlignment w:val="baseline"/>
    </w:pPr>
    <w:rPr>
      <w:rFonts w:ascii="楷体_GB2312" w:eastAsia="楷体_GB2312"/>
      <w:sz w:val="28"/>
      <w:szCs w:val="20"/>
    </w:rPr>
  </w:style>
  <w:style w:type="paragraph" w:customStyle="1" w:styleId="365">
    <w:name w:val="xl33"/>
    <w:basedOn w:val="1"/>
    <w:qFormat/>
    <w:uiPriority w:val="0"/>
    <w:pPr>
      <w:widowControl/>
      <w:pBdr>
        <w:left w:val="single" w:color="auto" w:sz="8" w:space="0"/>
        <w:bottom w:val="single" w:color="auto" w:sz="4" w:space="0"/>
        <w:right w:val="single" w:color="auto" w:sz="4" w:space="0"/>
      </w:pBdr>
      <w:autoSpaceDE w:val="0"/>
      <w:autoSpaceDN w:val="0"/>
      <w:adjustRightInd w:val="0"/>
      <w:spacing w:before="100" w:beforeAutospacing="1" w:after="100" w:afterAutospacing="1" w:line="360" w:lineRule="auto"/>
      <w:jc w:val="center"/>
      <w:textAlignment w:val="bottom"/>
    </w:pPr>
    <w:rPr>
      <w:rFonts w:ascii="宋体" w:hAnsi="宋体"/>
      <w:b/>
      <w:color w:val="000000"/>
      <w:kern w:val="0"/>
      <w:sz w:val="28"/>
      <w:szCs w:val="20"/>
    </w:rPr>
  </w:style>
  <w:style w:type="paragraph" w:customStyle="1" w:styleId="366">
    <w:name w:val="样式 样式 样式 样式 样式 首行缩进:  2 字符1 + 首行缩进:  2 字符 + 首行缩进:  2 字符 + 首行缩进: ..."/>
    <w:basedOn w:val="1"/>
    <w:qFormat/>
    <w:uiPriority w:val="0"/>
    <w:pPr>
      <w:spacing w:line="420" w:lineRule="exact"/>
      <w:ind w:firstLine="200" w:firstLineChars="200"/>
    </w:pPr>
    <w:rPr>
      <w:rFonts w:hint="eastAsia"/>
      <w:sz w:val="24"/>
      <w:szCs w:val="20"/>
    </w:rPr>
  </w:style>
  <w:style w:type="paragraph" w:customStyle="1" w:styleId="367">
    <w:name w:val="1名"/>
    <w:basedOn w:val="1"/>
    <w:qFormat/>
    <w:uiPriority w:val="0"/>
    <w:pPr>
      <w:spacing w:before="120"/>
    </w:pPr>
    <w:rPr>
      <w:rFonts w:hint="eastAsia" w:ascii="宋体"/>
      <w:sz w:val="28"/>
      <w:szCs w:val="20"/>
    </w:rPr>
  </w:style>
  <w:style w:type="character" w:customStyle="1" w:styleId="368">
    <w:name w:val="批注主题 Char1"/>
    <w:qFormat/>
    <w:uiPriority w:val="0"/>
    <w:rPr>
      <w:b/>
      <w:bCs/>
      <w:kern w:val="2"/>
      <w:sz w:val="21"/>
      <w:szCs w:val="24"/>
    </w:rPr>
  </w:style>
  <w:style w:type="character" w:customStyle="1" w:styleId="369">
    <w:name w:val="正文文本 Char"/>
    <w:qFormat/>
    <w:uiPriority w:val="0"/>
    <w:rPr>
      <w:spacing w:val="22"/>
      <w:kern w:val="2"/>
      <w:sz w:val="24"/>
      <w:szCs w:val="24"/>
    </w:rPr>
  </w:style>
  <w:style w:type="character" w:customStyle="1" w:styleId="370">
    <w:name w:val="标题 3 字符1"/>
    <w:qFormat/>
    <w:uiPriority w:val="0"/>
    <w:rPr>
      <w:rFonts w:cs="Times New Roman"/>
      <w:szCs w:val="28"/>
    </w:rPr>
  </w:style>
  <w:style w:type="character" w:customStyle="1" w:styleId="371">
    <w:name w:val="正文文本 2 字符1"/>
    <w:qFormat/>
    <w:uiPriority w:val="0"/>
    <w:rPr>
      <w:rFonts w:cs="Times New Roman"/>
      <w:sz w:val="28"/>
    </w:rPr>
  </w:style>
  <w:style w:type="character" w:customStyle="1" w:styleId="372">
    <w:name w:val="ask-title"/>
    <w:qFormat/>
    <w:uiPriority w:val="0"/>
  </w:style>
  <w:style w:type="paragraph" w:customStyle="1" w:styleId="373">
    <w:name w:val="p0"/>
    <w:basedOn w:val="1"/>
    <w:qFormat/>
    <w:uiPriority w:val="0"/>
    <w:pPr>
      <w:widowControl/>
      <w:spacing w:line="360" w:lineRule="auto"/>
      <w:ind w:firstLine="420"/>
    </w:pPr>
    <w:rPr>
      <w:rFonts w:ascii="Calibri" w:hAnsi="Calibri" w:cs="宋体"/>
      <w:kern w:val="0"/>
      <w:sz w:val="28"/>
      <w:szCs w:val="28"/>
    </w:rPr>
  </w:style>
  <w:style w:type="paragraph" w:customStyle="1" w:styleId="374">
    <w:name w:val="正文01"/>
    <w:basedOn w:val="1"/>
    <w:qFormat/>
    <w:uiPriority w:val="0"/>
    <w:pPr>
      <w:spacing w:before="60" w:line="460" w:lineRule="exact"/>
      <w:ind w:firstLine="539"/>
    </w:pPr>
    <w:rPr>
      <w:sz w:val="27"/>
      <w:szCs w:val="20"/>
    </w:rPr>
  </w:style>
  <w:style w:type="paragraph" w:customStyle="1" w:styleId="375">
    <w:name w:val="空行"/>
    <w:basedOn w:val="1"/>
    <w:next w:val="41"/>
    <w:qFormat/>
    <w:uiPriority w:val="0"/>
    <w:pPr>
      <w:topLinePunct/>
      <w:adjustRightInd w:val="0"/>
      <w:snapToGrid w:val="0"/>
      <w:jc w:val="center"/>
    </w:pPr>
    <w:rPr>
      <w:kern w:val="0"/>
      <w:sz w:val="28"/>
      <w:szCs w:val="20"/>
    </w:rPr>
  </w:style>
  <w:style w:type="character" w:customStyle="1" w:styleId="376">
    <w:name w:val="表格内文字 Char1"/>
    <w:link w:val="377"/>
    <w:qFormat/>
    <w:uiPriority w:val="0"/>
    <w:rPr>
      <w:sz w:val="21"/>
      <w:szCs w:val="21"/>
      <w:lang w:val="zh-CN"/>
    </w:rPr>
  </w:style>
  <w:style w:type="paragraph" w:customStyle="1" w:styleId="377">
    <w:name w:val="表格内文字"/>
    <w:next w:val="1"/>
    <w:link w:val="376"/>
    <w:qFormat/>
    <w:uiPriority w:val="0"/>
    <w:rPr>
      <w:rFonts w:ascii="Times New Roman" w:hAnsi="Times New Roman" w:eastAsia="宋体" w:cs="Times New Roman"/>
      <w:sz w:val="21"/>
      <w:szCs w:val="21"/>
      <w:lang w:val="zh-CN" w:eastAsia="zh-CN" w:bidi="ar-SA"/>
    </w:rPr>
  </w:style>
  <w:style w:type="character" w:customStyle="1" w:styleId="378">
    <w:name w:val="HTML 预设格式 字符1"/>
    <w:qFormat/>
    <w:uiPriority w:val="99"/>
    <w:rPr>
      <w:rFonts w:ascii="宋体" w:hAnsi="宋体" w:cs="Times New Roman"/>
      <w:kern w:val="0"/>
    </w:rPr>
  </w:style>
  <w:style w:type="paragraph" w:customStyle="1" w:styleId="379">
    <w:name w:val="列出段落1"/>
    <w:basedOn w:val="1"/>
    <w:qFormat/>
    <w:uiPriority w:val="99"/>
    <w:pPr>
      <w:spacing w:line="360" w:lineRule="auto"/>
      <w:ind w:firstLine="420" w:firstLineChars="200"/>
    </w:pPr>
    <w:rPr>
      <w:rFonts w:ascii="Calibri" w:hAnsi="Calibri"/>
      <w:sz w:val="28"/>
      <w:szCs w:val="22"/>
    </w:rPr>
  </w:style>
  <w:style w:type="paragraph" w:customStyle="1" w:styleId="380">
    <w:name w:val="xl24"/>
    <w:basedOn w:val="1"/>
    <w:qFormat/>
    <w:uiPriority w:val="0"/>
    <w:pPr>
      <w:widowControl/>
      <w:pBdr>
        <w:left w:val="single" w:color="auto" w:sz="4" w:space="0"/>
        <w:bottom w:val="single" w:color="auto" w:sz="4" w:space="0"/>
        <w:right w:val="single" w:color="auto" w:sz="4" w:space="0"/>
      </w:pBdr>
      <w:spacing w:before="100" w:after="100"/>
      <w:jc w:val="center"/>
      <w:textAlignment w:val="center"/>
    </w:pPr>
    <w:rPr>
      <w:rFonts w:ascii="宋体" w:hAnsi="宋体"/>
      <w:kern w:val="0"/>
      <w:sz w:val="24"/>
    </w:rPr>
  </w:style>
  <w:style w:type="character" w:customStyle="1" w:styleId="381">
    <w:name w:val="正文111 Char Char"/>
    <w:qFormat/>
    <w:uiPriority w:val="0"/>
    <w:rPr>
      <w:rFonts w:ascii="Times New Roman" w:hAnsi="Times New Roman" w:eastAsia="仿宋_GB2312"/>
      <w:kern w:val="2"/>
      <w:sz w:val="24"/>
      <w:szCs w:val="24"/>
    </w:rPr>
  </w:style>
  <w:style w:type="character" w:customStyle="1" w:styleId="382">
    <w:name w:val="脚注文本 字符"/>
    <w:basedOn w:val="47"/>
    <w:qFormat/>
    <w:uiPriority w:val="99"/>
    <w:rPr>
      <w:kern w:val="2"/>
      <w:sz w:val="18"/>
      <w:szCs w:val="18"/>
    </w:rPr>
  </w:style>
  <w:style w:type="character" w:customStyle="1" w:styleId="383">
    <w:name w:val="脚注文本 Char"/>
    <w:link w:val="33"/>
    <w:qFormat/>
    <w:uiPriority w:val="99"/>
    <w:rPr>
      <w:kern w:val="2"/>
      <w:sz w:val="18"/>
      <w:szCs w:val="18"/>
    </w:rPr>
  </w:style>
  <w:style w:type="character" w:customStyle="1" w:styleId="384">
    <w:name w:val="正文文本缩进 3 字符1"/>
    <w:qFormat/>
    <w:uiPriority w:val="0"/>
    <w:rPr>
      <w:rFonts w:ascii="仿宋_GB2312" w:eastAsia="仿宋_GB2312" w:cs="Times New Roman"/>
    </w:rPr>
  </w:style>
  <w:style w:type="paragraph" w:customStyle="1" w:styleId="385">
    <w:name w:val="Char Char Char Char3"/>
    <w:basedOn w:val="1"/>
    <w:qFormat/>
    <w:uiPriority w:val="0"/>
  </w:style>
  <w:style w:type="paragraph" w:customStyle="1" w:styleId="386">
    <w:name w:val="首行缩进两字"/>
    <w:basedOn w:val="1"/>
    <w:qFormat/>
    <w:uiPriority w:val="0"/>
    <w:pPr>
      <w:spacing w:line="600" w:lineRule="exact"/>
      <w:ind w:firstLine="566"/>
      <w:jc w:val="left"/>
    </w:pPr>
    <w:rPr>
      <w:rFonts w:ascii="宋体" w:hAnsi="宋体"/>
      <w:sz w:val="28"/>
    </w:rPr>
  </w:style>
  <w:style w:type="paragraph" w:customStyle="1" w:styleId="387">
    <w:name w:val="正文 New New"/>
    <w:qFormat/>
    <w:uiPriority w:val="99"/>
    <w:pPr>
      <w:widowControl w:val="0"/>
      <w:jc w:val="both"/>
    </w:pPr>
    <w:rPr>
      <w:rFonts w:ascii="Times New Roman" w:hAnsi="Times New Roman" w:eastAsia="宋体" w:cs="Times New Roman"/>
      <w:kern w:val="2"/>
      <w:sz w:val="21"/>
      <w:szCs w:val="24"/>
      <w:lang w:val="en-US" w:eastAsia="zh-CN" w:bidi="ar-SA"/>
    </w:rPr>
  </w:style>
  <w:style w:type="paragraph" w:customStyle="1" w:styleId="388">
    <w:name w:val="正文 New New New New New New New New New"/>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389">
    <w:name w:val="表文字居中 Char Char"/>
    <w:link w:val="275"/>
    <w:qFormat/>
    <w:uiPriority w:val="0"/>
    <w:rPr>
      <w:kern w:val="2"/>
      <w:sz w:val="21"/>
      <w:szCs w:val="24"/>
    </w:rPr>
  </w:style>
  <w:style w:type="paragraph" w:customStyle="1" w:styleId="390">
    <w:name w:val="正文样式1"/>
    <w:basedOn w:val="1"/>
    <w:qFormat/>
    <w:uiPriority w:val="0"/>
    <w:pPr>
      <w:adjustRightInd w:val="0"/>
      <w:spacing w:line="288" w:lineRule="auto"/>
      <w:ind w:firstLine="360" w:firstLineChars="150"/>
      <w:textAlignment w:val="baseline"/>
    </w:pPr>
    <w:rPr>
      <w:kern w:val="0"/>
      <w:sz w:val="24"/>
      <w:szCs w:val="20"/>
    </w:rPr>
  </w:style>
  <w:style w:type="paragraph" w:customStyle="1" w:styleId="391">
    <w:name w:val="[环评正文内容]"/>
    <w:basedOn w:val="1"/>
    <w:next w:val="1"/>
    <w:link w:val="392"/>
    <w:qFormat/>
    <w:uiPriority w:val="99"/>
    <w:pPr>
      <w:wordWrap w:val="0"/>
      <w:topLinePunct/>
      <w:spacing w:line="480" w:lineRule="exact"/>
      <w:ind w:firstLine="200" w:firstLineChars="200"/>
      <w:jc w:val="left"/>
    </w:pPr>
    <w:rPr>
      <w:sz w:val="24"/>
      <w:szCs w:val="20"/>
    </w:rPr>
  </w:style>
  <w:style w:type="character" w:customStyle="1" w:styleId="392">
    <w:name w:val="[环评正文内容] Char"/>
    <w:link w:val="391"/>
    <w:qFormat/>
    <w:locked/>
    <w:uiPriority w:val="99"/>
    <w:rPr>
      <w:kern w:val="2"/>
      <w:sz w:val="24"/>
    </w:rPr>
  </w:style>
  <w:style w:type="character" w:customStyle="1" w:styleId="393">
    <w:name w:val="Default Char"/>
    <w:qFormat/>
    <w:uiPriority w:val="0"/>
    <w:rPr>
      <w:rFonts w:ascii="宋体" w:cs="宋体"/>
      <w:color w:val="000000"/>
      <w:kern w:val="0"/>
    </w:rPr>
  </w:style>
  <w:style w:type="paragraph" w:customStyle="1" w:styleId="394">
    <w:name w:val="a-文本缩2"/>
    <w:qFormat/>
    <w:uiPriority w:val="0"/>
    <w:pPr>
      <w:adjustRightInd w:val="0"/>
      <w:snapToGrid w:val="0"/>
      <w:spacing w:line="360" w:lineRule="auto"/>
      <w:ind w:firstLine="200" w:firstLineChars="200"/>
      <w:jc w:val="both"/>
    </w:pPr>
    <w:rPr>
      <w:rFonts w:ascii="Times New Roman" w:hAnsi="Times New Roman" w:eastAsia="宋体" w:cs="Times New Roman"/>
      <w:color w:val="000000"/>
      <w:kern w:val="2"/>
      <w:sz w:val="24"/>
      <w:szCs w:val="21"/>
      <w:lang w:val="en-US" w:eastAsia="zh-CN" w:bidi="ar-SA"/>
    </w:rPr>
  </w:style>
  <w:style w:type="character" w:customStyle="1" w:styleId="395">
    <w:name w:val="fontstyle01"/>
    <w:qFormat/>
    <w:uiPriority w:val="0"/>
    <w:rPr>
      <w:rFonts w:hint="eastAsia" w:ascii="宋体" w:hAnsi="宋体" w:eastAsia="宋体"/>
      <w:color w:val="000000"/>
      <w:sz w:val="22"/>
      <w:szCs w:val="22"/>
    </w:rPr>
  </w:style>
  <w:style w:type="character" w:customStyle="1" w:styleId="396">
    <w:name w:val="【正文】 字符"/>
    <w:qFormat/>
    <w:uiPriority w:val="0"/>
    <w:rPr>
      <w:rFonts w:ascii="Times New Roman" w:hAnsi="Times New Roman"/>
      <w:kern w:val="2"/>
      <w:sz w:val="28"/>
      <w:szCs w:val="28"/>
    </w:rPr>
  </w:style>
  <w:style w:type="character" w:customStyle="1" w:styleId="397">
    <w:name w:val="表中文字 Char"/>
    <w:qFormat/>
    <w:uiPriority w:val="0"/>
    <w:rPr>
      <w:rFonts w:ascii="Times New Roman" w:hAnsi="Times New Roman" w:cs="Times New Roman"/>
      <w:kern w:val="2"/>
      <w:sz w:val="21"/>
    </w:rPr>
  </w:style>
  <w:style w:type="paragraph" w:customStyle="1" w:styleId="398">
    <w:name w:val="报告书正文 Char Char Char6"/>
    <w:basedOn w:val="1"/>
    <w:qFormat/>
    <w:uiPriority w:val="0"/>
    <w:pPr>
      <w:spacing w:line="300" w:lineRule="auto"/>
      <w:ind w:firstLine="480" w:firstLineChars="200"/>
    </w:pPr>
    <w:rPr>
      <w:rFonts w:ascii="宋体" w:hAnsi="宋体"/>
      <w:sz w:val="24"/>
    </w:rPr>
  </w:style>
  <w:style w:type="paragraph" w:customStyle="1" w:styleId="399">
    <w:name w:val="表体"/>
    <w:basedOn w:val="1"/>
    <w:qFormat/>
    <w:uiPriority w:val="0"/>
    <w:pPr>
      <w:adjustRightInd w:val="0"/>
      <w:snapToGrid w:val="0"/>
      <w:spacing w:beforeLines="20" w:afterLines="20"/>
      <w:jc w:val="center"/>
    </w:pPr>
  </w:style>
  <w:style w:type="character" w:customStyle="1" w:styleId="400">
    <w:name w:val="文本正文 Char"/>
    <w:link w:val="401"/>
    <w:qFormat/>
    <w:uiPriority w:val="0"/>
    <w:rPr>
      <w:rFonts w:cs="宋体"/>
      <w:sz w:val="24"/>
      <w:szCs w:val="24"/>
    </w:rPr>
  </w:style>
  <w:style w:type="paragraph" w:customStyle="1" w:styleId="401">
    <w:name w:val="文本正文"/>
    <w:basedOn w:val="1"/>
    <w:link w:val="400"/>
    <w:qFormat/>
    <w:uiPriority w:val="0"/>
    <w:pPr>
      <w:widowControl/>
      <w:spacing w:line="360" w:lineRule="auto"/>
      <w:ind w:firstLine="480" w:firstLineChars="200"/>
      <w:jc w:val="left"/>
    </w:pPr>
    <w:rPr>
      <w:rFonts w:cs="宋体"/>
      <w:kern w:val="0"/>
      <w:sz w:val="24"/>
    </w:rPr>
  </w:style>
  <w:style w:type="paragraph" w:customStyle="1" w:styleId="402">
    <w:name w:val="首行缩进表格正文"/>
    <w:basedOn w:val="1"/>
    <w:link w:val="403"/>
    <w:qFormat/>
    <w:uiPriority w:val="0"/>
    <w:pPr>
      <w:spacing w:line="360" w:lineRule="auto"/>
      <w:ind w:firstLine="720" w:firstLineChars="200"/>
      <w:jc w:val="left"/>
    </w:pPr>
  </w:style>
  <w:style w:type="character" w:customStyle="1" w:styleId="403">
    <w:name w:val="首行缩进表格正文 Char"/>
    <w:link w:val="402"/>
    <w:qFormat/>
    <w:uiPriority w:val="0"/>
    <w:rPr>
      <w:kern w:val="2"/>
      <w:sz w:val="21"/>
      <w:szCs w:val="24"/>
    </w:rPr>
  </w:style>
  <w:style w:type="paragraph" w:customStyle="1" w:styleId="404">
    <w:name w:val="custom_unionstyle"/>
    <w:basedOn w:val="1"/>
    <w:qFormat/>
    <w:uiPriority w:val="0"/>
    <w:pPr>
      <w:widowControl/>
      <w:spacing w:before="100" w:beforeAutospacing="1" w:after="100" w:afterAutospacing="1"/>
      <w:jc w:val="left"/>
    </w:pPr>
    <w:rPr>
      <w:rFonts w:ascii="宋体" w:hAnsi="宋体" w:cs="宋体"/>
      <w:kern w:val="0"/>
      <w:sz w:val="24"/>
    </w:rPr>
  </w:style>
  <w:style w:type="paragraph" w:customStyle="1" w:styleId="405">
    <w:name w:val="准 正文 左侧:  2 字符 + 首行缩进:  2 字符"/>
    <w:basedOn w:val="1"/>
    <w:qFormat/>
    <w:uiPriority w:val="0"/>
    <w:pPr>
      <w:spacing w:line="360" w:lineRule="auto"/>
      <w:ind w:firstLine="480" w:firstLineChars="200"/>
    </w:pPr>
    <w:rPr>
      <w:sz w:val="24"/>
    </w:rPr>
  </w:style>
  <w:style w:type="paragraph" w:customStyle="1" w:styleId="406">
    <w:name w:val="样式 样式 正文缩进 + 首行缩进:  2 字符 + 首行缩进:  2 字符"/>
    <w:basedOn w:val="1"/>
    <w:qFormat/>
    <w:uiPriority w:val="0"/>
    <w:pPr>
      <w:widowControl/>
      <w:tabs>
        <w:tab w:val="left" w:pos="480"/>
      </w:tabs>
      <w:autoSpaceDE w:val="0"/>
      <w:autoSpaceDN w:val="0"/>
      <w:adjustRightInd w:val="0"/>
      <w:spacing w:line="360" w:lineRule="auto"/>
      <w:ind w:firstLine="480"/>
      <w:textAlignment w:val="bottom"/>
    </w:pPr>
    <w:rPr>
      <w:rFonts w:cs="宋体"/>
      <w:kern w:val="0"/>
      <w:sz w:val="26"/>
      <w:szCs w:val="20"/>
    </w:rPr>
  </w:style>
  <w:style w:type="paragraph" w:customStyle="1" w:styleId="407">
    <w:name w:val="论文正文"/>
    <w:basedOn w:val="12"/>
    <w:qFormat/>
    <w:uiPriority w:val="0"/>
    <w:pPr>
      <w:ind w:firstLine="480" w:firstLineChars="200"/>
    </w:pPr>
    <w:rPr>
      <w:rFonts w:ascii="宋体" w:hAnsi="宋体"/>
      <w:sz w:val="28"/>
      <w:szCs w:val="24"/>
    </w:rPr>
  </w:style>
  <w:style w:type="paragraph" w:customStyle="1" w:styleId="408">
    <w:name w:val="样式 黑体 居中 行距: 1.5 倍行距"/>
    <w:basedOn w:val="1"/>
    <w:uiPriority w:val="0"/>
    <w:pPr>
      <w:spacing w:line="360" w:lineRule="auto"/>
      <w:jc w:val="center"/>
    </w:pPr>
    <w:rPr>
      <w:rFonts w:ascii="黑体" w:hAnsi="黑体" w:eastAsia="黑体"/>
      <w:kern w:val="0"/>
      <w:sz w:val="24"/>
      <w:szCs w:val="20"/>
    </w:rPr>
  </w:style>
  <w:style w:type="paragraph" w:customStyle="1" w:styleId="409">
    <w:name w:val="样式 Times New Roman 五号 居中"/>
    <w:basedOn w:val="1"/>
    <w:qFormat/>
    <w:uiPriority w:val="0"/>
    <w:pPr>
      <w:jc w:val="center"/>
    </w:pPr>
    <w:rPr>
      <w:rFonts w:cs="宋体"/>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1.jpeg"/><Relationship Id="rId8" Type="http://schemas.openxmlformats.org/officeDocument/2006/relationships/theme" Target="theme/theme1.xml"/><Relationship Id="rId7" Type="http://schemas.openxmlformats.org/officeDocument/2006/relationships/footer" Target="footer5.xml"/><Relationship Id="rId63" Type="http://schemas.openxmlformats.org/officeDocument/2006/relationships/fontTable" Target="fontTable.xml"/><Relationship Id="rId62" Type="http://schemas.openxmlformats.org/officeDocument/2006/relationships/customXml" Target="../customXml/item2.xml"/><Relationship Id="rId61" Type="http://schemas.openxmlformats.org/officeDocument/2006/relationships/numbering" Target="numbering.xml"/><Relationship Id="rId60" Type="http://schemas.openxmlformats.org/officeDocument/2006/relationships/customXml" Target="../customXml/item1.xml"/><Relationship Id="rId6" Type="http://schemas.openxmlformats.org/officeDocument/2006/relationships/footer" Target="footer4.xml"/><Relationship Id="rId59" Type="http://schemas.openxmlformats.org/officeDocument/2006/relationships/image" Target="media/image48.png"/><Relationship Id="rId58" Type="http://schemas.openxmlformats.org/officeDocument/2006/relationships/image" Target="media/image47.jpeg"/><Relationship Id="rId57" Type="http://schemas.openxmlformats.org/officeDocument/2006/relationships/image" Target="media/image46.jpeg"/><Relationship Id="rId56" Type="http://schemas.openxmlformats.org/officeDocument/2006/relationships/image" Target="media/image45.jpeg"/><Relationship Id="rId55" Type="http://schemas.openxmlformats.org/officeDocument/2006/relationships/image" Target="media/image44.jpeg"/><Relationship Id="rId54" Type="http://schemas.openxmlformats.org/officeDocument/2006/relationships/image" Target="media/image43.jpeg"/><Relationship Id="rId53" Type="http://schemas.openxmlformats.org/officeDocument/2006/relationships/image" Target="media/image42.jpeg"/><Relationship Id="rId52" Type="http://schemas.openxmlformats.org/officeDocument/2006/relationships/image" Target="media/image41.jpeg"/><Relationship Id="rId51" Type="http://schemas.openxmlformats.org/officeDocument/2006/relationships/image" Target="media/image40.jpeg"/><Relationship Id="rId50" Type="http://schemas.openxmlformats.org/officeDocument/2006/relationships/image" Target="media/image39.jpeg"/><Relationship Id="rId5" Type="http://schemas.openxmlformats.org/officeDocument/2006/relationships/footer" Target="footer3.xml"/><Relationship Id="rId49" Type="http://schemas.openxmlformats.org/officeDocument/2006/relationships/image" Target="media/image38.jpeg"/><Relationship Id="rId48" Type="http://schemas.openxmlformats.org/officeDocument/2006/relationships/image" Target="media/image37.jpeg"/><Relationship Id="rId47" Type="http://schemas.openxmlformats.org/officeDocument/2006/relationships/image" Target="media/image36.jpeg"/><Relationship Id="rId46" Type="http://schemas.openxmlformats.org/officeDocument/2006/relationships/image" Target="media/image35.jpeg"/><Relationship Id="rId45" Type="http://schemas.openxmlformats.org/officeDocument/2006/relationships/image" Target="media/image34.jpeg"/><Relationship Id="rId44" Type="http://schemas.openxmlformats.org/officeDocument/2006/relationships/image" Target="media/image33.jpeg"/><Relationship Id="rId43" Type="http://schemas.openxmlformats.org/officeDocument/2006/relationships/image" Target="media/image32.jpeg"/><Relationship Id="rId42" Type="http://schemas.openxmlformats.org/officeDocument/2006/relationships/image" Target="media/image31.jpeg"/><Relationship Id="rId41" Type="http://schemas.openxmlformats.org/officeDocument/2006/relationships/image" Target="media/image30.jpeg"/><Relationship Id="rId40" Type="http://schemas.openxmlformats.org/officeDocument/2006/relationships/image" Target="media/image29.jpeg"/><Relationship Id="rId4" Type="http://schemas.openxmlformats.org/officeDocument/2006/relationships/footer" Target="footer2.xml"/><Relationship Id="rId39" Type="http://schemas.openxmlformats.org/officeDocument/2006/relationships/image" Target="media/image28.jpeg"/><Relationship Id="rId38" Type="http://schemas.openxmlformats.org/officeDocument/2006/relationships/image" Target="media/image27.jpeg"/><Relationship Id="rId37" Type="http://schemas.openxmlformats.org/officeDocument/2006/relationships/image" Target="media/image26.jpeg"/><Relationship Id="rId36" Type="http://schemas.openxmlformats.org/officeDocument/2006/relationships/image" Target="media/image25.jpeg"/><Relationship Id="rId35" Type="http://schemas.openxmlformats.org/officeDocument/2006/relationships/image" Target="media/image24.jpeg"/><Relationship Id="rId34" Type="http://schemas.openxmlformats.org/officeDocument/2006/relationships/image" Target="media/image23.jpeg"/><Relationship Id="rId33" Type="http://schemas.openxmlformats.org/officeDocument/2006/relationships/image" Target="media/image22.jpeg"/><Relationship Id="rId32" Type="http://schemas.openxmlformats.org/officeDocument/2006/relationships/image" Target="media/image21.jpeg"/><Relationship Id="rId31" Type="http://schemas.openxmlformats.org/officeDocument/2006/relationships/image" Target="media/image20.jpeg"/><Relationship Id="rId30" Type="http://schemas.openxmlformats.org/officeDocument/2006/relationships/image" Target="media/image19.jpeg"/><Relationship Id="rId3" Type="http://schemas.openxmlformats.org/officeDocument/2006/relationships/footer" Target="footer1.xml"/><Relationship Id="rId29" Type="http://schemas.openxmlformats.org/officeDocument/2006/relationships/image" Target="media/image18.jpeg"/><Relationship Id="rId28" Type="http://schemas.openxmlformats.org/officeDocument/2006/relationships/image" Target="media/image17.jpeg"/><Relationship Id="rId27" Type="http://schemas.openxmlformats.org/officeDocument/2006/relationships/image" Target="media/image16.jpeg"/><Relationship Id="rId26" Type="http://schemas.openxmlformats.org/officeDocument/2006/relationships/image" Target="media/image15.jpeg"/><Relationship Id="rId25" Type="http://schemas.openxmlformats.org/officeDocument/2006/relationships/image" Target="media/image14.jpeg"/><Relationship Id="rId24" Type="http://schemas.openxmlformats.org/officeDocument/2006/relationships/image" Target="media/image13.jpeg"/><Relationship Id="rId23" Type="http://schemas.openxmlformats.org/officeDocument/2006/relationships/image" Target="media/image12.jpeg"/><Relationship Id="rId22" Type="http://schemas.openxmlformats.org/officeDocument/2006/relationships/image" Target="media/image11.jpeg"/><Relationship Id="rId21" Type="http://schemas.openxmlformats.org/officeDocument/2006/relationships/image" Target="media/image10.png"/><Relationship Id="rId20" Type="http://schemas.openxmlformats.org/officeDocument/2006/relationships/image" Target="media/image9.png"/><Relationship Id="rId2" Type="http://schemas.openxmlformats.org/officeDocument/2006/relationships/settings" Target="settings.xml"/><Relationship Id="rId19" Type="http://schemas.openxmlformats.org/officeDocument/2006/relationships/image" Target="media/image8.png"/><Relationship Id="rId18" Type="http://schemas.openxmlformats.org/officeDocument/2006/relationships/image" Target="media/image7.png"/><Relationship Id="rId17" Type="http://schemas.openxmlformats.org/officeDocument/2006/relationships/image" Target="media/image6.png"/><Relationship Id="rId16" Type="http://schemas.openxmlformats.org/officeDocument/2006/relationships/image" Target="media/image5.emf"/><Relationship Id="rId15" Type="http://schemas.openxmlformats.org/officeDocument/2006/relationships/oleObject" Target="embeddings/oleObject3.bin"/><Relationship Id="rId14" Type="http://schemas.openxmlformats.org/officeDocument/2006/relationships/image" Target="media/image4.emf"/><Relationship Id="rId13" Type="http://schemas.openxmlformats.org/officeDocument/2006/relationships/oleObject" Target="embeddings/oleObject2.bin"/><Relationship Id="rId12" Type="http://schemas.openxmlformats.org/officeDocument/2006/relationships/image" Target="media/image3.emf"/><Relationship Id="rId11" Type="http://schemas.openxmlformats.org/officeDocument/2006/relationships/oleObject" Target="embeddings/oleObject1.bin"/><Relationship Id="rId10" Type="http://schemas.openxmlformats.org/officeDocument/2006/relationships/image" Target="media/image2.png"/><Relationship Id="rId1"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C:\dsoa\wdzx97.dot" TargetMode="Externa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customShpExts>
</s:customData>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9649514B-BA76-4937-8C4C-678CD101C939}">
  <ds:schemaRefs/>
</ds:datastoreItem>
</file>

<file path=docProps/app.xml><?xml version="1.0" encoding="utf-8"?>
<Properties xmlns="http://schemas.openxmlformats.org/officeDocument/2006/extended-properties" xmlns:vt="http://schemas.openxmlformats.org/officeDocument/2006/docPropsVTypes">
  <Template>wdzx97</Template>
  <Company>微软中国</Company>
  <Pages>98</Pages>
  <Words>10358</Words>
  <Characters>10785</Characters>
  <Lines>248</Lines>
  <Paragraphs>70</Paragraphs>
  <TotalTime>4</TotalTime>
  <ScaleCrop>false</ScaleCrop>
  <LinksUpToDate>false</LinksUpToDate>
  <CharactersWithSpaces>10829</CharactersWithSpaces>
  <Application>WPS Office_12.1.0.20784_F1E327BC-269C-435d-A152-05C5408002CA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2022-03-30T16:02:00Z</dcterms:created>
  <dc:creator>qx</dc:creator>
  <cp:lastModifiedBy>郭~~</cp:lastModifiedBy>
  <cp:lastPrinted>2021-10-08T03:54:00Z</cp:lastPrinted>
  <dcterms:modified xsi:type="dcterms:W3CDTF">2025-04-18T01:07:01Z</dcterms:modified>
  <dc:title>报告</dc:title>
  <cp:revision>61</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2052-12.1.0.20784</vt:lpwstr>
  </property>
  <property fmtid="{D5CDD505-2E9C-101B-9397-08002B2CF9AE}" pid="3" name="ICV">
    <vt:lpwstr>E32EB548A9324E36B2CFB8726AC11022</vt:lpwstr>
  </property>
  <property fmtid="{D5CDD505-2E9C-101B-9397-08002B2CF9AE}" pid="4" name="KSOTemplateDocerSaveRecord">
    <vt:lpwstr>eyJoZGlkIjoiYmFhYTM1ZjdmZTgwMjBiMTY2N2QzOWVjZmVlZGRjNTciLCJ1c2VySWQiOiIxMTA2NzEyMDcyIn0=</vt:lpwstr>
  </property>
</Properties>
</file>