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sz w:val="44"/>
          <w:szCs w:val="44"/>
        </w:rPr>
        <w:t>拟审批意见</w:t>
      </w:r>
    </w:p>
    <w:tbl>
      <w:tblPr>
        <w:tblStyle w:val="14"/>
        <w:tblW w:w="9555" w:type="dxa"/>
        <w:tblCellSpacing w:w="15" w:type="dxa"/>
        <w:tblInd w:w="-477" w:type="dxa"/>
        <w:tblLayout w:type="fixed"/>
        <w:tblCellMar>
          <w:top w:w="0" w:type="dxa"/>
          <w:left w:w="0" w:type="dxa"/>
          <w:bottom w:w="0" w:type="dxa"/>
          <w:right w:w="0" w:type="dxa"/>
        </w:tblCellMar>
      </w:tblPr>
      <w:tblGrid>
        <w:gridCol w:w="1822"/>
        <w:gridCol w:w="7733"/>
      </w:tblGrid>
      <w:tr>
        <w:tblPrEx>
          <w:tblCellMar>
            <w:top w:w="0" w:type="dxa"/>
            <w:left w:w="0" w:type="dxa"/>
            <w:bottom w:w="0" w:type="dxa"/>
            <w:right w:w="0" w:type="dxa"/>
          </w:tblCellMar>
        </w:tblPrEx>
        <w:trPr>
          <w:trHeight w:val="1157" w:hRule="atLeast"/>
          <w:tblCellSpacing w:w="15" w:type="dxa"/>
        </w:trPr>
        <w:tc>
          <w:tcPr>
            <w:tcW w:w="1777" w:type="dxa"/>
            <w:tcBorders>
              <w:top w:val="single" w:color="000000" w:sz="4" w:space="0"/>
              <w:left w:val="single" w:color="000000" w:sz="4" w:space="0"/>
              <w:bottom w:val="single" w:color="000000" w:sz="4" w:space="0"/>
              <w:right w:val="single" w:color="000000" w:sz="4" w:space="0"/>
            </w:tcBorders>
            <w:noWrap w:val="0"/>
            <w:tcMar>
              <w:left w:w="70" w:type="dxa"/>
              <w:right w:w="70" w:type="dxa"/>
            </w:tcMar>
            <w:vAlign w:val="center"/>
          </w:tcPr>
          <w:p>
            <w:pPr>
              <w:pStyle w:val="12"/>
              <w:widowControl/>
              <w:spacing w:beforeAutospacing="0" w:afterAutospacing="0" w:line="15" w:lineRule="atLeas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建设项目</w:t>
            </w:r>
          </w:p>
          <w:p>
            <w:pPr>
              <w:pStyle w:val="12"/>
              <w:widowControl/>
              <w:spacing w:beforeAutospacing="0" w:afterAutospacing="0" w:line="15" w:lineRule="atLeas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名称</w:t>
            </w:r>
          </w:p>
        </w:tc>
        <w:tc>
          <w:tcPr>
            <w:tcW w:w="7688" w:type="dxa"/>
            <w:tcBorders>
              <w:top w:val="single" w:color="000000" w:sz="4" w:space="0"/>
              <w:left w:val="nil"/>
              <w:bottom w:val="single" w:color="000000" w:sz="4" w:space="0"/>
              <w:right w:val="single" w:color="000000" w:sz="4" w:space="0"/>
            </w:tcBorders>
            <w:noWrap w:val="0"/>
            <w:tcMar>
              <w:left w:w="70" w:type="dxa"/>
              <w:right w:w="70" w:type="dxa"/>
            </w:tcMar>
            <w:vAlign w:val="center"/>
          </w:tcPr>
          <w:p>
            <w:pPr>
              <w:pStyle w:val="12"/>
              <w:widowControl/>
              <w:spacing w:beforeAutospacing="0" w:afterAutospacing="0" w:line="15" w:lineRule="atLeas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黑龙江碳源材料有限公司高纯氧化石墨项目</w:t>
            </w:r>
          </w:p>
        </w:tc>
      </w:tr>
      <w:tr>
        <w:tblPrEx>
          <w:tblCellMar>
            <w:top w:w="0" w:type="dxa"/>
            <w:left w:w="0" w:type="dxa"/>
            <w:bottom w:w="0" w:type="dxa"/>
            <w:right w:w="0" w:type="dxa"/>
          </w:tblCellMar>
        </w:tblPrEx>
        <w:trPr>
          <w:tblCellSpacing w:w="15" w:type="dxa"/>
        </w:trPr>
        <w:tc>
          <w:tcPr>
            <w:tcW w:w="1777" w:type="dxa"/>
            <w:tcBorders>
              <w:top w:val="nil"/>
              <w:left w:val="single" w:color="000000" w:sz="4" w:space="0"/>
              <w:bottom w:val="single" w:color="000000" w:sz="4" w:space="0"/>
              <w:right w:val="single" w:color="000000" w:sz="4" w:space="0"/>
            </w:tcBorders>
            <w:noWrap w:val="0"/>
            <w:tcMar>
              <w:left w:w="70" w:type="dxa"/>
              <w:right w:w="70" w:type="dxa"/>
            </w:tcMar>
            <w:vAlign w:val="center"/>
          </w:tcPr>
          <w:p>
            <w:pPr>
              <w:pStyle w:val="12"/>
              <w:widowControl/>
              <w:spacing w:beforeAutospacing="0" w:afterAutospacing="0" w:line="15" w:lineRule="atLeas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建设地址</w:t>
            </w:r>
          </w:p>
        </w:tc>
        <w:tc>
          <w:tcPr>
            <w:tcW w:w="7688" w:type="dxa"/>
            <w:tcBorders>
              <w:top w:val="nil"/>
              <w:left w:val="nil"/>
              <w:bottom w:val="single" w:color="000000" w:sz="4" w:space="0"/>
              <w:right w:val="single" w:color="000000" w:sz="4" w:space="0"/>
            </w:tcBorders>
            <w:noWrap w:val="0"/>
            <w:tcMar>
              <w:left w:w="70" w:type="dxa"/>
              <w:right w:w="70" w:type="dxa"/>
            </w:tcMar>
            <w:vAlign w:val="top"/>
          </w:tcPr>
          <w:p>
            <w:pPr>
              <w:pStyle w:val="12"/>
              <w:widowControl/>
              <w:spacing w:beforeAutospacing="0" w:afterAutospacing="0" w:line="15" w:lineRule="atLeas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黑龙江省鹤岗市东山区鹤岗石墨新材料产业园区A区黑龙江碳源材料有限公司</w:t>
            </w:r>
          </w:p>
        </w:tc>
      </w:tr>
      <w:tr>
        <w:tblPrEx>
          <w:tblCellMar>
            <w:top w:w="0" w:type="dxa"/>
            <w:left w:w="0" w:type="dxa"/>
            <w:bottom w:w="0" w:type="dxa"/>
            <w:right w:w="0" w:type="dxa"/>
          </w:tblCellMar>
        </w:tblPrEx>
        <w:trPr>
          <w:tblCellSpacing w:w="15" w:type="dxa"/>
        </w:trPr>
        <w:tc>
          <w:tcPr>
            <w:tcW w:w="1777" w:type="dxa"/>
            <w:tcBorders>
              <w:top w:val="nil"/>
              <w:left w:val="single" w:color="000000" w:sz="4" w:space="0"/>
              <w:bottom w:val="single" w:color="000000" w:sz="4" w:space="0"/>
              <w:right w:val="single" w:color="000000" w:sz="4" w:space="0"/>
            </w:tcBorders>
            <w:noWrap w:val="0"/>
            <w:tcMar>
              <w:left w:w="70" w:type="dxa"/>
              <w:right w:w="70" w:type="dxa"/>
            </w:tcMar>
            <w:vAlign w:val="center"/>
          </w:tcPr>
          <w:p>
            <w:pPr>
              <w:pStyle w:val="12"/>
              <w:widowControl/>
              <w:spacing w:beforeAutospacing="0" w:afterAutospacing="0" w:line="15" w:lineRule="atLeas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建设单位</w:t>
            </w:r>
          </w:p>
        </w:tc>
        <w:tc>
          <w:tcPr>
            <w:tcW w:w="7688" w:type="dxa"/>
            <w:tcBorders>
              <w:top w:val="nil"/>
              <w:left w:val="nil"/>
              <w:bottom w:val="single" w:color="000000" w:sz="4" w:space="0"/>
              <w:right w:val="single" w:color="000000" w:sz="4" w:space="0"/>
            </w:tcBorders>
            <w:noWrap w:val="0"/>
            <w:tcMar>
              <w:left w:w="70" w:type="dxa"/>
              <w:right w:w="70" w:type="dxa"/>
            </w:tcMar>
            <w:vAlign w:val="top"/>
          </w:tcPr>
          <w:p>
            <w:pPr>
              <w:pStyle w:val="12"/>
              <w:widowControl/>
              <w:spacing w:beforeAutospacing="0" w:afterAutospacing="0" w:line="15" w:lineRule="atLeas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黑龙江碳源材料有限公司</w:t>
            </w:r>
          </w:p>
        </w:tc>
      </w:tr>
      <w:tr>
        <w:tblPrEx>
          <w:tblCellMar>
            <w:top w:w="0" w:type="dxa"/>
            <w:left w:w="0" w:type="dxa"/>
            <w:bottom w:w="0" w:type="dxa"/>
            <w:right w:w="0" w:type="dxa"/>
          </w:tblCellMar>
        </w:tblPrEx>
        <w:trPr>
          <w:trHeight w:val="1384" w:hRule="atLeast"/>
          <w:tblCellSpacing w:w="15" w:type="dxa"/>
        </w:trPr>
        <w:tc>
          <w:tcPr>
            <w:tcW w:w="1777" w:type="dxa"/>
            <w:tcBorders>
              <w:top w:val="nil"/>
              <w:left w:val="single" w:color="000000" w:sz="4" w:space="0"/>
              <w:bottom w:val="single" w:color="000000" w:sz="4" w:space="0"/>
              <w:right w:val="single" w:color="000000" w:sz="4" w:space="0"/>
            </w:tcBorders>
            <w:noWrap w:val="0"/>
            <w:tcMar>
              <w:left w:w="70" w:type="dxa"/>
              <w:right w:w="70" w:type="dxa"/>
            </w:tcMar>
            <w:vAlign w:val="center"/>
          </w:tcPr>
          <w:p>
            <w:pPr>
              <w:pStyle w:val="12"/>
              <w:widowControl/>
              <w:spacing w:beforeAutospacing="0" w:afterAutospacing="0" w:line="15" w:lineRule="atLeas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环境影响</w:t>
            </w:r>
          </w:p>
          <w:p>
            <w:pPr>
              <w:pStyle w:val="12"/>
              <w:widowControl/>
              <w:spacing w:beforeAutospacing="0" w:afterAutospacing="0" w:line="15" w:lineRule="atLeas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评价单位</w:t>
            </w:r>
          </w:p>
        </w:tc>
        <w:tc>
          <w:tcPr>
            <w:tcW w:w="7688" w:type="dxa"/>
            <w:tcBorders>
              <w:top w:val="nil"/>
              <w:left w:val="nil"/>
              <w:bottom w:val="single" w:color="000000" w:sz="4" w:space="0"/>
              <w:right w:val="single" w:color="000000" w:sz="4" w:space="0"/>
            </w:tcBorders>
            <w:noWrap w:val="0"/>
            <w:tcMar>
              <w:left w:w="70" w:type="dxa"/>
              <w:right w:w="70" w:type="dxa"/>
            </w:tcMar>
            <w:vAlign w:val="center"/>
          </w:tcPr>
          <w:p>
            <w:pPr>
              <w:pStyle w:val="12"/>
              <w:widowControl/>
              <w:spacing w:beforeAutospacing="0" w:afterAutospacing="0" w:line="15" w:lineRule="atLeas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eastAsia="zh-CN"/>
              </w:rPr>
              <w:t>哈尔滨小路科技有限公司</w:t>
            </w:r>
          </w:p>
        </w:tc>
      </w:tr>
      <w:tr>
        <w:tblPrEx>
          <w:tblCellMar>
            <w:top w:w="0" w:type="dxa"/>
            <w:left w:w="0" w:type="dxa"/>
            <w:bottom w:w="0" w:type="dxa"/>
            <w:right w:w="0" w:type="dxa"/>
          </w:tblCellMar>
        </w:tblPrEx>
        <w:trPr>
          <w:trHeight w:val="971" w:hRule="atLeast"/>
          <w:tblCellSpacing w:w="15" w:type="dxa"/>
        </w:trPr>
        <w:tc>
          <w:tcPr>
            <w:tcW w:w="1777" w:type="dxa"/>
            <w:tcBorders>
              <w:top w:val="nil"/>
              <w:left w:val="single" w:color="000000" w:sz="4" w:space="0"/>
              <w:bottom w:val="single" w:color="000000" w:sz="4" w:space="0"/>
              <w:right w:val="single" w:color="000000" w:sz="4" w:space="0"/>
            </w:tcBorders>
            <w:noWrap w:val="0"/>
            <w:tcMar>
              <w:left w:w="70" w:type="dxa"/>
              <w:right w:w="70" w:type="dxa"/>
            </w:tcMar>
            <w:vAlign w:val="center"/>
          </w:tcPr>
          <w:p>
            <w:pPr>
              <w:pStyle w:val="12"/>
              <w:widowControl/>
              <w:spacing w:beforeAutospacing="0" w:afterAutospacing="0" w:line="15" w:lineRule="atLeas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项目概况</w:t>
            </w:r>
          </w:p>
        </w:tc>
        <w:tc>
          <w:tcPr>
            <w:tcW w:w="7688" w:type="dxa"/>
            <w:tcBorders>
              <w:top w:val="nil"/>
              <w:left w:val="nil"/>
              <w:bottom w:val="single" w:color="000000" w:sz="4" w:space="0"/>
              <w:right w:val="single" w:color="000000" w:sz="4" w:space="0"/>
            </w:tcBorders>
            <w:noWrap w:val="0"/>
            <w:tcMar>
              <w:left w:w="70" w:type="dxa"/>
              <w:right w:w="70" w:type="dxa"/>
            </w:tcMar>
            <w:vAlign w:val="top"/>
          </w:tcPr>
          <w:p>
            <w:pPr>
              <w:pStyle w:val="20"/>
              <w:ind w:left="0" w:leftChars="0" w:firstLine="480" w:firstLineChars="15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黑龙江碳源材料有限公司规划在黑龙江碳源材料有限公司一期工程现有的废水处理车间内，建设黑龙江碳源材料有限公司高纯氧化石墨项目，不新增占地，项目场址现状占地类型为工业用地，建设性质为改扩建。项目在已建的废水处理车间内闲置区域新建高纯石墨间1间，高纯氧化石墨1中试间1间，高纯氧化石墨2中试间1间，将厂区闲置的氧气乙炔气瓶库房改建为酸储车间2，企业闲置库房改建为高锰酸钾贮存间。项目建成后，年生产高纯石墨1200t（碳元素纯度99%－99.95%），高纯氧化石墨1-1581t（碳元素99%－99.95%，硫含量0.07%－0.03%），高纯氧化石墨2-140t（含固率43%，碳元素纯度99%－99.95%）。项目总投资为1049.52万元，环保投资为51.38万元。</w:t>
            </w:r>
          </w:p>
        </w:tc>
      </w:tr>
      <w:tr>
        <w:tblPrEx>
          <w:tblCellMar>
            <w:top w:w="0" w:type="dxa"/>
            <w:left w:w="0" w:type="dxa"/>
            <w:bottom w:w="0" w:type="dxa"/>
            <w:right w:w="0" w:type="dxa"/>
          </w:tblCellMar>
        </w:tblPrEx>
        <w:trPr>
          <w:trHeight w:val="3114" w:hRule="atLeast"/>
          <w:tblCellSpacing w:w="15" w:type="dxa"/>
        </w:trPr>
        <w:tc>
          <w:tcPr>
            <w:tcW w:w="1777" w:type="dxa"/>
            <w:tcBorders>
              <w:top w:val="nil"/>
              <w:left w:val="single" w:color="000000" w:sz="4" w:space="0"/>
              <w:bottom w:val="single" w:color="000000" w:sz="4" w:space="0"/>
              <w:right w:val="single" w:color="000000" w:sz="4" w:space="0"/>
            </w:tcBorders>
            <w:noWrap w:val="0"/>
            <w:tcMar>
              <w:left w:w="70" w:type="dxa"/>
              <w:right w:w="70" w:type="dxa"/>
            </w:tcMar>
            <w:vAlign w:val="center"/>
          </w:tcPr>
          <w:p>
            <w:pPr>
              <w:pStyle w:val="12"/>
              <w:widowControl/>
              <w:spacing w:beforeAutospacing="0" w:afterAutospacing="0" w:line="15" w:lineRule="atLeast"/>
              <w:jc w:val="center"/>
              <w:rPr>
                <w:rFonts w:hint="eastAsia" w:ascii="仿宋" w:hAnsi="仿宋" w:eastAsia="仿宋" w:cs="仿宋"/>
                <w:color w:val="auto"/>
                <w:sz w:val="32"/>
                <w:szCs w:val="32"/>
              </w:rPr>
            </w:pPr>
            <w:r>
              <w:rPr>
                <w:rFonts w:hint="eastAsia" w:ascii="仿宋_GB2312" w:hAnsi="仿宋_GB2312" w:eastAsia="仿宋_GB2312" w:cs="仿宋_GB2312"/>
                <w:color w:val="auto"/>
                <w:kern w:val="2"/>
                <w:sz w:val="32"/>
                <w:szCs w:val="32"/>
                <w:lang w:val="en-US" w:eastAsia="zh-CN" w:bidi="ar-SA"/>
              </w:rPr>
              <w:t>主要环境影响及预防或者减轻不良影响的对策和措施</w:t>
            </w:r>
          </w:p>
        </w:tc>
        <w:tc>
          <w:tcPr>
            <w:tcW w:w="7688" w:type="dxa"/>
            <w:tcBorders>
              <w:top w:val="nil"/>
              <w:left w:val="nil"/>
              <w:bottom w:val="single" w:color="000000" w:sz="4" w:space="0"/>
              <w:right w:val="single" w:color="000000" w:sz="4" w:space="0"/>
            </w:tcBorders>
            <w:noWrap w:val="0"/>
            <w:tcMar>
              <w:left w:w="70" w:type="dxa"/>
              <w:right w:w="70" w:type="dxa"/>
            </w:tcMar>
            <w:vAlign w:val="center"/>
          </w:tcPr>
          <w:p>
            <w:pPr>
              <w:keepNext w:val="0"/>
              <w:keepLines w:val="0"/>
              <w:pageBreakBefore w:val="0"/>
              <w:kinsoku/>
              <w:wordWrap/>
              <w:overflowPunct/>
              <w:topLinePunct w:val="0"/>
              <w:autoSpaceDE/>
              <w:autoSpaceDN w:val="0"/>
              <w:bidi w:val="0"/>
              <w:adjustRightInd w:val="0"/>
              <w:snapToGrid w:val="0"/>
              <w:spacing w:line="360" w:lineRule="auto"/>
              <w:ind w:firstLine="640" w:firstLineChars="200"/>
              <w:textAlignment w:val="auto"/>
              <w:rPr>
                <w:rFonts w:ascii="黑体" w:hAnsi="黑体" w:eastAsia="黑体" w:cs="黑体"/>
                <w:color w:val="auto"/>
                <w:sz w:val="32"/>
                <w:szCs w:val="32"/>
              </w:rPr>
            </w:pPr>
            <w:r>
              <w:rPr>
                <w:rFonts w:ascii="黑体" w:hAnsi="黑体" w:eastAsia="黑体" w:cs="黑体"/>
                <w:color w:val="auto"/>
                <w:sz w:val="32"/>
                <w:szCs w:val="32"/>
              </w:rPr>
              <w:t>一、施工期</w:t>
            </w:r>
          </w:p>
          <w:p>
            <w:pPr>
              <w:keepNext w:val="0"/>
              <w:keepLines w:val="0"/>
              <w:pageBreakBefore w:val="0"/>
              <w:tabs>
                <w:tab w:val="left" w:pos="6480"/>
              </w:tabs>
              <w:kinsoku/>
              <w:wordWrap/>
              <w:overflowPunct/>
              <w:topLinePunct w:val="0"/>
              <w:autoSpaceDE/>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材料及设备运输车辆应控制车速，控制装载量，材料加盖防尘苫，及时清扫施工现场洒落的沙石、水泥等物料，定时洒水抑尘；施工场地周围设置防尘挡板，土堆或材料上方加盖苫布；在厂房内进行设备安装的时候，关闭房门，防止施工扬尘飘散。施工过程中产生的废水主要为生活污水，经厂区已建的化粪池处理后排入A区污水处理厂处理，不外排。施工单位应尽量选用先进的低噪声设备。施工场界周围设置围挡，减少施工噪声对周围环境的影响；在设备运输车辆进厂后，控制车速；设备卸车及落地过程中，尽量选用低噪搬运装卸设备作业，防止设备发生碰撞，产生噪声；合理安排施工进度，禁止夜间施工。施工期产生的生活垃圾集中收集，送往环卫部门指定的地点处置；其他一般工业固体废物应及时清运至指定地点处置，防止建筑垃圾对外环境的影响。加强管理及施工人员生态保护意识教育，施工期间，严格落实各项水土保持和生态保护措施，防止水土流失。</w:t>
            </w:r>
          </w:p>
          <w:p>
            <w:pPr>
              <w:keepNext w:val="0"/>
              <w:keepLines w:val="0"/>
              <w:pageBreakBefore w:val="0"/>
              <w:kinsoku/>
              <w:wordWrap/>
              <w:overflowPunct/>
              <w:topLinePunct w:val="0"/>
              <w:autoSpaceDE/>
              <w:autoSpaceDN w:val="0"/>
              <w:bidi w:val="0"/>
              <w:adjustRightInd w:val="0"/>
              <w:snapToGrid w:val="0"/>
              <w:spacing w:line="360"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、运营期</w:t>
            </w:r>
          </w:p>
          <w:p>
            <w:pPr>
              <w:keepNext w:val="0"/>
              <w:keepLines w:val="0"/>
              <w:pageBreakBefore w:val="0"/>
              <w:tabs>
                <w:tab w:val="left" w:pos="6480"/>
              </w:tabs>
              <w:kinsoku/>
              <w:wordWrap/>
              <w:overflowPunct/>
              <w:topLinePunct w:val="0"/>
              <w:autoSpaceDE/>
              <w:bidi w:val="0"/>
              <w:adjustRightInd w:val="0"/>
              <w:snapToGrid w:val="0"/>
              <w:spacing w:line="360" w:lineRule="auto"/>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（一）大气污染防治措施</w:t>
            </w:r>
          </w:p>
          <w:p>
            <w:pPr>
              <w:keepNext w:val="0"/>
              <w:keepLines w:val="0"/>
              <w:pageBreakBefore w:val="0"/>
              <w:tabs>
                <w:tab w:val="left" w:pos="6480"/>
              </w:tabs>
              <w:kinsoku/>
              <w:wordWrap/>
              <w:overflowPunct/>
              <w:topLinePunct w:val="0"/>
              <w:autoSpaceDE/>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1、酸雾治理措施</w:t>
            </w:r>
          </w:p>
          <w:p>
            <w:pPr>
              <w:keepNext w:val="0"/>
              <w:keepLines w:val="0"/>
              <w:pageBreakBefore w:val="0"/>
              <w:tabs>
                <w:tab w:val="left" w:pos="6480"/>
              </w:tabs>
              <w:kinsoku/>
              <w:wordWrap/>
              <w:overflowPunct/>
              <w:topLinePunct w:val="0"/>
              <w:autoSpaceDE/>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参考《排污许可证申请与核发技术规范 电镀工业》（HJ855-2017）中表7电镀废气治理可行技术，处理酸性废气采用喷淋塔中和法为可行技术。项目生产过程中产生的酸雾经2套串联的4级碱液喷淋塔处理后，通过1根已建的26m排气筒DA001排放，污染物排放浓度及排放速率均应满足《大气污染物综合排放标准》（GB16297-1996）表2最高允许排放浓度及最高允许排放速率要求，厂界浓度应满足《大气污染物综合排放标准》（GB16297-1996）表2无组织排放监控浓度限值要求，项目酸雾处理技术可行。</w:t>
            </w:r>
          </w:p>
          <w:p>
            <w:pPr>
              <w:keepNext w:val="0"/>
              <w:keepLines w:val="0"/>
              <w:pageBreakBefore w:val="0"/>
              <w:tabs>
                <w:tab w:val="left" w:pos="6480"/>
              </w:tabs>
              <w:kinsoku/>
              <w:wordWrap/>
              <w:overflowPunct/>
              <w:topLinePunct w:val="0"/>
              <w:autoSpaceDE/>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2、颗粒物治理措施</w:t>
            </w:r>
          </w:p>
          <w:p>
            <w:pPr>
              <w:keepNext w:val="0"/>
              <w:keepLines w:val="0"/>
              <w:pageBreakBefore w:val="0"/>
              <w:tabs>
                <w:tab w:val="left" w:pos="6480"/>
              </w:tabs>
              <w:kinsoku/>
              <w:wordWrap/>
              <w:overflowPunct/>
              <w:topLinePunct w:val="0"/>
              <w:autoSpaceDE/>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投料及包装工序产生的粉尘经布袋除尘器处理，处理后污染物排放浓度及排放速率均应满足《大气污染物综合排放标准》（GB16297-1996）表2最高允许排放浓度及最高允许排放速率要求，厂界浓度应满足《大气污染物综合排放标准》（GB16297-1996）表2无组织排放监控浓度限值要求。</w:t>
            </w:r>
          </w:p>
          <w:p>
            <w:pPr>
              <w:keepNext w:val="0"/>
              <w:keepLines w:val="0"/>
              <w:pageBreakBefore w:val="0"/>
              <w:tabs>
                <w:tab w:val="left" w:pos="6480"/>
              </w:tabs>
              <w:kinsoku/>
              <w:wordWrap/>
              <w:overflowPunct/>
              <w:topLinePunct w:val="0"/>
              <w:autoSpaceDE/>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3、危废暂存点废气治理措施</w:t>
            </w:r>
          </w:p>
          <w:p>
            <w:pPr>
              <w:keepNext w:val="0"/>
              <w:keepLines w:val="0"/>
              <w:pageBreakBefore w:val="0"/>
              <w:tabs>
                <w:tab w:val="left" w:pos="6480"/>
              </w:tabs>
              <w:kinsoku/>
              <w:wordWrap/>
              <w:overflowPunct/>
              <w:topLinePunct w:val="0"/>
              <w:autoSpaceDE/>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项目危废暂存点废酸桶残存期间会有酸雾产生，危废贮存点采取加强通风措施后，厂界浓度应满足《大气污染物综合排放标准》（GB16297-1996）表2无组织排放监控浓度限值要求。</w:t>
            </w:r>
          </w:p>
          <w:p>
            <w:pPr>
              <w:keepNext w:val="0"/>
              <w:keepLines w:val="0"/>
              <w:pageBreakBefore w:val="0"/>
              <w:tabs>
                <w:tab w:val="left" w:pos="6480"/>
              </w:tabs>
              <w:kinsoku/>
              <w:wordWrap/>
              <w:overflowPunct/>
              <w:topLinePunct w:val="0"/>
              <w:autoSpaceDE/>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废导热油及废机油贮存区产生的废气经上方设置集气罩集中收集，采取负压收集的方式，废气经集气罩进入二级活性炭吸附箱，经处理后废气通过新建的15m排气筒排放。非甲烷总烃排放浓度及排放速率均应满足《大气污染物综合排放标准》（GB16297-1996）表2最高允许排放浓度及最高允许排放速率要求，厂界浓度应满足《大气污染物综合排放标准》（GB16297-1996）表2无组织排放监控浓度限值要求。</w:t>
            </w:r>
          </w:p>
          <w:p>
            <w:pPr>
              <w:keepNext w:val="0"/>
              <w:keepLines w:val="0"/>
              <w:pageBreakBefore w:val="0"/>
              <w:tabs>
                <w:tab w:val="left" w:pos="6480"/>
              </w:tabs>
              <w:kinsoku/>
              <w:wordWrap/>
              <w:overflowPunct/>
              <w:topLinePunct w:val="0"/>
              <w:autoSpaceDE/>
              <w:bidi w:val="0"/>
              <w:adjustRightInd w:val="0"/>
              <w:snapToGrid w:val="0"/>
              <w:spacing w:line="360" w:lineRule="auto"/>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（二）水污染防治措施</w:t>
            </w:r>
          </w:p>
          <w:p>
            <w:pPr>
              <w:keepNext w:val="0"/>
              <w:keepLines w:val="0"/>
              <w:pageBreakBefore w:val="0"/>
              <w:tabs>
                <w:tab w:val="left" w:pos="6480"/>
              </w:tabs>
              <w:kinsoku/>
              <w:wordWrap/>
              <w:overflowPunct/>
              <w:topLinePunct w:val="0"/>
              <w:autoSpaceDE/>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运营期产生的生产工艺废水、净化水系统产生的废水、喷淋废水及化验冲洗废水、循环冷却排水进入现有的废水处理车间处理后，进入A区污水处理厂处理，经粗格栅+调节池+细格栅及旋流沉砂池+反硝化反应池+二沉池+机械混合絮凝池+斜板沉淀池处理后，管输至鹤岗市西部污水处理厂处理达标排放。项目产生的生活污水经过已建的化粪池处理后，排入园区A区污水处理厂，处理后管输至鹤岗市西部污水处理厂处理达标排放。</w:t>
            </w:r>
          </w:p>
          <w:p>
            <w:pPr>
              <w:keepNext w:val="0"/>
              <w:keepLines w:val="0"/>
              <w:pageBreakBefore w:val="0"/>
              <w:tabs>
                <w:tab w:val="left" w:pos="6480"/>
              </w:tabs>
              <w:kinsoku/>
              <w:wordWrap/>
              <w:overflowPunct/>
              <w:topLinePunct w:val="0"/>
              <w:autoSpaceDE/>
              <w:bidi w:val="0"/>
              <w:adjustRightInd w:val="0"/>
              <w:snapToGrid w:val="0"/>
              <w:spacing w:line="360" w:lineRule="auto"/>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（三）噪声污染防治措施</w:t>
            </w:r>
          </w:p>
          <w:p>
            <w:pPr>
              <w:keepNext w:val="0"/>
              <w:keepLines w:val="0"/>
              <w:pageBreakBefore w:val="0"/>
              <w:tabs>
                <w:tab w:val="left" w:pos="6480"/>
              </w:tabs>
              <w:kinsoku/>
              <w:wordWrap/>
              <w:overflowPunct/>
              <w:topLinePunct w:val="0"/>
              <w:autoSpaceDE/>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项目噪声主要来源于设备噪声，通过隔声、消声、减振管理，厂界噪声应满足《工业企业厂界环境噪声排放标准》中（GB12348-2008）3类标准要求。</w:t>
            </w:r>
          </w:p>
          <w:p>
            <w:pPr>
              <w:keepNext w:val="0"/>
              <w:keepLines w:val="0"/>
              <w:pageBreakBefore w:val="0"/>
              <w:tabs>
                <w:tab w:val="left" w:pos="6480"/>
              </w:tabs>
              <w:kinsoku/>
              <w:wordWrap/>
              <w:overflowPunct/>
              <w:topLinePunct w:val="0"/>
              <w:autoSpaceDE/>
              <w:bidi w:val="0"/>
              <w:adjustRightInd w:val="0"/>
              <w:snapToGrid w:val="0"/>
              <w:spacing w:line="360" w:lineRule="auto"/>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（四）固体废物防治措施</w:t>
            </w:r>
          </w:p>
          <w:p>
            <w:pPr>
              <w:keepNext w:val="0"/>
              <w:keepLines w:val="0"/>
              <w:pageBreakBefore w:val="0"/>
              <w:tabs>
                <w:tab w:val="left" w:pos="6480"/>
              </w:tabs>
              <w:kinsoku/>
              <w:wordWrap/>
              <w:overflowPunct/>
              <w:topLinePunct w:val="0"/>
              <w:autoSpaceDE/>
              <w:bidi w:val="0"/>
              <w:adjustRightInd w:val="0"/>
              <w:snapToGrid w:val="0"/>
              <w:spacing w:line="360" w:lineRule="auto"/>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职员生活垃圾集中收集，由市政部门统一处理；布袋除尘器收集的粉尘，暂存在辅助车间一般固体废物库房内，集中收集，回用于生产；运营期间布袋除尘器产生废布袋，产生量为2个/2年，由设备厂家回收处置；废水处理产生的废渣及污泥暂存在污泥暂存库内，定期外售给水泥厂综合利用；项目使用的石墨原料产生的废弃包装袋集中收集，暂存在辅助车间一般固体废物库房内，定期外售综合利用；产生的危险化学品废弃包装物、废导热油、废活性炭、废酸以及化验室废液放置在危废暂存间暂存，定期委托具有处置资质单位处理。</w:t>
            </w:r>
          </w:p>
          <w:p>
            <w:pPr>
              <w:keepNext w:val="0"/>
              <w:keepLines w:val="0"/>
              <w:pageBreakBefore w:val="0"/>
              <w:tabs>
                <w:tab w:val="left" w:pos="6480"/>
              </w:tabs>
              <w:kinsoku/>
              <w:wordWrap/>
              <w:overflowPunct/>
              <w:topLinePunct w:val="0"/>
              <w:autoSpaceDE/>
              <w:bidi w:val="0"/>
              <w:adjustRightInd w:val="0"/>
              <w:snapToGrid w:val="0"/>
              <w:spacing w:line="360" w:lineRule="auto"/>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（五）地下水、土壤污染防治措施</w:t>
            </w:r>
          </w:p>
          <w:p>
            <w:pPr>
              <w:keepNext w:val="0"/>
              <w:keepLines w:val="0"/>
              <w:pageBreakBefore w:val="0"/>
              <w:tabs>
                <w:tab w:val="left" w:pos="6480"/>
              </w:tabs>
              <w:kinsoku/>
              <w:wordWrap/>
              <w:overflowPunct/>
              <w:topLinePunct w:val="0"/>
              <w:autoSpaceDE/>
              <w:bidi w:val="0"/>
              <w:adjustRightInd w:val="0"/>
              <w:snapToGrid w:val="0"/>
              <w:spacing w:line="360" w:lineRule="auto"/>
              <w:ind w:firstLine="640" w:firstLineChars="200"/>
              <w:textAlignment w:val="auto"/>
              <w:rPr>
                <w:rFonts w:hint="default" w:ascii="仿宋_GB2312" w:hAnsi="仿宋_GB2312" w:eastAsia="仿宋_GB2312" w:cs="仿宋_GB2312"/>
                <w:color w:val="auto"/>
                <w:kern w:val="2"/>
                <w:sz w:val="32"/>
                <w:szCs w:val="32"/>
                <w:lang w:val="zh-CN" w:eastAsia="zh-CN" w:bidi="ar-SA"/>
              </w:rPr>
            </w:pPr>
            <w:r>
              <w:rPr>
                <w:rFonts w:hint="default" w:ascii="仿宋_GB2312" w:hAnsi="仿宋_GB2312" w:eastAsia="仿宋_GB2312" w:cs="仿宋_GB2312"/>
                <w:color w:val="auto"/>
                <w:kern w:val="2"/>
                <w:sz w:val="32"/>
                <w:szCs w:val="32"/>
                <w:lang w:val="zh-CN" w:eastAsia="zh-CN" w:bidi="ar-SA"/>
              </w:rPr>
              <w:t>项目采取源头控制、分区防控、污染监控、应急响应等污染防控对策。</w:t>
            </w:r>
          </w:p>
          <w:p>
            <w:pPr>
              <w:keepNext w:val="0"/>
              <w:keepLines w:val="0"/>
              <w:pageBreakBefore w:val="0"/>
              <w:kinsoku/>
              <w:wordWrap/>
              <w:overflowPunct/>
              <w:topLinePunct w:val="0"/>
              <w:autoSpaceDE/>
              <w:autoSpaceDN w:val="0"/>
              <w:bidi w:val="0"/>
              <w:adjustRightInd w:val="0"/>
              <w:snapToGrid w:val="0"/>
              <w:spacing w:line="360" w:lineRule="auto"/>
              <w:ind w:firstLine="640" w:firstLineChars="200"/>
              <w:textAlignment w:val="auto"/>
              <w:rPr>
                <w:rFonts w:hint="eastAsia" w:ascii="仿宋" w:hAnsi="仿宋" w:eastAsia="仿宋" w:cs="仿宋"/>
                <w:color w:val="auto"/>
                <w:sz w:val="32"/>
                <w:szCs w:val="32"/>
              </w:rPr>
            </w:pPr>
            <w:r>
              <w:rPr>
                <w:rFonts w:ascii="黑体" w:hAnsi="黑体" w:eastAsia="黑体" w:cs="黑体"/>
                <w:color w:val="auto"/>
                <w:sz w:val="32"/>
                <w:szCs w:val="32"/>
              </w:rPr>
              <w:t>三</w:t>
            </w:r>
            <w:r>
              <w:rPr>
                <w:rFonts w:hint="eastAsia" w:ascii="黑体" w:hAnsi="黑体" w:eastAsia="黑体" w:cs="黑体"/>
                <w:color w:val="auto"/>
                <w:sz w:val="32"/>
                <w:szCs w:val="32"/>
              </w:rPr>
              <w:t>、环境风险防范措施</w:t>
            </w:r>
          </w:p>
          <w:p>
            <w:pPr>
              <w:keepNext w:val="0"/>
              <w:keepLines w:val="0"/>
              <w:pageBreakBefore w:val="0"/>
              <w:tabs>
                <w:tab w:val="left" w:pos="6480"/>
              </w:tabs>
              <w:kinsoku/>
              <w:wordWrap/>
              <w:overflowPunct/>
              <w:topLinePunct w:val="0"/>
              <w:autoSpaceDE/>
              <w:bidi w:val="0"/>
              <w:adjustRightInd w:val="0"/>
              <w:snapToGrid w:val="0"/>
              <w:spacing w:line="360" w:lineRule="auto"/>
              <w:ind w:firstLine="640" w:firstLineChars="200"/>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kern w:val="2"/>
                <w:sz w:val="32"/>
                <w:szCs w:val="32"/>
                <w:lang w:val="zh-CN" w:eastAsia="zh-CN" w:bidi="ar-SA"/>
              </w:rPr>
              <w:t>项目在运营期应编制突发环境事故应急预案。项目认真落实并严格执行报告表中关于风险防范等方面的措施，并加强风险管理，杜绝违章操作，完善各类安全设备、设施，建立相应的风险管理制度，采取风险防范措施并指定相应的风险应急预案，严格执行并遵守风险管理制度和安全生产操作规程。</w:t>
            </w:r>
            <w:bookmarkStart w:id="0" w:name="_GoBack"/>
            <w:bookmarkEnd w:id="0"/>
          </w:p>
        </w:tc>
      </w:tr>
      <w:tr>
        <w:tblPrEx>
          <w:tblCellMar>
            <w:top w:w="0" w:type="dxa"/>
            <w:left w:w="0" w:type="dxa"/>
            <w:bottom w:w="0" w:type="dxa"/>
            <w:right w:w="0" w:type="dxa"/>
          </w:tblCellMar>
        </w:tblPrEx>
        <w:trPr>
          <w:trHeight w:val="90" w:hRule="atLeast"/>
          <w:tblCellSpacing w:w="15" w:type="dxa"/>
        </w:trPr>
        <w:tc>
          <w:tcPr>
            <w:tcW w:w="1777" w:type="dxa"/>
            <w:tcBorders>
              <w:top w:val="nil"/>
              <w:left w:val="single" w:color="000000" w:sz="4" w:space="0"/>
              <w:bottom w:val="single" w:color="000000" w:sz="4" w:space="0"/>
              <w:right w:val="single" w:color="000000" w:sz="4" w:space="0"/>
            </w:tcBorders>
            <w:noWrap w:val="0"/>
            <w:tcMar>
              <w:left w:w="70" w:type="dxa"/>
              <w:right w:w="70" w:type="dxa"/>
            </w:tcMar>
            <w:vAlign w:val="center"/>
          </w:tcPr>
          <w:p>
            <w:pPr>
              <w:pStyle w:val="12"/>
              <w:widowControl/>
              <w:spacing w:beforeAutospacing="0" w:afterAutospacing="0" w:line="15" w:lineRule="atLeas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公众参与情况</w:t>
            </w:r>
          </w:p>
        </w:tc>
        <w:tc>
          <w:tcPr>
            <w:tcW w:w="7688" w:type="dxa"/>
            <w:tcBorders>
              <w:top w:val="nil"/>
              <w:left w:val="nil"/>
              <w:bottom w:val="single" w:color="000000" w:sz="4" w:space="0"/>
              <w:right w:val="single" w:color="000000" w:sz="4" w:space="0"/>
            </w:tcBorders>
            <w:noWrap w:val="0"/>
            <w:tcMar>
              <w:left w:w="70" w:type="dxa"/>
              <w:right w:w="70" w:type="dxa"/>
            </w:tcMar>
            <w:vAlign w:val="center"/>
          </w:tcPr>
          <w:p>
            <w:pPr>
              <w:spacing w:line="0" w:lineRule="atLeast"/>
              <w:jc w:val="center"/>
              <w:rPr>
                <w:rFonts w:hint="eastAsia" w:ascii="仿宋" w:hAnsi="仿宋" w:eastAsia="仿宋" w:cs="仿宋"/>
                <w:color w:val="auto"/>
                <w:sz w:val="32"/>
                <w:szCs w:val="32"/>
                <w:lang w:eastAsia="zh-CN"/>
              </w:rPr>
            </w:pPr>
            <w:r>
              <w:rPr>
                <w:rFonts w:hint="eastAsia" w:ascii="仿宋_GB2312" w:hAnsi="仿宋_GB2312" w:eastAsia="仿宋_GB2312" w:cs="仿宋_GB2312"/>
                <w:color w:val="auto"/>
                <w:sz w:val="32"/>
                <w:szCs w:val="32"/>
                <w:lang w:val="en-US" w:eastAsia="zh-CN"/>
              </w:rPr>
              <w:t>无需开展</w:t>
            </w:r>
          </w:p>
        </w:tc>
      </w:tr>
      <w:tr>
        <w:tblPrEx>
          <w:tblCellMar>
            <w:top w:w="0" w:type="dxa"/>
            <w:left w:w="0" w:type="dxa"/>
            <w:bottom w:w="0" w:type="dxa"/>
            <w:right w:w="0" w:type="dxa"/>
          </w:tblCellMar>
        </w:tblPrEx>
        <w:trPr>
          <w:trHeight w:val="3158" w:hRule="atLeast"/>
          <w:tblCellSpacing w:w="15" w:type="dxa"/>
        </w:trPr>
        <w:tc>
          <w:tcPr>
            <w:tcW w:w="1777" w:type="dxa"/>
            <w:tcBorders>
              <w:top w:val="nil"/>
              <w:left w:val="single" w:color="000000" w:sz="4" w:space="0"/>
              <w:bottom w:val="single" w:color="000000" w:sz="4" w:space="0"/>
              <w:right w:val="single" w:color="000000" w:sz="4" w:space="0"/>
            </w:tcBorders>
            <w:noWrap w:val="0"/>
            <w:tcMar>
              <w:left w:w="70" w:type="dxa"/>
              <w:right w:w="70" w:type="dxa"/>
            </w:tcMar>
            <w:vAlign w:val="center"/>
          </w:tcPr>
          <w:p>
            <w:pPr>
              <w:pStyle w:val="12"/>
              <w:widowControl/>
              <w:spacing w:beforeAutospacing="0" w:afterAutospacing="0" w:line="15" w:lineRule="atLeas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建设单位或地方政府所作出的相应环境保护措施承诺文件</w:t>
            </w:r>
          </w:p>
        </w:tc>
        <w:tc>
          <w:tcPr>
            <w:tcW w:w="7688" w:type="dxa"/>
            <w:tcBorders>
              <w:top w:val="nil"/>
              <w:left w:val="nil"/>
              <w:bottom w:val="single" w:color="000000" w:sz="4" w:space="0"/>
              <w:right w:val="single" w:color="000000" w:sz="4" w:space="0"/>
            </w:tcBorders>
            <w:noWrap w:val="0"/>
            <w:tcMar>
              <w:left w:w="70" w:type="dxa"/>
              <w:right w:w="70" w:type="dxa"/>
            </w:tcMar>
            <w:vAlign w:val="center"/>
          </w:tcPr>
          <w:p>
            <w:pPr>
              <w:spacing w:line="0" w:lineRule="atLeast"/>
              <w:jc w:val="center"/>
              <w:rPr>
                <w:rFonts w:hint="eastAsia" w:ascii="仿宋" w:hAnsi="仿宋" w:eastAsia="仿宋" w:cs="仿宋"/>
                <w:color w:val="auto"/>
                <w:sz w:val="32"/>
                <w:szCs w:val="32"/>
              </w:rPr>
            </w:pPr>
          </w:p>
        </w:tc>
      </w:tr>
      <w:tr>
        <w:tblPrEx>
          <w:tblCellMar>
            <w:top w:w="0" w:type="dxa"/>
            <w:left w:w="0" w:type="dxa"/>
            <w:bottom w:w="0" w:type="dxa"/>
            <w:right w:w="0" w:type="dxa"/>
          </w:tblCellMar>
        </w:tblPrEx>
        <w:trPr>
          <w:tblCellSpacing w:w="15" w:type="dxa"/>
        </w:trPr>
        <w:tc>
          <w:tcPr>
            <w:tcW w:w="1777" w:type="dxa"/>
            <w:tcBorders>
              <w:top w:val="nil"/>
              <w:left w:val="single" w:color="000000" w:sz="4" w:space="0"/>
              <w:bottom w:val="single" w:color="000000" w:sz="4" w:space="0"/>
              <w:right w:val="single" w:color="000000" w:sz="4" w:space="0"/>
            </w:tcBorders>
            <w:noWrap w:val="0"/>
            <w:tcMar>
              <w:left w:w="70" w:type="dxa"/>
              <w:right w:w="70" w:type="dxa"/>
            </w:tcMar>
            <w:vAlign w:val="center"/>
          </w:tcPr>
          <w:p>
            <w:pPr>
              <w:spacing w:line="0" w:lineRule="atLeas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拟批复</w:t>
            </w:r>
          </w:p>
          <w:p>
            <w:pPr>
              <w:spacing w:line="0" w:lineRule="atLeas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意见</w:t>
            </w:r>
          </w:p>
        </w:tc>
        <w:tc>
          <w:tcPr>
            <w:tcW w:w="7688" w:type="dxa"/>
            <w:tcBorders>
              <w:top w:val="nil"/>
              <w:left w:val="nil"/>
              <w:bottom w:val="single" w:color="000000" w:sz="4" w:space="0"/>
              <w:right w:val="single" w:color="000000" w:sz="4" w:space="0"/>
            </w:tcBorders>
            <w:noWrap w:val="0"/>
            <w:tcMar>
              <w:left w:w="70" w:type="dxa"/>
              <w:right w:w="70" w:type="dxa"/>
            </w:tcMar>
            <w:vAlign w:val="center"/>
          </w:tcPr>
          <w:p>
            <w:pPr>
              <w:spacing w:line="0" w:lineRule="atLeast"/>
              <w:jc w:val="center"/>
              <w:rPr>
                <w:rFonts w:hint="eastAsia" w:ascii="仿宋" w:hAnsi="仿宋" w:eastAsia="仿宋" w:cs="仿宋"/>
                <w:color w:val="auto"/>
                <w:sz w:val="32"/>
                <w:szCs w:val="32"/>
              </w:rPr>
            </w:pPr>
            <w:r>
              <w:rPr>
                <w:rFonts w:hint="eastAsia" w:ascii="仿宋_GB2312" w:hAnsi="仿宋_GB2312" w:eastAsia="仿宋_GB2312" w:cs="仿宋_GB2312"/>
                <w:color w:val="auto"/>
                <w:kern w:val="2"/>
                <w:sz w:val="32"/>
                <w:szCs w:val="32"/>
                <w:lang w:val="en-US" w:eastAsia="zh-CN" w:bidi="ar-SA"/>
              </w:rPr>
              <w:t>同意</w:t>
            </w:r>
          </w:p>
        </w:tc>
      </w:tr>
    </w:tbl>
    <w:p>
      <w:pPr>
        <w:jc w:val="right"/>
        <w:rPr>
          <w:rFonts w:hint="eastAsia" w:ascii="仿宋" w:hAnsi="仿宋" w:eastAsia="仿宋" w:cs="仿宋"/>
          <w:color w:val="auto"/>
          <w:sz w:val="32"/>
          <w:szCs w:val="32"/>
        </w:rPr>
      </w:pPr>
    </w:p>
    <w:p>
      <w:pPr>
        <w:jc w:val="right"/>
        <w:rPr>
          <w:rFonts w:hint="eastAsia" w:ascii="仿宋" w:hAnsi="仿宋" w:eastAsia="仿宋" w:cs="仿宋"/>
          <w:color w:val="auto"/>
          <w:sz w:val="32"/>
          <w:szCs w:val="32"/>
        </w:rPr>
      </w:pPr>
    </w:p>
    <w:p>
      <w:pPr>
        <w:ind w:firstLine="5120" w:firstLineChars="16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鹤岗市生态环境局</w:t>
      </w:r>
    </w:p>
    <w:p>
      <w:pPr>
        <w:ind w:firstLine="5120" w:firstLineChars="1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Arial Black">
    <w:altName w:val="Nimbus Roman No9 L"/>
    <w:panose1 w:val="020B0A04020102020204"/>
    <w:charset w:val="00"/>
    <w:family w:val="swiss"/>
    <w:pitch w:val="default"/>
    <w:sig w:usb0="00000000" w:usb1="00000000" w:usb2="00000000" w:usb3="00000000" w:csb0="2000009F" w:csb1="DFD7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NzdhNDY4ZTA4YTIxNDg5ZTY4ZTZkZGYxMGE5MmIifQ=="/>
  </w:docVars>
  <w:rsids>
    <w:rsidRoot w:val="37171A61"/>
    <w:rsid w:val="025F4662"/>
    <w:rsid w:val="041C5514"/>
    <w:rsid w:val="049C7DEF"/>
    <w:rsid w:val="06C33397"/>
    <w:rsid w:val="06DB3CE0"/>
    <w:rsid w:val="09257549"/>
    <w:rsid w:val="0DB80AB6"/>
    <w:rsid w:val="10367DB5"/>
    <w:rsid w:val="11676898"/>
    <w:rsid w:val="13B3480E"/>
    <w:rsid w:val="15AA1C40"/>
    <w:rsid w:val="16E41182"/>
    <w:rsid w:val="17AC6144"/>
    <w:rsid w:val="18F356AC"/>
    <w:rsid w:val="190C0DA7"/>
    <w:rsid w:val="1A2E4822"/>
    <w:rsid w:val="1A6A36E7"/>
    <w:rsid w:val="1B6034CD"/>
    <w:rsid w:val="1CB9558B"/>
    <w:rsid w:val="20F61668"/>
    <w:rsid w:val="21B52994"/>
    <w:rsid w:val="21C961A7"/>
    <w:rsid w:val="21E62252"/>
    <w:rsid w:val="21EA3B0F"/>
    <w:rsid w:val="24D34D10"/>
    <w:rsid w:val="26926505"/>
    <w:rsid w:val="284419C7"/>
    <w:rsid w:val="28F31BA1"/>
    <w:rsid w:val="29D87103"/>
    <w:rsid w:val="2A3D1CDF"/>
    <w:rsid w:val="2B4F6B69"/>
    <w:rsid w:val="2B8B12B1"/>
    <w:rsid w:val="2DBF69B2"/>
    <w:rsid w:val="2DFD5887"/>
    <w:rsid w:val="2E945DCC"/>
    <w:rsid w:val="2EF75A9F"/>
    <w:rsid w:val="30930421"/>
    <w:rsid w:val="30FA1876"/>
    <w:rsid w:val="37171A61"/>
    <w:rsid w:val="372E4027"/>
    <w:rsid w:val="381274A5"/>
    <w:rsid w:val="3B4F0A10"/>
    <w:rsid w:val="3E5B01E6"/>
    <w:rsid w:val="40E63C12"/>
    <w:rsid w:val="40F215D8"/>
    <w:rsid w:val="415428DD"/>
    <w:rsid w:val="41782A6F"/>
    <w:rsid w:val="47743CD8"/>
    <w:rsid w:val="491570B1"/>
    <w:rsid w:val="4EEF44CD"/>
    <w:rsid w:val="50B91203"/>
    <w:rsid w:val="55BB38E7"/>
    <w:rsid w:val="57345FA6"/>
    <w:rsid w:val="57C24474"/>
    <w:rsid w:val="58B7229A"/>
    <w:rsid w:val="58DD4C54"/>
    <w:rsid w:val="58E80082"/>
    <w:rsid w:val="594976BD"/>
    <w:rsid w:val="596D64A6"/>
    <w:rsid w:val="5D1F603D"/>
    <w:rsid w:val="5DFE9AD6"/>
    <w:rsid w:val="5FEA4540"/>
    <w:rsid w:val="61185F82"/>
    <w:rsid w:val="615F10FE"/>
    <w:rsid w:val="64915A72"/>
    <w:rsid w:val="664B39FF"/>
    <w:rsid w:val="670F7329"/>
    <w:rsid w:val="67B13D35"/>
    <w:rsid w:val="6B4948EF"/>
    <w:rsid w:val="6BD97063"/>
    <w:rsid w:val="6C1F27DA"/>
    <w:rsid w:val="6DC67B7D"/>
    <w:rsid w:val="6DD8026E"/>
    <w:rsid w:val="6E6733A0"/>
    <w:rsid w:val="71FB452B"/>
    <w:rsid w:val="77754D7F"/>
    <w:rsid w:val="7AA716F4"/>
    <w:rsid w:val="7AE42B0A"/>
    <w:rsid w:val="98FB4026"/>
    <w:rsid w:val="F5DFAE70"/>
    <w:rsid w:val="FD5D18E5"/>
    <w:rsid w:val="FFFF7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heading 4"/>
    <w:basedOn w:val="1"/>
    <w:next w:val="1"/>
    <w:autoRedefine/>
    <w:qFormat/>
    <w:uiPriority w:val="0"/>
    <w:pPr>
      <w:keepNext/>
      <w:keepLines/>
      <w:snapToGrid w:val="0"/>
      <w:spacing w:line="360" w:lineRule="auto"/>
      <w:jc w:val="left"/>
      <w:outlineLvl w:val="3"/>
    </w:pPr>
    <w:rPr>
      <w:rFonts w:ascii="Arial" w:hAnsi="Arial"/>
      <w:bCs/>
      <w:sz w:val="24"/>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autoRedefine/>
    <w:qFormat/>
    <w:uiPriority w:val="0"/>
    <w:pPr>
      <w:spacing w:after="120"/>
      <w:ind w:firstLine="420" w:firstLineChars="100"/>
    </w:pPr>
  </w:style>
  <w:style w:type="paragraph" w:styleId="3">
    <w:name w:val="Body Text"/>
    <w:basedOn w:val="1"/>
    <w:next w:val="4"/>
    <w:autoRedefine/>
    <w:qFormat/>
    <w:uiPriority w:val="0"/>
    <w:pPr>
      <w:widowControl/>
      <w:snapToGrid w:val="0"/>
      <w:spacing w:before="60" w:after="160" w:line="259" w:lineRule="auto"/>
      <w:ind w:right="113"/>
    </w:pPr>
    <w:rPr>
      <w:kern w:val="0"/>
      <w:sz w:val="18"/>
      <w:szCs w:val="20"/>
    </w:rPr>
  </w:style>
  <w:style w:type="paragraph" w:customStyle="1" w:styleId="4">
    <w:name w:val="Normal (Web)1"/>
    <w:basedOn w:val="1"/>
    <w:next w:val="5"/>
    <w:autoRedefine/>
    <w:qFormat/>
    <w:uiPriority w:val="0"/>
    <w:pPr>
      <w:widowControl/>
      <w:jc w:val="left"/>
    </w:pPr>
    <w:rPr>
      <w:rFonts w:ascii="宋体"/>
      <w:kern w:val="0"/>
      <w:sz w:val="24"/>
      <w:szCs w:val="21"/>
    </w:rPr>
  </w:style>
  <w:style w:type="paragraph" w:customStyle="1" w:styleId="5">
    <w:name w:val="Date1"/>
    <w:basedOn w:val="1"/>
    <w:next w:val="1"/>
    <w:qFormat/>
    <w:uiPriority w:val="0"/>
    <w:pPr>
      <w:ind w:left="2500" w:leftChars="2500"/>
    </w:pPr>
  </w:style>
  <w:style w:type="paragraph" w:styleId="7">
    <w:name w:val="table of authorities"/>
    <w:basedOn w:val="1"/>
    <w:next w:val="1"/>
    <w:autoRedefine/>
    <w:qFormat/>
    <w:uiPriority w:val="0"/>
    <w:pPr>
      <w:spacing w:line="360" w:lineRule="auto"/>
      <w:ind w:left="420" w:leftChars="200" w:firstLine="640" w:firstLineChars="200"/>
    </w:pPr>
    <w:rPr>
      <w:sz w:val="24"/>
      <w:szCs w:val="24"/>
    </w:rPr>
  </w:style>
  <w:style w:type="paragraph" w:styleId="8">
    <w:name w:val="Body Text Indent 2"/>
    <w:basedOn w:val="1"/>
    <w:next w:val="1"/>
    <w:qFormat/>
    <w:uiPriority w:val="0"/>
    <w:pPr>
      <w:spacing w:after="120" w:line="480" w:lineRule="auto"/>
      <w:ind w:left="420" w:leftChars="200"/>
    </w:pPr>
  </w:style>
  <w:style w:type="paragraph" w:styleId="9">
    <w:name w:val="Balloon Text"/>
    <w:basedOn w:val="1"/>
    <w:autoRedefine/>
    <w:qFormat/>
    <w:uiPriority w:val="99"/>
    <w:rPr>
      <w:rFonts w:ascii="Calibri" w:hAnsi="Calibri"/>
      <w:color w:val="000000"/>
      <w:sz w:val="18"/>
      <w:szCs w:val="18"/>
    </w:rPr>
  </w:style>
  <w:style w:type="paragraph" w:styleId="10">
    <w:name w:val="toc 1"/>
    <w:basedOn w:val="1"/>
    <w:next w:val="1"/>
    <w:qFormat/>
    <w:uiPriority w:val="39"/>
    <w:rPr>
      <w:szCs w:val="24"/>
    </w:rPr>
  </w:style>
  <w:style w:type="paragraph" w:styleId="11">
    <w:name w:val="toc 2"/>
    <w:basedOn w:val="1"/>
    <w:next w:val="1"/>
    <w:autoRedefine/>
    <w:unhideWhenUsed/>
    <w:qFormat/>
    <w:uiPriority w:val="39"/>
    <w:pPr>
      <w:widowControl/>
      <w:spacing w:after="100" w:line="276" w:lineRule="auto"/>
      <w:ind w:left="220"/>
      <w:jc w:val="left"/>
    </w:pPr>
    <w:rPr>
      <w:rFonts w:ascii="Calibri" w:hAnsi="Calibri"/>
      <w:kern w:val="0"/>
      <w:sz w:val="22"/>
      <w:szCs w:val="22"/>
    </w:rPr>
  </w:style>
  <w:style w:type="paragraph" w:styleId="12">
    <w:name w:val="Normal (Web)"/>
    <w:basedOn w:val="1"/>
    <w:autoRedefine/>
    <w:qFormat/>
    <w:uiPriority w:val="0"/>
    <w:pPr>
      <w:spacing w:before="100" w:beforeAutospacing="1" w:after="100" w:afterAutospacing="1"/>
      <w:jc w:val="left"/>
    </w:pPr>
    <w:rPr>
      <w:kern w:val="0"/>
      <w:sz w:val="24"/>
      <w:szCs w:val="24"/>
    </w:rPr>
  </w:style>
  <w:style w:type="paragraph" w:styleId="13">
    <w:name w:val="Title"/>
    <w:basedOn w:val="1"/>
    <w:next w:val="1"/>
    <w:autoRedefine/>
    <w:qFormat/>
    <w:uiPriority w:val="10"/>
    <w:pPr>
      <w:widowControl w:val="0"/>
      <w:spacing w:before="120" w:beforeLines="0" w:after="120" w:afterLines="0"/>
      <w:ind w:firstLine="0" w:firstLineChars="0"/>
      <w:outlineLvl w:val="0"/>
    </w:pPr>
    <w:rPr>
      <w:rFonts w:ascii="Cambria" w:hAnsi="Cambria" w:cs="Times New Roman"/>
      <w:b/>
      <w:bCs/>
      <w:sz w:val="32"/>
      <w:szCs w:val="32"/>
    </w:rPr>
  </w:style>
  <w:style w:type="paragraph" w:customStyle="1" w:styleId="16">
    <w:name w:val="baby-正文"/>
    <w:basedOn w:val="3"/>
    <w:next w:val="9"/>
    <w:autoRedefine/>
    <w:qFormat/>
    <w:uiPriority w:val="0"/>
    <w:pPr>
      <w:spacing w:line="240" w:lineRule="auto"/>
      <w:ind w:firstLine="0" w:firstLineChars="0"/>
    </w:pPr>
    <w:rPr>
      <w:rFonts w:ascii="仿宋_GB2312" w:hAnsi="宋体"/>
      <w:bCs/>
      <w:kern w:val="2"/>
      <w:sz w:val="30"/>
      <w:szCs w:val="24"/>
      <w:lang w:val="en-US" w:eastAsia="zh-CN"/>
    </w:rPr>
  </w:style>
  <w:style w:type="paragraph" w:customStyle="1" w:styleId="17">
    <w:name w:val="【正文】"/>
    <w:autoRedefine/>
    <w:qFormat/>
    <w:uiPriority w:val="0"/>
    <w:pPr>
      <w:widowControl/>
      <w:spacing w:line="500" w:lineRule="exact"/>
      <w:jc w:val="left"/>
    </w:pPr>
    <w:rPr>
      <w:rFonts w:ascii="宋体" w:hAnsi="Calibri" w:eastAsia="Calibri" w:cs="Times New Roman"/>
      <w:kern w:val="0"/>
      <w:sz w:val="20"/>
      <w:szCs w:val="20"/>
      <w:lang w:val="en-US" w:eastAsia="zh-CN" w:bidi="ar-SA"/>
    </w:rPr>
  </w:style>
  <w:style w:type="paragraph" w:customStyle="1" w:styleId="18">
    <w:name w:val="Default"/>
    <w:basedOn w:val="19"/>
    <w:next w:val="1"/>
    <w:autoRedefine/>
    <w:qFormat/>
    <w:uiPriority w:val="0"/>
    <w:pPr>
      <w:widowControl w:val="0"/>
      <w:autoSpaceDE w:val="0"/>
      <w:autoSpaceDN w:val="0"/>
      <w:adjustRightInd w:val="0"/>
    </w:pPr>
    <w:rPr>
      <w:rFonts w:ascii="宋体" w:hAnsi="Times New Roman" w:cs="宋体"/>
      <w:color w:val="000000"/>
      <w:sz w:val="24"/>
      <w:szCs w:val="24"/>
      <w:lang w:val="en-US" w:eastAsia="zh-CN" w:bidi="ar-SA"/>
    </w:rPr>
  </w:style>
  <w:style w:type="paragraph" w:customStyle="1" w:styleId="19">
    <w:name w:val="纯文本1"/>
    <w:basedOn w:val="1"/>
    <w:autoRedefine/>
    <w:qFormat/>
    <w:uiPriority w:val="0"/>
    <w:rPr>
      <w:rFonts w:hint="eastAsia" w:ascii="宋体" w:hAnsi="Courier New"/>
      <w:szCs w:val="22"/>
    </w:rPr>
  </w:style>
  <w:style w:type="paragraph" w:customStyle="1" w:styleId="20">
    <w:name w:val="正文（首行缩进两字） Char"/>
    <w:basedOn w:val="1"/>
    <w:autoRedefine/>
    <w:qFormat/>
    <w:uiPriority w:val="0"/>
    <w:pPr>
      <w:widowControl/>
      <w:spacing w:line="360" w:lineRule="auto"/>
      <w:ind w:firstLine="420"/>
      <w:jc w:val="both"/>
    </w:pPr>
    <w:rPr>
      <w:rFonts w:ascii="Times New Roman" w:eastAsia="宋体"/>
      <w:szCs w:val="20"/>
    </w:rPr>
  </w:style>
  <w:style w:type="paragraph" w:customStyle="1" w:styleId="21">
    <w:name w:val="正文文字缩进1"/>
    <w:basedOn w:val="8"/>
    <w:qFormat/>
    <w:uiPriority w:val="0"/>
    <w:pPr>
      <w:spacing w:after="0" w:line="360" w:lineRule="auto"/>
      <w:ind w:left="0" w:leftChars="0" w:firstLine="560"/>
    </w:pPr>
    <w:rPr>
      <w:rFonts w:ascii="黑体" w:hAnsi="Arial Black" w:eastAsia="黑体"/>
      <w:b/>
      <w:bCs/>
      <w:sz w:val="28"/>
      <w:szCs w:val="20"/>
    </w:rPr>
  </w:style>
  <w:style w:type="paragraph" w:customStyle="1" w:styleId="22">
    <w:name w:val="C首行缩进正文"/>
    <w:basedOn w:val="17"/>
    <w:qFormat/>
    <w:uiPriority w:val="0"/>
    <w:rPr>
      <w:sz w:val="21"/>
    </w:rPr>
  </w:style>
  <w:style w:type="paragraph" w:customStyle="1" w:styleId="23">
    <w:name w:val="正文 + 首行缩进:  2 字符"/>
    <w:basedOn w:val="1"/>
    <w:qFormat/>
    <w:uiPriority w:val="0"/>
    <w:pPr>
      <w:spacing w:line="460" w:lineRule="atLeast"/>
      <w:ind w:firstLine="528"/>
      <w:jc w:val="both"/>
    </w:pPr>
    <w:rPr>
      <w:color w:val="auto"/>
      <w:spacing w:val="12"/>
      <w:szCs w:val="20"/>
    </w:rPr>
  </w:style>
  <w:style w:type="paragraph" w:customStyle="1" w:styleId="24">
    <w:name w:val="11111"/>
    <w:basedOn w:val="1"/>
    <w:next w:val="1"/>
    <w:qFormat/>
    <w:uiPriority w:val="0"/>
    <w:pPr>
      <w:spacing w:line="360" w:lineRule="auto"/>
      <w:ind w:firstLine="200" w:firstLineChars="200"/>
      <w:jc w:val="both"/>
    </w:pPr>
    <w:rPr>
      <w:rFonts w:hAnsi="宋体" w:eastAsia="宋体" w:cs="宋体"/>
      <w:kern w:val="2"/>
      <w:sz w:val="24"/>
    </w:rPr>
  </w:style>
  <w:style w:type="paragraph" w:styleId="25">
    <w:name w:val="List Paragraph"/>
    <w:basedOn w:val="1"/>
    <w:qFormat/>
    <w:uiPriority w:val="0"/>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3951</Words>
  <Characters>4222</Characters>
  <Lines>0</Lines>
  <Paragraphs>0</Paragraphs>
  <TotalTime>18</TotalTime>
  <ScaleCrop>false</ScaleCrop>
  <LinksUpToDate>false</LinksUpToDate>
  <CharactersWithSpaces>4226</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2023-12-26T22:12:00Z</dcterms:created>
  <dc:creator>Dawn</dc:creator>
  <cp:lastModifiedBy>殊途同归</cp:lastModifiedBy>
  <cp:lastPrinted>2025-10-22T08:33:00Z</cp:lastPrinted>
  <dcterms:modified xsi:type="dcterms:W3CDTF">2025-10-23T16:44:29Z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7DDE1AAC05564B8D93BA5ECFF3CE8ED7_13</vt:lpwstr>
  </property>
  <property fmtid="{D5CDD505-2E9C-101B-9397-08002B2CF9AE}" pid="4" name="KSOTemplateDocerSaveRecord">
    <vt:lpwstr>eyJoZGlkIjoiZmQ0M2ZmZTNmMjRmMTcwNzgzNzFjMTE0ZTk0YTgzOGEiLCJ1c2VySWQiOiI0OTcxNzU2MTIifQ==</vt:lpwstr>
  </property>
</Properties>
</file>