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eastAsia="仿宋"/>
          <w:color w:val="auto"/>
          <w:highlight w:val="none"/>
        </w:rPr>
      </w:pPr>
    </w:p>
    <w:p>
      <w:pPr>
        <w:autoSpaceDE w:val="0"/>
        <w:autoSpaceDN w:val="0"/>
        <w:adjustRightInd w:val="0"/>
        <w:rPr>
          <w:rFonts w:eastAsia="仿宋"/>
          <w:color w:val="auto"/>
          <w:highlight w:val="none"/>
        </w:rPr>
      </w:pPr>
    </w:p>
    <w:p>
      <w:pPr>
        <w:autoSpaceDE w:val="0"/>
        <w:autoSpaceDN w:val="0"/>
        <w:adjustRightInd w:val="0"/>
        <w:ind w:right="318" w:rightChars="100"/>
        <w:jc w:val="right"/>
        <w:rPr>
          <w:color w:val="auto"/>
          <w:highlight w:val="none"/>
        </w:rPr>
      </w:pPr>
      <w:bookmarkStart w:id="0" w:name="_GoBack"/>
      <w:r>
        <w:rPr>
          <w:rFonts w:eastAsia="仿宋"/>
          <w:color w:val="auto"/>
          <w:highlight w:val="none"/>
        </w:rPr>
        <w:t>鹤环许〔2025〕</w:t>
      </w:r>
      <w:r>
        <w:rPr>
          <w:rFonts w:hint="eastAsia" w:eastAsia="仿宋"/>
          <w:color w:val="auto"/>
          <w:highlight w:val="none"/>
          <w:lang w:val="en-US" w:eastAsia="zh-CN"/>
        </w:rPr>
        <w:t>20</w:t>
      </w:r>
      <w:r>
        <w:rPr>
          <w:rFonts w:eastAsia="仿宋"/>
          <w:color w:val="auto"/>
          <w:highlight w:val="none"/>
        </w:rPr>
        <w:t>号</w:t>
      </w:r>
      <w:bookmarkEnd w:id="0"/>
    </w:p>
    <w:p>
      <w:pPr>
        <w:autoSpaceDE w:val="0"/>
        <w:autoSpaceDN w:val="0"/>
        <w:adjustRightInd w:val="0"/>
        <w:rPr>
          <w:rFonts w:eastAsia="仿宋"/>
          <w:color w:val="auto"/>
          <w:highlight w:val="none"/>
        </w:rPr>
      </w:pPr>
    </w:p>
    <w:p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关于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eastAsia="zh-CN"/>
        </w:rPr>
        <w:t>黑龙江碳源材料有限公司高纯氧化石墨项目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环境影响报告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eastAsia="zh-CN"/>
        </w:rPr>
        <w:t>表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的批复</w:t>
      </w:r>
    </w:p>
    <w:p>
      <w:pPr>
        <w:autoSpaceDE w:val="0"/>
        <w:autoSpaceDN w:val="0"/>
        <w:adjustRightInd w:val="0"/>
        <w:ind w:firstLine="636" w:firstLineChars="200"/>
        <w:rPr>
          <w:rFonts w:eastAsia="仿宋"/>
          <w:color w:val="auto"/>
          <w:highlight w:val="none"/>
        </w:rPr>
      </w:pPr>
    </w:p>
    <w:p>
      <w:pPr>
        <w:rPr>
          <w:rFonts w:eastAsia="仿宋"/>
          <w:color w:val="auto"/>
          <w:highlight w:val="none"/>
        </w:rPr>
      </w:pPr>
      <w:r>
        <w:rPr>
          <w:rFonts w:hint="eastAsia" w:eastAsia="仿宋"/>
          <w:color w:val="auto"/>
          <w:highlight w:val="none"/>
          <w:lang w:eastAsia="zh-CN"/>
        </w:rPr>
        <w:t>黑龙江碳源材料有限</w:t>
      </w:r>
      <w:r>
        <w:rPr>
          <w:rFonts w:eastAsia="仿宋"/>
          <w:color w:val="auto"/>
          <w:highlight w:val="none"/>
        </w:rPr>
        <w:t>公司：</w:t>
      </w:r>
    </w:p>
    <w:p>
      <w:pPr>
        <w:ind w:firstLine="636" w:firstLineChars="200"/>
        <w:rPr>
          <w:rFonts w:eastAsia="仿宋"/>
          <w:color w:val="auto"/>
          <w:highlight w:val="none"/>
        </w:rPr>
      </w:pPr>
      <w:r>
        <w:rPr>
          <w:rFonts w:eastAsia="仿宋"/>
          <w:color w:val="auto"/>
          <w:highlight w:val="none"/>
        </w:rPr>
        <w:t>你公司报送的《</w:t>
      </w:r>
      <w:r>
        <w:rPr>
          <w:rFonts w:hint="eastAsia" w:eastAsia="仿宋"/>
          <w:color w:val="auto"/>
          <w:highlight w:val="none"/>
          <w:lang w:eastAsia="zh-CN"/>
        </w:rPr>
        <w:t>黑龙江碳源材料有限公司高纯氧化石墨项目环境影响报告表</w:t>
      </w:r>
      <w:r>
        <w:rPr>
          <w:rFonts w:eastAsia="仿宋"/>
          <w:color w:val="auto"/>
          <w:highlight w:val="none"/>
        </w:rPr>
        <w:t>》（以下简称《报告</w:t>
      </w:r>
      <w:r>
        <w:rPr>
          <w:rFonts w:hint="eastAsia" w:eastAsia="仿宋"/>
          <w:color w:val="auto"/>
          <w:highlight w:val="none"/>
          <w:lang w:eastAsia="zh-CN"/>
        </w:rPr>
        <w:t>表</w:t>
      </w:r>
      <w:r>
        <w:rPr>
          <w:rFonts w:eastAsia="仿宋"/>
          <w:color w:val="auto"/>
          <w:highlight w:val="none"/>
        </w:rPr>
        <w:t>》）收悉，结合鹤岗市环境技术中心技术评估意见，经研究，提出如下审批意见。</w:t>
      </w:r>
    </w:p>
    <w:p>
      <w:pPr>
        <w:pStyle w:val="5"/>
        <w:ind w:firstLine="636" w:firstLineChars="200"/>
        <w:jc w:val="both"/>
        <w:rPr>
          <w:rFonts w:eastAsia="仿宋"/>
          <w:color w:val="auto"/>
          <w:sz w:val="32"/>
          <w:szCs w:val="32"/>
          <w:highlight w:val="none"/>
          <w:lang w:val="en-GB"/>
        </w:rPr>
      </w:pPr>
      <w:r>
        <w:rPr>
          <w:rFonts w:eastAsia="黑体"/>
          <w:b w:val="0"/>
          <w:bCs/>
          <w:color w:val="auto"/>
          <w:sz w:val="32"/>
          <w:szCs w:val="32"/>
          <w:highlight w:val="none"/>
        </w:rPr>
        <w:t>一、项目基本情况</w:t>
      </w:r>
    </w:p>
    <w:p>
      <w:pPr>
        <w:ind w:firstLine="636" w:firstLineChars="200"/>
        <w:rPr>
          <w:rFonts w:eastAsia="仿宋"/>
          <w:color w:val="auto"/>
          <w:highlight w:val="none"/>
        </w:rPr>
      </w:pPr>
      <w:r>
        <w:rPr>
          <w:rFonts w:hint="eastAsia" w:eastAsia="仿宋"/>
          <w:color w:val="auto"/>
          <w:highlight w:val="none"/>
          <w:lang w:eastAsia="zh-CN"/>
        </w:rPr>
        <w:t>该项目</w:t>
      </w:r>
      <w:r>
        <w:rPr>
          <w:rFonts w:hint="eastAsia" w:eastAsia="仿宋"/>
          <w:color w:val="auto"/>
          <w:highlight w:val="none"/>
          <w:lang w:val="en-US" w:eastAsia="zh-CN"/>
        </w:rPr>
        <w:t>建设性质为改、扩建，建设地点位于鹤岗市东山区鹤岗石墨新材料产业园区A区黑龙江碳源材料有限公司一期工程废水处理车间内。建设碱酸法工艺生产高纯石墨中试线1条，年产高纯石墨1200t；高纯氧化石墨1中试线1条，采用氧化插层法，使用不同种类的酸，2种工艺路线制备，年产量高纯氧化石墨1-A路线1116t，高纯氧化石墨1-B路线465t；高纯氧化石墨2中试线1条，采用氧化插层法，年产氧化石墨140t。项目总投资1049.52万元，其中环保投资为51.38</w:t>
      </w:r>
      <w:r>
        <w:rPr>
          <w:rFonts w:eastAsia="仿宋"/>
          <w:color w:val="auto"/>
          <w:highlight w:val="none"/>
        </w:rPr>
        <w:t>万元。</w:t>
      </w:r>
    </w:p>
    <w:p>
      <w:pPr>
        <w:ind w:firstLine="636" w:firstLineChars="200"/>
        <w:rPr>
          <w:rFonts w:hint="default" w:ascii="Times New Roman" w:hAnsi="Times New Roman" w:eastAsia="仿宋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highlight w:val="none"/>
          <w:lang w:val="en-US" w:eastAsia="zh-CN"/>
        </w:rPr>
        <w:t>在全面落实《报告表》和本批复提出的各项生态环境保护措施后，对环境的不利影响可以得到一定缓解或控制。我局原则同意《报告表》的环境影响评价总体结论和各项生态环境保护措施。</w:t>
      </w:r>
    </w:p>
    <w:p>
      <w:pPr>
        <w:ind w:firstLine="636" w:firstLineChars="200"/>
        <w:rPr>
          <w:rFonts w:hint="eastAsia" w:eastAsia="黑体"/>
          <w:bCs/>
          <w:color w:val="auto"/>
          <w:kern w:val="0"/>
          <w:highlight w:val="none"/>
          <w:lang w:eastAsia="zh-CN"/>
        </w:rPr>
      </w:pPr>
      <w:r>
        <w:rPr>
          <w:rFonts w:eastAsia="黑体"/>
          <w:bCs/>
          <w:color w:val="auto"/>
          <w:kern w:val="0"/>
          <w:highlight w:val="none"/>
        </w:rPr>
        <w:t>二、项目设计、建设和运行管理中应重点做好的工作</w:t>
      </w:r>
    </w:p>
    <w:p>
      <w:pPr>
        <w:ind w:firstLine="636" w:firstLineChars="200"/>
        <w:rPr>
          <w:rFonts w:eastAsia="楷体"/>
          <w:color w:val="auto"/>
          <w:highlight w:val="none"/>
        </w:rPr>
      </w:pPr>
      <w:r>
        <w:rPr>
          <w:rFonts w:eastAsia="楷体"/>
          <w:color w:val="auto"/>
          <w:highlight w:val="none"/>
        </w:rPr>
        <w:t>（一）落实大气污染防治措施。</w:t>
      </w:r>
      <w:r>
        <w:rPr>
          <w:rFonts w:hint="eastAsia" w:eastAsia="仿宋"/>
          <w:color w:val="auto"/>
          <w:highlight w:val="none"/>
          <w:lang w:val="en-US" w:eastAsia="zh-CN"/>
        </w:rPr>
        <w:t>施工期做好扬尘污染防治，运输车辆、施工场地堆放的物料盖防尘苫布，施工场界设置防尘挡板等。运营期投料、包装工序产生的颗粒物采取负压收集，经本次新建的布袋除尘器处理，通过新建的1根26m排气筒排放；</w:t>
      </w:r>
      <w:r>
        <w:rPr>
          <w:rFonts w:hint="eastAsia" w:ascii="Times New Roman" w:hAnsi="Times New Roman" w:eastAsia="仿宋" w:cs="Times New Roman"/>
          <w:color w:val="auto"/>
          <w:highlight w:val="none"/>
          <w:lang w:val="en-US" w:eastAsia="zh-CN"/>
        </w:rPr>
        <w:t>工艺过程产生的酸雾通过废气收集管道进入本次新建的2套串联的4级碱液喷淋塔处理，通过1根已建的26m排气筒排放；危废贮存点废气经集气罩进入二级活性炭吸附箱，经处理后通过新建的1根15m排气筒排放。</w:t>
      </w:r>
      <w:r>
        <w:rPr>
          <w:rFonts w:hint="eastAsia" w:eastAsia="仿宋"/>
          <w:color w:val="auto"/>
          <w:highlight w:val="none"/>
          <w:lang w:val="en-US" w:eastAsia="zh-CN"/>
        </w:rPr>
        <w:t>污染物排放应满足《大气污染物综合排放标准》（GB16297-1996）表2最高允许排放浓度及最高允许排放速率要求。厂界颗粒物、非甲烷总烃应满足《大气污染物综合排放标准》（GB16297-1996）表2无组织排放监控浓度限值要求。</w:t>
      </w:r>
    </w:p>
    <w:p>
      <w:pPr>
        <w:ind w:firstLine="636" w:firstLineChars="200"/>
        <w:rPr>
          <w:rFonts w:hint="default" w:ascii="Times New Roman" w:hAnsi="Times New Roman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楷体"/>
          <w:color w:val="auto"/>
          <w:highlight w:val="none"/>
          <w:lang w:eastAsia="zh-CN"/>
        </w:rPr>
        <w:t>（二）</w:t>
      </w:r>
      <w:r>
        <w:rPr>
          <w:rFonts w:eastAsia="楷体"/>
          <w:color w:val="auto"/>
          <w:highlight w:val="none"/>
        </w:rPr>
        <w:t>做好水污染防治工作。</w:t>
      </w:r>
      <w:r>
        <w:rPr>
          <w:rFonts w:hint="eastAsia" w:ascii="Times New Roman" w:hAnsi="Times New Roman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施工期及</w:t>
      </w:r>
      <w:r>
        <w:rPr>
          <w:rFonts w:hint="eastAsia" w:eastAsia="仿宋"/>
          <w:color w:val="auto"/>
          <w:highlight w:val="none"/>
          <w:lang w:val="en-US" w:eastAsia="zh-CN"/>
        </w:rPr>
        <w:t>运营期</w:t>
      </w:r>
      <w:r>
        <w:rPr>
          <w:rFonts w:hint="eastAsia" w:ascii="Times New Roman" w:hAnsi="Times New Roman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生活污水经厂区已建的化粪池处理后排入园区污水处理厂处理。</w:t>
      </w:r>
      <w:r>
        <w:rPr>
          <w:rFonts w:hint="eastAsia" w:eastAsia="仿宋"/>
          <w:color w:val="auto"/>
          <w:highlight w:val="none"/>
          <w:lang w:val="en-US" w:eastAsia="zh-CN"/>
        </w:rPr>
        <w:t>运营期工艺废水、净化水系统产生的废水、喷淋废水、化验冲洗废水及循环冷却水排水进入现有废水处理系统处理，采取制浆-中和反应-压滤+调节-混凝-絮凝工艺，经处理后的废水满足园区污水处理厂进水指标，经园区污水处理厂处理后，管输至鹤岗市西部污水处理厂处理。</w:t>
      </w:r>
    </w:p>
    <w:p>
      <w:pPr>
        <w:ind w:firstLine="636" w:firstLineChars="200"/>
        <w:rPr>
          <w:rFonts w:hint="eastAsia" w:eastAsia="楷体"/>
          <w:color w:val="auto"/>
          <w:highlight w:val="none"/>
          <w:lang w:eastAsia="zh-CN"/>
        </w:rPr>
      </w:pPr>
      <w:r>
        <w:rPr>
          <w:rFonts w:eastAsia="楷体"/>
          <w:color w:val="auto"/>
          <w:highlight w:val="none"/>
        </w:rPr>
        <w:t>（三）落实隔声降噪措施。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运营期选用低噪声设备，高噪声设备均置于封闭车间内，设备基础减振，墙体隔音，厂界噪声</w:t>
      </w:r>
      <w:r>
        <w:rPr>
          <w:rFonts w:hint="eastAsia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应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满足《工业企业厂界环境噪声排放标准》（GB12348-2008）3类标准要求。</w:t>
      </w:r>
    </w:p>
    <w:p>
      <w:pPr>
        <w:ind w:firstLine="636" w:firstLineChars="200"/>
        <w:rPr>
          <w:rFonts w:hint="eastAsia" w:ascii="Times New Roman" w:hAnsi="Times New Roman" w:eastAsia="仿宋" w:cs="Times New Roman"/>
          <w:color w:val="auto"/>
          <w:highlight w:val="none"/>
          <w:lang w:val="en-US" w:eastAsia="zh-CN"/>
        </w:rPr>
      </w:pPr>
      <w:r>
        <w:rPr>
          <w:rFonts w:hint="eastAsia" w:eastAsia="楷体"/>
          <w:color w:val="auto"/>
          <w:highlight w:val="none"/>
          <w:lang w:eastAsia="zh-CN"/>
        </w:rPr>
        <w:t>（</w:t>
      </w:r>
      <w:r>
        <w:rPr>
          <w:rFonts w:hint="eastAsia" w:eastAsia="楷体"/>
          <w:color w:val="auto"/>
          <w:highlight w:val="none"/>
          <w:lang w:val="en-US" w:eastAsia="zh-CN"/>
        </w:rPr>
        <w:t>四</w:t>
      </w:r>
      <w:r>
        <w:rPr>
          <w:rFonts w:hint="eastAsia" w:eastAsia="楷体"/>
          <w:color w:val="auto"/>
          <w:highlight w:val="none"/>
          <w:lang w:eastAsia="zh-CN"/>
        </w:rPr>
        <w:t>）</w:t>
      </w:r>
      <w:r>
        <w:rPr>
          <w:rFonts w:eastAsia="楷体"/>
          <w:color w:val="auto"/>
          <w:highlight w:val="none"/>
        </w:rPr>
        <w:t>落实固体废物处置处理措施。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运营期</w:t>
      </w:r>
      <w:r>
        <w:rPr>
          <w:rFonts w:hint="eastAsia" w:ascii="Times New Roman" w:hAnsi="Times New Roman" w:eastAsia="仿宋" w:cs="Times New Roman"/>
          <w:color w:val="auto"/>
          <w:highlight w:val="none"/>
          <w:lang w:val="en-US" w:eastAsia="zh-CN"/>
        </w:rPr>
        <w:t>除尘器收集的粉尘集中收集，回用于生产。废水处理产生的废渣及污泥定期外售给水泥厂综合利用。一般废弃包装袋外售综合利用。危险化学品废包装物、废导热油、化验室废液、废活性炭分区贮存在已建的危废贮存点内，定期交由有资质单位处置。废酸不在厂区内存储，每批次生产完，直接交由有资质单位拉运处置。废布袋由设备厂家回收处置。生活垃圾集中收集，由环卫部门统一处理</w:t>
      </w:r>
    </w:p>
    <w:p>
      <w:pPr>
        <w:ind w:firstLine="636" w:firstLineChars="200"/>
        <w:rPr>
          <w:rFonts w:hint="eastAsia" w:eastAsia="仿宋"/>
          <w:color w:val="auto"/>
          <w:highlight w:val="none"/>
          <w:lang w:val="en-US" w:eastAsia="zh-CN"/>
        </w:rPr>
      </w:pPr>
      <w:r>
        <w:rPr>
          <w:rFonts w:eastAsia="楷体"/>
          <w:color w:val="auto"/>
          <w:highlight w:val="none"/>
        </w:rPr>
        <w:t>（五）</w:t>
      </w:r>
      <w:r>
        <w:rPr>
          <w:rFonts w:eastAsia="楷体"/>
        </w:rPr>
        <w:t>地下水、土壤污染防治措施。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生产装置区设置围堰，围堰高度均为300mm，酸储车间2储罐区设置500mm围堰，硫酸储罐区与双氧水储罐区设置防火墙，分别设置围堰，依托已建的事故水池，有效容积9000m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，存储事故废水及初期雨水。</w:t>
      </w:r>
      <w:r>
        <w:rPr>
          <w:rFonts w:hint="eastAsia" w:eastAsia="仿宋"/>
          <w:color w:val="auto"/>
          <w:highlight w:val="none"/>
          <w:lang w:val="en-US" w:eastAsia="zh-CN"/>
        </w:rPr>
        <w:t>地下水落实源头控制、分区防控、污染监控、应急响应等污染防控措施。</w:t>
      </w:r>
    </w:p>
    <w:p>
      <w:pPr>
        <w:ind w:firstLine="636" w:firstLineChars="200"/>
        <w:rPr>
          <w:rFonts w:hint="default"/>
          <w:lang w:val="en-US" w:eastAsia="zh-CN"/>
        </w:rPr>
      </w:pPr>
      <w:r>
        <w:rPr>
          <w:rFonts w:eastAsia="楷体"/>
          <w:color w:val="auto"/>
          <w:highlight w:val="none"/>
        </w:rPr>
        <w:t>（</w:t>
      </w:r>
      <w:r>
        <w:rPr>
          <w:rFonts w:hint="eastAsia" w:eastAsia="楷体"/>
          <w:color w:val="auto"/>
          <w:highlight w:val="none"/>
          <w:lang w:val="en-US" w:eastAsia="zh-CN"/>
        </w:rPr>
        <w:t>六</w:t>
      </w:r>
      <w:r>
        <w:rPr>
          <w:rFonts w:eastAsia="楷体"/>
          <w:color w:val="auto"/>
          <w:highlight w:val="none"/>
        </w:rPr>
        <w:t>）加强环境风险防范。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严格落实《报告表》提出的风险防范措施，针对可能发生的突发环境事件，建立应急联动机制，制定环境风险事故应急预案，严格落实生态环境风险防控要求，优化风险防范措施，确保区域生态环境安全；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>
      <w:pPr>
        <w:ind w:firstLine="636" w:firstLineChars="200"/>
        <w:rPr>
          <w:color w:val="auto"/>
          <w:highlight w:val="none"/>
        </w:rPr>
      </w:pPr>
      <w:r>
        <w:rPr>
          <w:rFonts w:eastAsia="仿宋"/>
          <w:color w:val="auto"/>
          <w:highlight w:val="none"/>
        </w:rPr>
        <w:t>三、项目建设必须严格执行配套的环境保护设施与主体工程同时设计、同时施工、同时投产使用的环境保护</w:t>
      </w:r>
      <w:r>
        <w:rPr>
          <w:rFonts w:hint="eastAsia" w:eastAsia="仿宋"/>
          <w:color w:val="auto"/>
          <w:highlight w:val="none"/>
          <w:lang w:eastAsia="zh-CN"/>
        </w:rPr>
        <w:t>“</w:t>
      </w:r>
      <w:r>
        <w:rPr>
          <w:rFonts w:eastAsia="仿宋"/>
          <w:color w:val="auto"/>
          <w:highlight w:val="none"/>
        </w:rPr>
        <w:t>三同时</w:t>
      </w:r>
      <w:r>
        <w:rPr>
          <w:rFonts w:hint="eastAsia" w:eastAsia="仿宋"/>
          <w:color w:val="auto"/>
          <w:highlight w:val="none"/>
          <w:lang w:eastAsia="zh-CN"/>
        </w:rPr>
        <w:t>”</w:t>
      </w:r>
      <w:r>
        <w:rPr>
          <w:rFonts w:eastAsia="仿宋"/>
          <w:color w:val="auto"/>
          <w:highlight w:val="none"/>
        </w:rPr>
        <w:t>制度。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在实际排污行为发生之前申请取得排污许可证。</w:t>
      </w:r>
      <w:r>
        <w:rPr>
          <w:rFonts w:eastAsia="仿宋"/>
          <w:color w:val="auto"/>
          <w:highlight w:val="none"/>
        </w:rPr>
        <w:t>项目竣工后，须按程序实施自主环境保护竣工验收，未经验收或者验收不合格的，不得投入使用。</w:t>
      </w:r>
    </w:p>
    <w:p>
      <w:pPr>
        <w:ind w:firstLine="636" w:firstLineChars="200"/>
        <w:rPr>
          <w:rFonts w:eastAsia="仿宋"/>
          <w:color w:val="auto"/>
          <w:highlight w:val="none"/>
        </w:rPr>
      </w:pPr>
      <w:r>
        <w:rPr>
          <w:rFonts w:eastAsia="仿宋"/>
          <w:color w:val="auto"/>
          <w:highlight w:val="none"/>
        </w:rPr>
        <w:t>四、《报告</w:t>
      </w:r>
      <w:r>
        <w:rPr>
          <w:rFonts w:hint="eastAsia" w:eastAsia="仿宋"/>
          <w:color w:val="auto"/>
          <w:highlight w:val="none"/>
          <w:lang w:val="en-US" w:eastAsia="zh-CN"/>
        </w:rPr>
        <w:t>表</w:t>
      </w:r>
      <w:r>
        <w:rPr>
          <w:rFonts w:eastAsia="仿宋"/>
          <w:color w:val="auto"/>
          <w:highlight w:val="none"/>
        </w:rPr>
        <w:t>》经批准后，项目的性质、规模、地点或者防治污染、防止生态破坏的措施发生重大变动的，应当重新报批该项目的《报告</w:t>
      </w:r>
      <w:r>
        <w:rPr>
          <w:rFonts w:hint="eastAsia" w:eastAsia="仿宋"/>
          <w:color w:val="auto"/>
          <w:highlight w:val="none"/>
          <w:lang w:val="en-US" w:eastAsia="zh-CN"/>
        </w:rPr>
        <w:t>表</w:t>
      </w:r>
      <w:r>
        <w:rPr>
          <w:rFonts w:eastAsia="仿宋"/>
          <w:color w:val="auto"/>
          <w:highlight w:val="none"/>
        </w:rPr>
        <w:t>》。自《报告</w:t>
      </w:r>
      <w:r>
        <w:rPr>
          <w:rFonts w:hint="eastAsia" w:eastAsia="仿宋"/>
          <w:color w:val="auto"/>
          <w:highlight w:val="none"/>
          <w:lang w:val="en-US" w:eastAsia="zh-CN"/>
        </w:rPr>
        <w:t>表</w:t>
      </w:r>
      <w:r>
        <w:rPr>
          <w:rFonts w:eastAsia="仿宋"/>
          <w:color w:val="auto"/>
          <w:highlight w:val="none"/>
        </w:rPr>
        <w:t>》批复文件批准之日起，如超过五年方决定开工建设的，《报告</w:t>
      </w:r>
      <w:r>
        <w:rPr>
          <w:rFonts w:hint="eastAsia" w:eastAsia="仿宋"/>
          <w:color w:val="auto"/>
          <w:highlight w:val="none"/>
          <w:lang w:val="en-US" w:eastAsia="zh-CN"/>
        </w:rPr>
        <w:t>表</w:t>
      </w:r>
      <w:r>
        <w:rPr>
          <w:rFonts w:eastAsia="仿宋"/>
          <w:color w:val="auto"/>
          <w:highlight w:val="none"/>
        </w:rPr>
        <w:t>》应当重新审核。</w:t>
      </w:r>
    </w:p>
    <w:p>
      <w:pPr>
        <w:ind w:firstLine="636" w:firstLineChars="200"/>
        <w:rPr>
          <w:rFonts w:eastAsia="仿宋"/>
          <w:color w:val="auto"/>
          <w:highlight w:val="none"/>
        </w:rPr>
      </w:pPr>
    </w:p>
    <w:p>
      <w:pPr>
        <w:ind w:firstLine="636" w:firstLineChars="200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954" w:rightChars="300" w:firstLine="0" w:firstLineChars="0"/>
        <w:jc w:val="right"/>
        <w:textAlignment w:val="auto"/>
        <w:rPr>
          <w:rFonts w:eastAsia="仿宋"/>
          <w:color w:val="auto"/>
          <w:highlight w:val="none"/>
        </w:rPr>
      </w:pPr>
      <w:r>
        <w:rPr>
          <w:rFonts w:eastAsia="仿宋"/>
          <w:color w:val="auto"/>
          <w:highlight w:val="none"/>
        </w:rPr>
        <w:t>鹤岗市生态环境局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ind w:right="954" w:rightChars="300" w:firstLine="0" w:firstLineChars="0"/>
        <w:jc w:val="right"/>
        <w:textAlignment w:val="auto"/>
        <w:rPr>
          <w:rFonts w:hint="eastAsia" w:eastAsia="仿宋"/>
          <w:color w:val="auto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highlight w:val="none"/>
        </w:rPr>
        <w:t>2025</w:t>
      </w:r>
      <w:r>
        <w:rPr>
          <w:rFonts w:eastAsia="仿宋"/>
          <w:color w:val="auto"/>
          <w:highlight w:val="none"/>
        </w:rPr>
        <w:t>年</w:t>
      </w:r>
      <w:r>
        <w:rPr>
          <w:rFonts w:hint="eastAsia" w:eastAsia="仿宋"/>
          <w:color w:val="auto"/>
          <w:highlight w:val="none"/>
          <w:lang w:val="en-US" w:eastAsia="zh-CN"/>
        </w:rPr>
        <w:t>10</w:t>
      </w:r>
      <w:r>
        <w:rPr>
          <w:rFonts w:eastAsia="仿宋"/>
          <w:color w:val="auto"/>
          <w:highlight w:val="none"/>
        </w:rPr>
        <w:t>月</w:t>
      </w:r>
      <w:r>
        <w:rPr>
          <w:rFonts w:hint="eastAsia" w:eastAsia="仿宋"/>
          <w:color w:val="auto"/>
          <w:highlight w:val="none"/>
          <w:lang w:val="en-US" w:eastAsia="zh-CN"/>
        </w:rPr>
        <w:t>30</w:t>
      </w:r>
      <w:r>
        <w:rPr>
          <w:rFonts w:eastAsia="仿宋"/>
          <w:color w:val="auto"/>
          <w:highlight w:val="none"/>
        </w:rPr>
        <w:t>日</w:t>
      </w:r>
      <w:r>
        <w:rPr>
          <w:rFonts w:hint="eastAsia" w:eastAsia="仿宋"/>
          <w:color w:val="auto"/>
          <w:highlight w:val="none"/>
          <w:lang w:val="en-US" w:eastAsia="zh-CN"/>
        </w:rPr>
        <w:t xml:space="preserve"> </w:t>
      </w:r>
    </w:p>
    <w:p>
      <w:pPr>
        <w:ind w:firstLine="636" w:firstLineChars="200"/>
        <w:rPr>
          <w:rFonts w:eastAsia="仿宋"/>
          <w:color w:val="auto"/>
          <w:highlight w:val="none"/>
        </w:rPr>
      </w:pPr>
    </w:p>
    <w:p>
      <w:pPr>
        <w:ind w:firstLine="636" w:firstLineChars="200"/>
        <w:rPr>
          <w:rFonts w:ascii="Times New Roman" w:hAnsi="Times New Roman" w:eastAsia="仿宋" w:cs="Times New Roman"/>
          <w:color w:val="auto"/>
          <w:highlight w:val="none"/>
        </w:rPr>
      </w:pPr>
    </w:p>
    <w:p>
      <w:pPr>
        <w:ind w:firstLine="636" w:firstLineChars="200"/>
        <w:rPr>
          <w:rFonts w:ascii="Times New Roman" w:hAnsi="Times New Roman" w:eastAsia="仿宋" w:cs="Times New Roman"/>
          <w:color w:val="auto"/>
          <w:highlight w:val="none"/>
        </w:rPr>
      </w:pPr>
    </w:p>
    <w:p>
      <w:pPr>
        <w:ind w:firstLine="636" w:firstLineChars="200"/>
        <w:rPr>
          <w:rFonts w:ascii="Times New Roman" w:hAnsi="Times New Roman" w:eastAsia="仿宋" w:cs="Times New Roman"/>
          <w:color w:val="auto"/>
          <w:highlight w:val="none"/>
        </w:rPr>
      </w:pPr>
    </w:p>
    <w:p>
      <w:pPr>
        <w:ind w:firstLine="636" w:firstLineChars="200"/>
        <w:rPr>
          <w:rFonts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</w:t>
      </w:r>
      <w:r>
        <w:rPr>
          <w:rFonts w:hint="default"/>
          <w:sz w:val="28"/>
          <w:szCs w:val="28"/>
          <w:u w:val="single"/>
          <w:lang w:val="en-US"/>
        </w:rPr>
        <w:t xml:space="preserve">        </w:t>
      </w:r>
      <w:r>
        <w:rPr>
          <w:sz w:val="28"/>
          <w:szCs w:val="28"/>
          <w:u w:val="single"/>
        </w:rPr>
        <w:t xml:space="preserve">    </w:t>
      </w:r>
    </w:p>
    <w:p>
      <w:pPr>
        <w:pStyle w:val="24"/>
        <w:rPr>
          <w:rFonts w:asci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抄送：鹤岗市生态环境保护综合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执法局        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</w:t>
      </w:r>
    </w:p>
    <w:p>
      <w:pPr>
        <w:pStyle w:val="24"/>
        <w:rPr>
          <w:rFonts w:ascii="Times New Roman" w:eastAsia="仿宋" w:cs="Times New Roman"/>
          <w:color w:val="auto"/>
          <w:sz w:val="28"/>
          <w:szCs w:val="28"/>
          <w:highlight w:val="none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鹤岗市生态环境局办公室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2025年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DnqWmPBAQAAjQ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6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yt0c3CAQAAjQMAAA4AAABkcnMv&#10;ZTJvRG9jLnhtbK1TzY7TMBC+r8Q7WL5TZy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CYj14Dw7pCwcOkno45QUzGcUmE0bVRegz/vJevp&#10;L9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8rdHN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</w:pP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6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9"/>
  <w:drawingGridVerticalSpacing w:val="29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94BAD"/>
    <w:rsid w:val="000D5D03"/>
    <w:rsid w:val="000E76FE"/>
    <w:rsid w:val="000F585B"/>
    <w:rsid w:val="00113C81"/>
    <w:rsid w:val="00115013"/>
    <w:rsid w:val="001157AF"/>
    <w:rsid w:val="00122F4F"/>
    <w:rsid w:val="00126E42"/>
    <w:rsid w:val="00141313"/>
    <w:rsid w:val="00143D78"/>
    <w:rsid w:val="001629EA"/>
    <w:rsid w:val="001814FD"/>
    <w:rsid w:val="001A58ED"/>
    <w:rsid w:val="001A7342"/>
    <w:rsid w:val="001C34AA"/>
    <w:rsid w:val="001D41CE"/>
    <w:rsid w:val="001E1A93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26DD"/>
    <w:rsid w:val="00387211"/>
    <w:rsid w:val="00387813"/>
    <w:rsid w:val="00396A08"/>
    <w:rsid w:val="003C0881"/>
    <w:rsid w:val="003D5A1B"/>
    <w:rsid w:val="003D71C9"/>
    <w:rsid w:val="003F2664"/>
    <w:rsid w:val="00417872"/>
    <w:rsid w:val="00442A90"/>
    <w:rsid w:val="004511F0"/>
    <w:rsid w:val="00454BB7"/>
    <w:rsid w:val="0047114D"/>
    <w:rsid w:val="00475165"/>
    <w:rsid w:val="004819C5"/>
    <w:rsid w:val="004876D9"/>
    <w:rsid w:val="00492D3C"/>
    <w:rsid w:val="0049303C"/>
    <w:rsid w:val="004A5717"/>
    <w:rsid w:val="004B209A"/>
    <w:rsid w:val="004D00F6"/>
    <w:rsid w:val="004F6A8F"/>
    <w:rsid w:val="005107B8"/>
    <w:rsid w:val="005237D5"/>
    <w:rsid w:val="00531029"/>
    <w:rsid w:val="00531C53"/>
    <w:rsid w:val="00547C7B"/>
    <w:rsid w:val="00563517"/>
    <w:rsid w:val="00593C50"/>
    <w:rsid w:val="00595CEE"/>
    <w:rsid w:val="005A7510"/>
    <w:rsid w:val="005B1A60"/>
    <w:rsid w:val="005D5DF7"/>
    <w:rsid w:val="005F481F"/>
    <w:rsid w:val="00602D0F"/>
    <w:rsid w:val="006113F3"/>
    <w:rsid w:val="00623798"/>
    <w:rsid w:val="00631BE7"/>
    <w:rsid w:val="006409A7"/>
    <w:rsid w:val="00663D39"/>
    <w:rsid w:val="00681CB7"/>
    <w:rsid w:val="006A0590"/>
    <w:rsid w:val="006A25F8"/>
    <w:rsid w:val="006B619E"/>
    <w:rsid w:val="006C0E15"/>
    <w:rsid w:val="006C1BA6"/>
    <w:rsid w:val="006E757E"/>
    <w:rsid w:val="006F33B4"/>
    <w:rsid w:val="00701921"/>
    <w:rsid w:val="007029D4"/>
    <w:rsid w:val="00706933"/>
    <w:rsid w:val="00707948"/>
    <w:rsid w:val="00716EF0"/>
    <w:rsid w:val="0073011F"/>
    <w:rsid w:val="00764A0C"/>
    <w:rsid w:val="007712BA"/>
    <w:rsid w:val="007A3C09"/>
    <w:rsid w:val="007B7582"/>
    <w:rsid w:val="007E2289"/>
    <w:rsid w:val="007E4646"/>
    <w:rsid w:val="007F7B42"/>
    <w:rsid w:val="00810DB7"/>
    <w:rsid w:val="00830CF4"/>
    <w:rsid w:val="00834EB9"/>
    <w:rsid w:val="008B382B"/>
    <w:rsid w:val="008C5C47"/>
    <w:rsid w:val="008D77E0"/>
    <w:rsid w:val="008E19F9"/>
    <w:rsid w:val="008E4717"/>
    <w:rsid w:val="008E6258"/>
    <w:rsid w:val="008E6988"/>
    <w:rsid w:val="008E7FC9"/>
    <w:rsid w:val="009173B7"/>
    <w:rsid w:val="009235CB"/>
    <w:rsid w:val="009518D0"/>
    <w:rsid w:val="00954931"/>
    <w:rsid w:val="00963E6F"/>
    <w:rsid w:val="00967F4B"/>
    <w:rsid w:val="0097618F"/>
    <w:rsid w:val="00983E24"/>
    <w:rsid w:val="009B2E15"/>
    <w:rsid w:val="009B6860"/>
    <w:rsid w:val="009B6EC2"/>
    <w:rsid w:val="009C512B"/>
    <w:rsid w:val="00A156F2"/>
    <w:rsid w:val="00A26496"/>
    <w:rsid w:val="00A276EA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9554C"/>
    <w:rsid w:val="00AA0923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57649"/>
    <w:rsid w:val="00B81083"/>
    <w:rsid w:val="00B95B77"/>
    <w:rsid w:val="00BB0975"/>
    <w:rsid w:val="00BB7B3C"/>
    <w:rsid w:val="00BD007D"/>
    <w:rsid w:val="00BD0D4E"/>
    <w:rsid w:val="00BD313F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72A29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678BC"/>
    <w:rsid w:val="00E73AEA"/>
    <w:rsid w:val="00E74BFF"/>
    <w:rsid w:val="00E75589"/>
    <w:rsid w:val="00E75D5A"/>
    <w:rsid w:val="00E8010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52E5B"/>
    <w:rsid w:val="00F607CD"/>
    <w:rsid w:val="00F62EAB"/>
    <w:rsid w:val="00F947B1"/>
    <w:rsid w:val="00FC3039"/>
    <w:rsid w:val="00FD4999"/>
    <w:rsid w:val="00FE3333"/>
    <w:rsid w:val="00FE6283"/>
    <w:rsid w:val="00FF387A"/>
    <w:rsid w:val="0176597C"/>
    <w:rsid w:val="0204567E"/>
    <w:rsid w:val="02104022"/>
    <w:rsid w:val="02746BAB"/>
    <w:rsid w:val="038827BB"/>
    <w:rsid w:val="03990047"/>
    <w:rsid w:val="03993BA4"/>
    <w:rsid w:val="0453580C"/>
    <w:rsid w:val="049050FF"/>
    <w:rsid w:val="04D4373D"/>
    <w:rsid w:val="05047477"/>
    <w:rsid w:val="05047743"/>
    <w:rsid w:val="051F459A"/>
    <w:rsid w:val="05557E7B"/>
    <w:rsid w:val="05721DB6"/>
    <w:rsid w:val="05A056BD"/>
    <w:rsid w:val="05F34089"/>
    <w:rsid w:val="061E7D1D"/>
    <w:rsid w:val="06FD22CC"/>
    <w:rsid w:val="070C68A4"/>
    <w:rsid w:val="07726BE5"/>
    <w:rsid w:val="07822424"/>
    <w:rsid w:val="07987B4D"/>
    <w:rsid w:val="07A20C76"/>
    <w:rsid w:val="07BF7737"/>
    <w:rsid w:val="08004547"/>
    <w:rsid w:val="08170E80"/>
    <w:rsid w:val="086C4A85"/>
    <w:rsid w:val="087C361B"/>
    <w:rsid w:val="08AF79C5"/>
    <w:rsid w:val="08CE609D"/>
    <w:rsid w:val="08F74B15"/>
    <w:rsid w:val="09896468"/>
    <w:rsid w:val="09972933"/>
    <w:rsid w:val="09DD6F83"/>
    <w:rsid w:val="09F63AFE"/>
    <w:rsid w:val="0A026946"/>
    <w:rsid w:val="0A1026E6"/>
    <w:rsid w:val="0A5E7A20"/>
    <w:rsid w:val="0AA01CBB"/>
    <w:rsid w:val="0AAA48E8"/>
    <w:rsid w:val="0AAC2099"/>
    <w:rsid w:val="0AD6392F"/>
    <w:rsid w:val="0ADE5034"/>
    <w:rsid w:val="0B204BAA"/>
    <w:rsid w:val="0B353CEA"/>
    <w:rsid w:val="0B5D7E1C"/>
    <w:rsid w:val="0B953AA9"/>
    <w:rsid w:val="0B9C7CB6"/>
    <w:rsid w:val="0BEF5615"/>
    <w:rsid w:val="0BFA53FB"/>
    <w:rsid w:val="0BFD01B5"/>
    <w:rsid w:val="0C37664F"/>
    <w:rsid w:val="0CCA7230"/>
    <w:rsid w:val="0D183D8B"/>
    <w:rsid w:val="0DE25BA1"/>
    <w:rsid w:val="0DEA5A2D"/>
    <w:rsid w:val="0E0A401C"/>
    <w:rsid w:val="0E2D7D0A"/>
    <w:rsid w:val="0E4057D4"/>
    <w:rsid w:val="0E483041"/>
    <w:rsid w:val="0E794CFD"/>
    <w:rsid w:val="0EA31D7A"/>
    <w:rsid w:val="0ED31318"/>
    <w:rsid w:val="0ED40186"/>
    <w:rsid w:val="0EEA4470"/>
    <w:rsid w:val="0F022F45"/>
    <w:rsid w:val="0F0E3698"/>
    <w:rsid w:val="0F637C9A"/>
    <w:rsid w:val="0F67754E"/>
    <w:rsid w:val="0FEB5787"/>
    <w:rsid w:val="0FFA1E6E"/>
    <w:rsid w:val="106E2027"/>
    <w:rsid w:val="10830848"/>
    <w:rsid w:val="10B14C22"/>
    <w:rsid w:val="10FB77B6"/>
    <w:rsid w:val="112F5B47"/>
    <w:rsid w:val="11360C84"/>
    <w:rsid w:val="11AF0294"/>
    <w:rsid w:val="12152E0E"/>
    <w:rsid w:val="121F3E0E"/>
    <w:rsid w:val="122136E2"/>
    <w:rsid w:val="12EA5237"/>
    <w:rsid w:val="13247BA2"/>
    <w:rsid w:val="137B1518"/>
    <w:rsid w:val="13A4281C"/>
    <w:rsid w:val="13AF47AA"/>
    <w:rsid w:val="13C54541"/>
    <w:rsid w:val="13C609E5"/>
    <w:rsid w:val="142A7EF5"/>
    <w:rsid w:val="145E4D9D"/>
    <w:rsid w:val="1461070D"/>
    <w:rsid w:val="14CD5DA3"/>
    <w:rsid w:val="155A25DD"/>
    <w:rsid w:val="15AA42C0"/>
    <w:rsid w:val="15D60D05"/>
    <w:rsid w:val="15DB004C"/>
    <w:rsid w:val="162A19E8"/>
    <w:rsid w:val="16870F53"/>
    <w:rsid w:val="169E4C25"/>
    <w:rsid w:val="16BE59A3"/>
    <w:rsid w:val="16DA0303"/>
    <w:rsid w:val="16FA64D1"/>
    <w:rsid w:val="1715128F"/>
    <w:rsid w:val="175D5335"/>
    <w:rsid w:val="17897594"/>
    <w:rsid w:val="17BB6387"/>
    <w:rsid w:val="182E4DAB"/>
    <w:rsid w:val="182F02A6"/>
    <w:rsid w:val="18453C06"/>
    <w:rsid w:val="18722EE9"/>
    <w:rsid w:val="18770500"/>
    <w:rsid w:val="189866C8"/>
    <w:rsid w:val="18EE62E8"/>
    <w:rsid w:val="19031D93"/>
    <w:rsid w:val="193F76FB"/>
    <w:rsid w:val="197467ED"/>
    <w:rsid w:val="19AB5B56"/>
    <w:rsid w:val="19AF7825"/>
    <w:rsid w:val="19B968F6"/>
    <w:rsid w:val="19D454DE"/>
    <w:rsid w:val="19DD6C02"/>
    <w:rsid w:val="19E82FAA"/>
    <w:rsid w:val="1A366198"/>
    <w:rsid w:val="1A635CBD"/>
    <w:rsid w:val="1A642D06"/>
    <w:rsid w:val="1A736AA5"/>
    <w:rsid w:val="1A7F18ED"/>
    <w:rsid w:val="1A8E5D71"/>
    <w:rsid w:val="1AA36A47"/>
    <w:rsid w:val="1AA55807"/>
    <w:rsid w:val="1AC23FF4"/>
    <w:rsid w:val="1AE166D7"/>
    <w:rsid w:val="1AFC2F3E"/>
    <w:rsid w:val="1B152FFB"/>
    <w:rsid w:val="1B1A1616"/>
    <w:rsid w:val="1B5932E2"/>
    <w:rsid w:val="1B9F33B2"/>
    <w:rsid w:val="1BB16DE5"/>
    <w:rsid w:val="1BB6133F"/>
    <w:rsid w:val="1BBC0C21"/>
    <w:rsid w:val="1BF2581B"/>
    <w:rsid w:val="1C154A61"/>
    <w:rsid w:val="1C3F5AF9"/>
    <w:rsid w:val="1CA426C6"/>
    <w:rsid w:val="1CBF5FD1"/>
    <w:rsid w:val="1CF919E9"/>
    <w:rsid w:val="1D540E0F"/>
    <w:rsid w:val="1DAF4B38"/>
    <w:rsid w:val="1DE07D6B"/>
    <w:rsid w:val="1E3B72C3"/>
    <w:rsid w:val="1E4C5F8A"/>
    <w:rsid w:val="1E9F2810"/>
    <w:rsid w:val="1F204D21"/>
    <w:rsid w:val="1F444EB4"/>
    <w:rsid w:val="1FB150B2"/>
    <w:rsid w:val="1FC43893"/>
    <w:rsid w:val="1FEA0ECB"/>
    <w:rsid w:val="200D1101"/>
    <w:rsid w:val="202075C8"/>
    <w:rsid w:val="204E3A45"/>
    <w:rsid w:val="20895274"/>
    <w:rsid w:val="20DD54BB"/>
    <w:rsid w:val="20E16BB1"/>
    <w:rsid w:val="213F5933"/>
    <w:rsid w:val="21845A3B"/>
    <w:rsid w:val="21AF3D65"/>
    <w:rsid w:val="21C05F87"/>
    <w:rsid w:val="21CF3CFA"/>
    <w:rsid w:val="21E00964"/>
    <w:rsid w:val="21F11323"/>
    <w:rsid w:val="21F66939"/>
    <w:rsid w:val="22327245"/>
    <w:rsid w:val="224345D8"/>
    <w:rsid w:val="227E06DD"/>
    <w:rsid w:val="2281696D"/>
    <w:rsid w:val="22B42340"/>
    <w:rsid w:val="23971A56"/>
    <w:rsid w:val="23F4556C"/>
    <w:rsid w:val="24444F16"/>
    <w:rsid w:val="246D3963"/>
    <w:rsid w:val="24906390"/>
    <w:rsid w:val="24A81A41"/>
    <w:rsid w:val="24CF6FCD"/>
    <w:rsid w:val="25140E84"/>
    <w:rsid w:val="25A007B7"/>
    <w:rsid w:val="25D56865"/>
    <w:rsid w:val="265806C1"/>
    <w:rsid w:val="26675289"/>
    <w:rsid w:val="26740622"/>
    <w:rsid w:val="26AF355A"/>
    <w:rsid w:val="26C4679B"/>
    <w:rsid w:val="2702368A"/>
    <w:rsid w:val="27147861"/>
    <w:rsid w:val="27391565"/>
    <w:rsid w:val="274E68CF"/>
    <w:rsid w:val="27817354"/>
    <w:rsid w:val="27846872"/>
    <w:rsid w:val="27C54CBE"/>
    <w:rsid w:val="281F201A"/>
    <w:rsid w:val="28447ADD"/>
    <w:rsid w:val="28C8445F"/>
    <w:rsid w:val="28FB134B"/>
    <w:rsid w:val="29382CA5"/>
    <w:rsid w:val="293D6BFB"/>
    <w:rsid w:val="296022B4"/>
    <w:rsid w:val="2961005D"/>
    <w:rsid w:val="296879F1"/>
    <w:rsid w:val="297665B1"/>
    <w:rsid w:val="297939AC"/>
    <w:rsid w:val="29EC23D0"/>
    <w:rsid w:val="29F77B83"/>
    <w:rsid w:val="2A0D1E04"/>
    <w:rsid w:val="2A524FC5"/>
    <w:rsid w:val="2A7725E1"/>
    <w:rsid w:val="2AA131BA"/>
    <w:rsid w:val="2ACC227C"/>
    <w:rsid w:val="2ACE1A9F"/>
    <w:rsid w:val="2AD6263E"/>
    <w:rsid w:val="2B65243A"/>
    <w:rsid w:val="2B6640B7"/>
    <w:rsid w:val="2BC76C50"/>
    <w:rsid w:val="2BFA7365"/>
    <w:rsid w:val="2C14554A"/>
    <w:rsid w:val="2C2D7EEF"/>
    <w:rsid w:val="2C4464F3"/>
    <w:rsid w:val="2D395873"/>
    <w:rsid w:val="2DB142C8"/>
    <w:rsid w:val="2DB15E0A"/>
    <w:rsid w:val="2E0F081B"/>
    <w:rsid w:val="2E492A00"/>
    <w:rsid w:val="2E4A4E66"/>
    <w:rsid w:val="2E5844D8"/>
    <w:rsid w:val="2E620EB2"/>
    <w:rsid w:val="2EF97A69"/>
    <w:rsid w:val="2F062BB5"/>
    <w:rsid w:val="2F103B63"/>
    <w:rsid w:val="2F4A7FA4"/>
    <w:rsid w:val="2F8D01B1"/>
    <w:rsid w:val="2F9E5130"/>
    <w:rsid w:val="2FAA0D63"/>
    <w:rsid w:val="30405223"/>
    <w:rsid w:val="307153DD"/>
    <w:rsid w:val="30826DBC"/>
    <w:rsid w:val="309C4B4F"/>
    <w:rsid w:val="309E4D64"/>
    <w:rsid w:val="30A9101A"/>
    <w:rsid w:val="30C365CE"/>
    <w:rsid w:val="30CE6CD3"/>
    <w:rsid w:val="310B75DF"/>
    <w:rsid w:val="31540F86"/>
    <w:rsid w:val="316E6914"/>
    <w:rsid w:val="31796C3F"/>
    <w:rsid w:val="31853515"/>
    <w:rsid w:val="31C3610C"/>
    <w:rsid w:val="31F75DB5"/>
    <w:rsid w:val="3264770D"/>
    <w:rsid w:val="327A02F8"/>
    <w:rsid w:val="32935ADE"/>
    <w:rsid w:val="329F4D04"/>
    <w:rsid w:val="33837901"/>
    <w:rsid w:val="340E48AD"/>
    <w:rsid w:val="34346E4D"/>
    <w:rsid w:val="34637732"/>
    <w:rsid w:val="34776692"/>
    <w:rsid w:val="350902DA"/>
    <w:rsid w:val="35584DBD"/>
    <w:rsid w:val="356C6F31"/>
    <w:rsid w:val="35810B4A"/>
    <w:rsid w:val="35917DCF"/>
    <w:rsid w:val="36222796"/>
    <w:rsid w:val="36833E7C"/>
    <w:rsid w:val="36A04C6E"/>
    <w:rsid w:val="373B04F2"/>
    <w:rsid w:val="37811163"/>
    <w:rsid w:val="37D05521"/>
    <w:rsid w:val="37EF12F0"/>
    <w:rsid w:val="380803DD"/>
    <w:rsid w:val="38531716"/>
    <w:rsid w:val="391D4354"/>
    <w:rsid w:val="39525C37"/>
    <w:rsid w:val="397F2258"/>
    <w:rsid w:val="39AC559E"/>
    <w:rsid w:val="39F8112F"/>
    <w:rsid w:val="3A066B7D"/>
    <w:rsid w:val="3A592FEA"/>
    <w:rsid w:val="3A593C39"/>
    <w:rsid w:val="3AC56A51"/>
    <w:rsid w:val="3AD73BAB"/>
    <w:rsid w:val="3B1802ED"/>
    <w:rsid w:val="3B385475"/>
    <w:rsid w:val="3C02543A"/>
    <w:rsid w:val="3C1275F2"/>
    <w:rsid w:val="3C5F6722"/>
    <w:rsid w:val="3C636521"/>
    <w:rsid w:val="3CCD5525"/>
    <w:rsid w:val="3CE63FEE"/>
    <w:rsid w:val="3D3D6D72"/>
    <w:rsid w:val="3D9170BE"/>
    <w:rsid w:val="3DC6320C"/>
    <w:rsid w:val="3E063608"/>
    <w:rsid w:val="3E412892"/>
    <w:rsid w:val="3E8246A6"/>
    <w:rsid w:val="3E8B6203"/>
    <w:rsid w:val="3E9254E9"/>
    <w:rsid w:val="3E9B4378"/>
    <w:rsid w:val="3E9C5D1B"/>
    <w:rsid w:val="3ECD7501"/>
    <w:rsid w:val="3F152A8D"/>
    <w:rsid w:val="3F426DA7"/>
    <w:rsid w:val="3F4940F4"/>
    <w:rsid w:val="3F9115F7"/>
    <w:rsid w:val="3FBD063E"/>
    <w:rsid w:val="3FC83F84"/>
    <w:rsid w:val="3FF335F9"/>
    <w:rsid w:val="3FFB4CC3"/>
    <w:rsid w:val="40230997"/>
    <w:rsid w:val="40307062"/>
    <w:rsid w:val="411D5025"/>
    <w:rsid w:val="415E1D4E"/>
    <w:rsid w:val="4199034E"/>
    <w:rsid w:val="41BF069E"/>
    <w:rsid w:val="41CA7043"/>
    <w:rsid w:val="41EA1493"/>
    <w:rsid w:val="420E7F0F"/>
    <w:rsid w:val="4230127B"/>
    <w:rsid w:val="42332AFF"/>
    <w:rsid w:val="42A23F97"/>
    <w:rsid w:val="42F04887"/>
    <w:rsid w:val="431C15B7"/>
    <w:rsid w:val="432A7D99"/>
    <w:rsid w:val="43544E16"/>
    <w:rsid w:val="4356591B"/>
    <w:rsid w:val="43AE4775"/>
    <w:rsid w:val="43D1290A"/>
    <w:rsid w:val="445D419E"/>
    <w:rsid w:val="446A6A62"/>
    <w:rsid w:val="44731FFA"/>
    <w:rsid w:val="44C77869"/>
    <w:rsid w:val="44CC6C2E"/>
    <w:rsid w:val="451D2CC3"/>
    <w:rsid w:val="4541761C"/>
    <w:rsid w:val="454B20CD"/>
    <w:rsid w:val="456F6138"/>
    <w:rsid w:val="45703A5D"/>
    <w:rsid w:val="45BC6CA2"/>
    <w:rsid w:val="45DE130F"/>
    <w:rsid w:val="461F178B"/>
    <w:rsid w:val="461F39FC"/>
    <w:rsid w:val="46523B3D"/>
    <w:rsid w:val="465A58D2"/>
    <w:rsid w:val="46630064"/>
    <w:rsid w:val="46641814"/>
    <w:rsid w:val="467852BF"/>
    <w:rsid w:val="46F457D9"/>
    <w:rsid w:val="46F54270"/>
    <w:rsid w:val="472356EA"/>
    <w:rsid w:val="477723DE"/>
    <w:rsid w:val="477C0DDF"/>
    <w:rsid w:val="477D241F"/>
    <w:rsid w:val="47AD3C75"/>
    <w:rsid w:val="47DC362C"/>
    <w:rsid w:val="47EB6325"/>
    <w:rsid w:val="48742855"/>
    <w:rsid w:val="48A91760"/>
    <w:rsid w:val="49CD76D0"/>
    <w:rsid w:val="4A0206BC"/>
    <w:rsid w:val="4A03390B"/>
    <w:rsid w:val="4A737E5A"/>
    <w:rsid w:val="4A7E6C1C"/>
    <w:rsid w:val="4AD3350B"/>
    <w:rsid w:val="4B5B1C30"/>
    <w:rsid w:val="4B751DCD"/>
    <w:rsid w:val="4BE551A5"/>
    <w:rsid w:val="4C0C69B9"/>
    <w:rsid w:val="4C3B41F0"/>
    <w:rsid w:val="4C7E4FE3"/>
    <w:rsid w:val="4C9D42BA"/>
    <w:rsid w:val="4CC0176E"/>
    <w:rsid w:val="4CD11285"/>
    <w:rsid w:val="4CFB3D3F"/>
    <w:rsid w:val="4D3006A2"/>
    <w:rsid w:val="4D7A6ECD"/>
    <w:rsid w:val="4DC91768"/>
    <w:rsid w:val="4DE046EE"/>
    <w:rsid w:val="4E832A53"/>
    <w:rsid w:val="4ED542E0"/>
    <w:rsid w:val="4F2A14D9"/>
    <w:rsid w:val="4F5E6588"/>
    <w:rsid w:val="4F797EA5"/>
    <w:rsid w:val="4F7F146C"/>
    <w:rsid w:val="500E7477"/>
    <w:rsid w:val="50120532"/>
    <w:rsid w:val="50974594"/>
    <w:rsid w:val="51627BA7"/>
    <w:rsid w:val="51CB46D7"/>
    <w:rsid w:val="5268443A"/>
    <w:rsid w:val="5283236A"/>
    <w:rsid w:val="529C40E3"/>
    <w:rsid w:val="52D65847"/>
    <w:rsid w:val="52DB2E5E"/>
    <w:rsid w:val="536D37BA"/>
    <w:rsid w:val="53A5346C"/>
    <w:rsid w:val="53B4545D"/>
    <w:rsid w:val="53D14261"/>
    <w:rsid w:val="53F02939"/>
    <w:rsid w:val="540041D6"/>
    <w:rsid w:val="54322F51"/>
    <w:rsid w:val="545F207B"/>
    <w:rsid w:val="54A8797E"/>
    <w:rsid w:val="55083CB2"/>
    <w:rsid w:val="5560764A"/>
    <w:rsid w:val="55CC1183"/>
    <w:rsid w:val="56024E9F"/>
    <w:rsid w:val="562E70CC"/>
    <w:rsid w:val="568D0913"/>
    <w:rsid w:val="568F468B"/>
    <w:rsid w:val="569C2885"/>
    <w:rsid w:val="569D0B54"/>
    <w:rsid w:val="56B931C0"/>
    <w:rsid w:val="56BF65F2"/>
    <w:rsid w:val="56DA4920"/>
    <w:rsid w:val="57626946"/>
    <w:rsid w:val="579022DB"/>
    <w:rsid w:val="580A3E39"/>
    <w:rsid w:val="58144E4D"/>
    <w:rsid w:val="583C7BCE"/>
    <w:rsid w:val="589C308F"/>
    <w:rsid w:val="58B54151"/>
    <w:rsid w:val="59360D56"/>
    <w:rsid w:val="596671F9"/>
    <w:rsid w:val="59B62A03"/>
    <w:rsid w:val="59D86349"/>
    <w:rsid w:val="5ABB5323"/>
    <w:rsid w:val="5ABE35D2"/>
    <w:rsid w:val="5AC33ACC"/>
    <w:rsid w:val="5B7824FF"/>
    <w:rsid w:val="5B9938B6"/>
    <w:rsid w:val="5C433822"/>
    <w:rsid w:val="5CDB40AA"/>
    <w:rsid w:val="5CE15514"/>
    <w:rsid w:val="5CEC0183"/>
    <w:rsid w:val="5CF039A9"/>
    <w:rsid w:val="5CFF5308"/>
    <w:rsid w:val="5D8A5BAC"/>
    <w:rsid w:val="5DAA635A"/>
    <w:rsid w:val="5DB93D9B"/>
    <w:rsid w:val="5DBF70F0"/>
    <w:rsid w:val="5E47553D"/>
    <w:rsid w:val="5E4C3712"/>
    <w:rsid w:val="5E8C5954"/>
    <w:rsid w:val="5E9B5B97"/>
    <w:rsid w:val="5F066A42"/>
    <w:rsid w:val="5F507610"/>
    <w:rsid w:val="5F5C0237"/>
    <w:rsid w:val="5FD140AE"/>
    <w:rsid w:val="600E4496"/>
    <w:rsid w:val="602D1570"/>
    <w:rsid w:val="604F09E7"/>
    <w:rsid w:val="607D5554"/>
    <w:rsid w:val="60C018E5"/>
    <w:rsid w:val="60F2549E"/>
    <w:rsid w:val="60FA0DBC"/>
    <w:rsid w:val="611A0CDF"/>
    <w:rsid w:val="61226487"/>
    <w:rsid w:val="616B39BC"/>
    <w:rsid w:val="61856F4B"/>
    <w:rsid w:val="61BF4E97"/>
    <w:rsid w:val="621C430B"/>
    <w:rsid w:val="62277B4D"/>
    <w:rsid w:val="62B729D3"/>
    <w:rsid w:val="62F53AC8"/>
    <w:rsid w:val="6318012F"/>
    <w:rsid w:val="63273E9D"/>
    <w:rsid w:val="637B7D03"/>
    <w:rsid w:val="63AA7818"/>
    <w:rsid w:val="64432611"/>
    <w:rsid w:val="64724786"/>
    <w:rsid w:val="64C73242"/>
    <w:rsid w:val="65152165"/>
    <w:rsid w:val="65554CF2"/>
    <w:rsid w:val="657A6506"/>
    <w:rsid w:val="658D7E7B"/>
    <w:rsid w:val="65A11CE5"/>
    <w:rsid w:val="65E122AF"/>
    <w:rsid w:val="66134F89"/>
    <w:rsid w:val="66613222"/>
    <w:rsid w:val="669C06FE"/>
    <w:rsid w:val="669E79CB"/>
    <w:rsid w:val="66C04FAC"/>
    <w:rsid w:val="66E83770"/>
    <w:rsid w:val="67185FD7"/>
    <w:rsid w:val="678C42CF"/>
    <w:rsid w:val="67BD3643"/>
    <w:rsid w:val="67C1041C"/>
    <w:rsid w:val="67E90825"/>
    <w:rsid w:val="68016A6B"/>
    <w:rsid w:val="6837462A"/>
    <w:rsid w:val="68EC15C7"/>
    <w:rsid w:val="69002BC8"/>
    <w:rsid w:val="6905514C"/>
    <w:rsid w:val="69951B60"/>
    <w:rsid w:val="69A17E26"/>
    <w:rsid w:val="69EC54F9"/>
    <w:rsid w:val="6A6B28C1"/>
    <w:rsid w:val="6B15282D"/>
    <w:rsid w:val="6B5131AB"/>
    <w:rsid w:val="6B5C220A"/>
    <w:rsid w:val="6B5E2426"/>
    <w:rsid w:val="6BBF7075"/>
    <w:rsid w:val="6BDF302E"/>
    <w:rsid w:val="6CA976D1"/>
    <w:rsid w:val="6CD87E10"/>
    <w:rsid w:val="6D022E5D"/>
    <w:rsid w:val="6D3F07B7"/>
    <w:rsid w:val="6D4A4A10"/>
    <w:rsid w:val="6D5812D3"/>
    <w:rsid w:val="6D5E1D6B"/>
    <w:rsid w:val="6D8F68C7"/>
    <w:rsid w:val="6DCC3677"/>
    <w:rsid w:val="6DFA4688"/>
    <w:rsid w:val="6DFE2388"/>
    <w:rsid w:val="6E535B46"/>
    <w:rsid w:val="6E8D2F0F"/>
    <w:rsid w:val="6E920CE8"/>
    <w:rsid w:val="6E963C85"/>
    <w:rsid w:val="6E97346F"/>
    <w:rsid w:val="6EC737DF"/>
    <w:rsid w:val="6EDC5B3C"/>
    <w:rsid w:val="6EEF4207"/>
    <w:rsid w:val="6FEF5BAA"/>
    <w:rsid w:val="704C4F43"/>
    <w:rsid w:val="70CB2F29"/>
    <w:rsid w:val="70F80C27"/>
    <w:rsid w:val="7104137A"/>
    <w:rsid w:val="716B764B"/>
    <w:rsid w:val="717F71A8"/>
    <w:rsid w:val="72152FA4"/>
    <w:rsid w:val="729C0195"/>
    <w:rsid w:val="72A17E94"/>
    <w:rsid w:val="72D31EF4"/>
    <w:rsid w:val="72ED47BB"/>
    <w:rsid w:val="732C6966"/>
    <w:rsid w:val="734939BC"/>
    <w:rsid w:val="737F118B"/>
    <w:rsid w:val="738E13CF"/>
    <w:rsid w:val="73B40E35"/>
    <w:rsid w:val="73DE2937"/>
    <w:rsid w:val="73E07E7C"/>
    <w:rsid w:val="740718AD"/>
    <w:rsid w:val="74125E4D"/>
    <w:rsid w:val="7432235B"/>
    <w:rsid w:val="74711145"/>
    <w:rsid w:val="747D0D73"/>
    <w:rsid w:val="74D214FB"/>
    <w:rsid w:val="74DF0134"/>
    <w:rsid w:val="74EE481B"/>
    <w:rsid w:val="75431C52"/>
    <w:rsid w:val="759470DB"/>
    <w:rsid w:val="759929D8"/>
    <w:rsid w:val="7615DA25"/>
    <w:rsid w:val="762B5982"/>
    <w:rsid w:val="769B7323"/>
    <w:rsid w:val="772E46CC"/>
    <w:rsid w:val="773974BF"/>
    <w:rsid w:val="775A7F45"/>
    <w:rsid w:val="778F713D"/>
    <w:rsid w:val="77BA54AF"/>
    <w:rsid w:val="77C12F64"/>
    <w:rsid w:val="78245850"/>
    <w:rsid w:val="78633C65"/>
    <w:rsid w:val="78AA7075"/>
    <w:rsid w:val="78B964E3"/>
    <w:rsid w:val="797352EE"/>
    <w:rsid w:val="79B47801"/>
    <w:rsid w:val="79BF0534"/>
    <w:rsid w:val="79D71567"/>
    <w:rsid w:val="79FC52E4"/>
    <w:rsid w:val="79FF4DD4"/>
    <w:rsid w:val="7A3A04C5"/>
    <w:rsid w:val="7A6C1402"/>
    <w:rsid w:val="7A7960D6"/>
    <w:rsid w:val="7A835A05"/>
    <w:rsid w:val="7B034450"/>
    <w:rsid w:val="7B2C39A7"/>
    <w:rsid w:val="7B3D2EC1"/>
    <w:rsid w:val="7B4378BA"/>
    <w:rsid w:val="7B4539C4"/>
    <w:rsid w:val="7B971768"/>
    <w:rsid w:val="7BA40029"/>
    <w:rsid w:val="7BB87930"/>
    <w:rsid w:val="7C26471C"/>
    <w:rsid w:val="7D1818C9"/>
    <w:rsid w:val="7DAF7279"/>
    <w:rsid w:val="7DDA2CEF"/>
    <w:rsid w:val="7EAF501B"/>
    <w:rsid w:val="7EF54E7A"/>
    <w:rsid w:val="7EFF878E"/>
    <w:rsid w:val="7F7EEA3E"/>
    <w:rsid w:val="7F923E7B"/>
    <w:rsid w:val="7FDF64A1"/>
    <w:rsid w:val="7FE62C9E"/>
    <w:rsid w:val="D1C75F1D"/>
    <w:rsid w:val="DB8EA66D"/>
    <w:rsid w:val="ECDEEC2E"/>
    <w:rsid w:val="EF4A1613"/>
    <w:rsid w:val="FFBCF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jc w:val="center"/>
    </w:pPr>
    <w:rPr>
      <w:b/>
      <w:kern w:val="0"/>
      <w:sz w:val="44"/>
      <w:szCs w:val="4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szCs w:val="24"/>
    </w:rPr>
  </w:style>
  <w:style w:type="paragraph" w:styleId="12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eastAsia="宋体"/>
      <w:sz w:val="24"/>
    </w:rPr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5"/>
    <w:next w:val="1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Normal (Web)1"/>
    <w:basedOn w:val="1"/>
    <w:next w:val="23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23">
    <w:name w:val="Date1"/>
    <w:basedOn w:val="1"/>
    <w:next w:val="1"/>
    <w:qFormat/>
    <w:uiPriority w:val="0"/>
    <w:pPr>
      <w:ind w:left="2500" w:leftChars="2500"/>
    </w:pPr>
  </w:style>
  <w:style w:type="paragraph" w:customStyle="1" w:styleId="24">
    <w:name w:val="Default"/>
    <w:basedOn w:val="25"/>
    <w:next w:val="1"/>
    <w:qFormat/>
    <w:uiPriority w:val="99"/>
    <w:pPr>
      <w:autoSpaceDE w:val="0"/>
      <w:autoSpaceDN w:val="0"/>
    </w:pPr>
    <w:rPr>
      <w:rFonts w:hAnsi="Times New Roman" w:cs="宋体"/>
      <w:color w:val="000000"/>
      <w:szCs w:val="24"/>
    </w:rPr>
  </w:style>
  <w:style w:type="paragraph" w:customStyle="1" w:styleId="25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26">
    <w:name w:val="baby-正文"/>
    <w:basedOn w:val="5"/>
    <w:next w:val="8"/>
    <w:qFormat/>
    <w:uiPriority w:val="0"/>
    <w:rPr>
      <w:rFonts w:ascii="仿宋_GB2312" w:hAnsi="宋体"/>
      <w:bCs/>
      <w:kern w:val="2"/>
      <w:sz w:val="30"/>
      <w:szCs w:val="24"/>
    </w:rPr>
  </w:style>
  <w:style w:type="paragraph" w:customStyle="1" w:styleId="27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</w:rPr>
  </w:style>
  <w:style w:type="paragraph" w:customStyle="1" w:styleId="28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2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0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1">
    <w:name w:val="正文（首行缩进两字） Char"/>
    <w:basedOn w:val="1"/>
    <w:qFormat/>
    <w:uiPriority w:val="0"/>
    <w:pPr>
      <w:widowControl/>
      <w:spacing w:line="360" w:lineRule="auto"/>
      <w:ind w:firstLine="420"/>
    </w:pPr>
    <w:rPr>
      <w:szCs w:val="20"/>
    </w:rPr>
  </w:style>
  <w:style w:type="paragraph" w:customStyle="1" w:styleId="32">
    <w:name w:val="正文文字缩进1"/>
    <w:basedOn w:val="7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3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4">
    <w:name w:val="C首行缩进正文"/>
    <w:basedOn w:val="33"/>
    <w:qFormat/>
    <w:uiPriority w:val="0"/>
    <w:rPr>
      <w:sz w:val="21"/>
    </w:rPr>
  </w:style>
  <w:style w:type="character" w:customStyle="1" w:styleId="35">
    <w:name w:val="[1]正文 Char Char"/>
    <w:basedOn w:val="18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1664</Words>
  <Characters>1794</Characters>
  <Lines>24</Lines>
  <Paragraphs>6</Paragraphs>
  <TotalTime>6</TotalTime>
  <ScaleCrop>false</ScaleCrop>
  <LinksUpToDate>false</LinksUpToDate>
  <CharactersWithSpaces>1918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2022-07-25T09:06:00Z</dcterms:created>
  <dc:creator>Oo。.</dc:creator>
  <cp:lastModifiedBy>殊途同归</cp:lastModifiedBy>
  <cp:lastPrinted>2025-09-19T07:12:00Z</cp:lastPrinted>
  <dcterms:modified xsi:type="dcterms:W3CDTF">2025-10-31T09:42:38Z</dcterms:modified>
  <dc:title>鹤环法〔2015〕Z03号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E526A4B0F910E1060E140469CB9C0457_43</vt:lpwstr>
  </property>
  <property fmtid="{D5CDD505-2E9C-101B-9397-08002B2CF9AE}" pid="3" name="KSOProductBuildVer">
    <vt:lpwstr>2052-12.8.2.1112</vt:lpwstr>
  </property>
  <property fmtid="{D5CDD505-2E9C-101B-9397-08002B2CF9AE}" pid="4" name="KSOTemplateDocerSaveRecord">
    <vt:lpwstr>eyJoZGlkIjoiYmE0NTM4OWJiYWJmODgzODUwMjgyNzg2MTdlYWJjMDAiLCJ1c2VySWQiOiIxMTQzMjk3NzAyIn0=</vt:lpwstr>
  </property>
</Properties>
</file>