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2"/>
          <w:szCs w:val="32"/>
        </w:rPr>
        <w:t>兴安区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2"/>
          <w:szCs w:val="32"/>
          <w:lang w:eastAsia="zh-CN"/>
        </w:rPr>
        <w:t>退役军人事务局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2"/>
          <w:szCs w:val="32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2"/>
          <w:szCs w:val="32"/>
        </w:rPr>
        <w:t>年度政府信息公开报告</w:t>
      </w:r>
    </w:p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32"/>
          <w:szCs w:val="32"/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right="0" w:firstLine="560"/>
        <w:jc w:val="left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兴安区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退役军人事务局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根据《中华人民共和国政府信息公开条例》和《关于做好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年度政府信息公开工作年度报告公开工作的通知》要求，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领导高度重视，精心安排和部署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、突出重点、有序推进，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能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及时、准确地向社会公开信息，依法保障了人民群众的知情权、参与权和监督权。本年度报告中所列数据的统计期限从20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年1月1日起至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2020年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12月31日。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鹤岗市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兴安区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退役军人事务局成立于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到现在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始终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按照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政府统一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部署，全面推进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退役军人工作有序开展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，扎实做好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本部门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政务信息公开工作，不断推进政府信息公开工作，努力提高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我区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退役军人事务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发展的质量和水平。为方便退役军人及烈属，我局于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2019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成立了退役军人服务中心，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进一步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提高办事效率给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人员配备了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打印机、复印机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扫描仪及电脑办公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设备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同时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上级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文件要求，设立事业编制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名。我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退役军人服务中心现有工作人员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名（事业编），严格按照工作制度正常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开展工作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兴安区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退役军人事务局认真落实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政府制定的各项政策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措施，突出政府“窗口”的服务职能，认真实践“便民利民”的服务宗旨，扎扎实实做好各项工作，为我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构建和谐社会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和经济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又快又好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发展做出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积极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的贡献。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5"/>
        <w:tblW w:w="8021" w:type="dxa"/>
        <w:jc w:val="center"/>
        <w:tblInd w:w="-4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1523"/>
        <w:gridCol w:w="1893"/>
        <w:gridCol w:w="10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本年新制作数量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本年新公开数量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规章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规范性文件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行政许可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其他对外管理服务事项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行政强制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行政事业性收费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采购项目数量</w:t>
            </w:r>
          </w:p>
        </w:tc>
        <w:tc>
          <w:tcPr>
            <w:tcW w:w="2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政府集中采购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7960" w:type="dxa"/>
        <w:jc w:val="center"/>
        <w:tblInd w:w="-4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123"/>
        <w:gridCol w:w="1388"/>
        <w:gridCol w:w="561"/>
        <w:gridCol w:w="529"/>
        <w:gridCol w:w="529"/>
        <w:gridCol w:w="561"/>
        <w:gridCol w:w="650"/>
        <w:gridCol w:w="505"/>
        <w:gridCol w:w="3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3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自然人</w:t>
            </w:r>
          </w:p>
        </w:tc>
        <w:tc>
          <w:tcPr>
            <w:tcW w:w="27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法人或其他组织</w:t>
            </w:r>
          </w:p>
        </w:tc>
        <w:tc>
          <w:tcPr>
            <w:tcW w:w="3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商业企业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科研机构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社会公益组织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法律服务机构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</w:t>
            </w:r>
          </w:p>
        </w:tc>
        <w:tc>
          <w:tcPr>
            <w:tcW w:w="3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三、本年度办理结果</w:t>
            </w: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（一）予以公开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（三）不予公开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1.属于国家秘密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2.其他法律行政法规禁止公开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3.危及“三安全一稳定”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4.保护第三方合法权益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5.属于三类内部事务信息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6.属于四类过程性信息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7.属于行政执法案卷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8.属于行政查询事项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（四）无法提供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1.本机关不掌握相关政府信息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2.没有现成信息需要另行制作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3.补正后申请内容仍不明确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（五）不予处理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1.信访举报投诉类申请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2.重复申请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3.要求提供公开出版物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4.无正当理由大量反复申请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（六）其他处理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（七）总计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四、结转下年度继续办理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8074" w:type="dxa"/>
        <w:jc w:val="center"/>
        <w:tblInd w:w="3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490"/>
        <w:gridCol w:w="490"/>
        <w:gridCol w:w="490"/>
        <w:gridCol w:w="490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6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行政复议</w:t>
            </w:r>
          </w:p>
        </w:tc>
        <w:tc>
          <w:tcPr>
            <w:tcW w:w="51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结果维持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结果纠正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其他结果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尚未审结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总计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未经复议直接起诉</w:t>
            </w:r>
          </w:p>
        </w:tc>
        <w:tc>
          <w:tcPr>
            <w:tcW w:w="26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0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结果维持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结果纠正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其他结果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尚未审结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总计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结果维持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结果纠正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其他结果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尚未审结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兴安区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退役军人事务局作为对退役军人服务的部门，落实上级政策和文件精神，高度重视窗口工作，为窗口提供强有力的后勤保障，确保高效快捷为人民服务，努力造就“素质高、业务精、服务好”的职工队伍。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320"/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兴安区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退役军人事务局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right="0" w:firstLine="560"/>
        <w:jc w:val="right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D0509"/>
          <w:spacing w:val="0"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3765"/>
    <w:rsid w:val="00FC7991"/>
    <w:rsid w:val="050E21E5"/>
    <w:rsid w:val="069156A9"/>
    <w:rsid w:val="0AA226B8"/>
    <w:rsid w:val="0DC55AD6"/>
    <w:rsid w:val="10390ABB"/>
    <w:rsid w:val="10586155"/>
    <w:rsid w:val="12BD55F0"/>
    <w:rsid w:val="17DD33F5"/>
    <w:rsid w:val="18B30FA3"/>
    <w:rsid w:val="1C0D3ACB"/>
    <w:rsid w:val="210C1057"/>
    <w:rsid w:val="25DA0B33"/>
    <w:rsid w:val="281A4C22"/>
    <w:rsid w:val="2BC17829"/>
    <w:rsid w:val="2D13275C"/>
    <w:rsid w:val="2F785047"/>
    <w:rsid w:val="334862FC"/>
    <w:rsid w:val="347A3EA6"/>
    <w:rsid w:val="3E9C61FE"/>
    <w:rsid w:val="3F2B28A0"/>
    <w:rsid w:val="3FF04228"/>
    <w:rsid w:val="417D2045"/>
    <w:rsid w:val="42701FDC"/>
    <w:rsid w:val="442D383D"/>
    <w:rsid w:val="443915E3"/>
    <w:rsid w:val="47680B51"/>
    <w:rsid w:val="48332F2C"/>
    <w:rsid w:val="48825AD5"/>
    <w:rsid w:val="48C26611"/>
    <w:rsid w:val="4AE62254"/>
    <w:rsid w:val="4C582DDB"/>
    <w:rsid w:val="4DB80C8C"/>
    <w:rsid w:val="5121171C"/>
    <w:rsid w:val="53B35DCA"/>
    <w:rsid w:val="56B37837"/>
    <w:rsid w:val="586C0BD6"/>
    <w:rsid w:val="65207F83"/>
    <w:rsid w:val="65BF3652"/>
    <w:rsid w:val="6DAE3765"/>
    <w:rsid w:val="6DB409D9"/>
    <w:rsid w:val="6DDE5D1D"/>
    <w:rsid w:val="72B13BCA"/>
    <w:rsid w:val="740609BC"/>
    <w:rsid w:val="7D393CD5"/>
    <w:rsid w:val="7D5C01B1"/>
    <w:rsid w:val="7D7738AB"/>
    <w:rsid w:val="7DDC2A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2021-01-29T06:07:00Z</dcterms:created>
  <dc:creator>Administrator</dc:creator>
  <cp:lastModifiedBy>Administrator</cp:lastModifiedBy>
  <dcterms:modified xsi:type="dcterms:W3CDTF">2021-01-29T06:23:23Z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