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307975</wp:posOffset>
                </wp:positionV>
                <wp:extent cx="13970" cy="1079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.85pt;margin-top:24.25pt;height:0.85pt;width:1.1pt;z-index:251663360;mso-width-relative:page;mso-height-relative:page;" filled="f" stroked="t" coordsize="21600,21600" o:gfxdata="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aotjn2AAAAAkBAAAPAAAAAAAAAAEAIAAAADgAAABkcnMvZG93bnJldi54bWxQSwEC&#10;FAAUAAAACACHTuJASuf4Md4BAACdAwAADgAAAAAAAAABACAAAAA9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鹤岗市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企业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贷款周转金实施细则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widowControl/>
        <w:shd w:val="clear" w:color="auto" w:fill="FFFFFF"/>
        <w:spacing w:line="480" w:lineRule="atLeast"/>
        <w:ind w:firstLine="420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第一章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总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则</w:t>
      </w:r>
    </w:p>
    <w:p>
      <w:pPr>
        <w:widowControl/>
        <w:shd w:val="clear" w:color="auto" w:fill="FFFFFF"/>
        <w:spacing w:line="480" w:lineRule="atLeast"/>
        <w:ind w:firstLine="420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CESI仿宋-GB2312" w:hAnsi="CESI仿宋-GB2312" w:eastAsia="CESI仿宋-GB2312" w:cs="CESI仿宋-GB2312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第一条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>  </w:t>
      </w:r>
      <w:r>
        <w:rPr>
          <w:rFonts w:hint="eastAsia" w:ascii="CESI仿宋-GB2312" w:hAnsi="CESI仿宋-GB2312" w:eastAsia="CESI仿宋-GB2312" w:cs="CESI仿宋-GB2312"/>
          <w:color w:val="444444"/>
          <w:kern w:val="0"/>
          <w:sz w:val="32"/>
          <w:szCs w:val="32"/>
        </w:rPr>
        <w:t>为确保我市</w:t>
      </w:r>
      <w:r>
        <w:rPr>
          <w:rFonts w:hint="eastAsia" w:ascii="CESI仿宋-GB2312" w:hAnsi="CESI仿宋-GB2312" w:eastAsia="CESI仿宋-GB2312" w:cs="CESI仿宋-GB2312"/>
          <w:color w:val="444444"/>
          <w:kern w:val="0"/>
          <w:sz w:val="32"/>
          <w:szCs w:val="32"/>
          <w:lang w:eastAsia="zh-CN"/>
        </w:rPr>
        <w:t>企业</w:t>
      </w:r>
      <w:r>
        <w:rPr>
          <w:rFonts w:hint="eastAsia" w:ascii="CESI仿宋-GB2312" w:hAnsi="CESI仿宋-GB2312" w:eastAsia="CESI仿宋-GB2312" w:cs="CESI仿宋-GB2312"/>
          <w:color w:val="444444"/>
          <w:kern w:val="0"/>
          <w:sz w:val="32"/>
          <w:szCs w:val="32"/>
        </w:rPr>
        <w:t>贷款周转金工作健康有序高效运行，切实帮助企业缓解融资困难，制定本实施细则。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第二条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</w:t>
      </w:r>
      <w:r>
        <w:rPr>
          <w:rFonts w:ascii="仿宋_GB2312" w:eastAsia="仿宋_GB2312" w:cs="宋体"/>
          <w:color w:val="FF0000"/>
          <w:kern w:val="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本细则所称的</w:t>
      </w:r>
      <w:r>
        <w:rPr>
          <w:rFonts w:hint="eastAsia" w:ascii="仿宋_GB2312" w:hAnsi="??" w:eastAsia="仿宋_GB2312" w:cs="宋体"/>
          <w:color w:val="444444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企业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贷款周转金</w:t>
      </w:r>
      <w:r>
        <w:rPr>
          <w:rFonts w:hint="eastAsia" w:ascii="仿宋_GB2312" w:hAnsi="??" w:eastAsia="仿宋_GB2312" w:cs="宋体"/>
          <w:color w:val="444444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（以下简称</w:t>
      </w:r>
      <w:r>
        <w:rPr>
          <w:rFonts w:hint="eastAsia" w:ascii="仿宋_GB2312" w:hAnsi="??" w:eastAsia="仿宋_GB2312" w:cs="宋体"/>
          <w:color w:val="444444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</w:t>
      </w:r>
      <w:r>
        <w:rPr>
          <w:rFonts w:hint="eastAsia" w:ascii="仿宋_GB2312" w:hAnsi="??" w:eastAsia="仿宋_GB2312" w:cs="宋体"/>
          <w:color w:val="444444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）是指为支持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企业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按时还贷续贷，由省级财政安排、市级财政申请借入的扶持性资金。</w:t>
      </w:r>
    </w:p>
    <w:p>
      <w:pPr>
        <w:widowControl/>
        <w:numPr>
          <w:ilvl w:val="0"/>
          <w:numId w:val="0"/>
        </w:numPr>
        <w:shd w:val="clear" w:color="auto" w:fill="FFFFFF"/>
        <w:spacing w:line="480" w:lineRule="atLeast"/>
        <w:ind w:firstLine="642" w:firstLineChars="200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第三条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周转金在管理和使用上坚持“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专款专用、择优扶持、平台操作、控制风险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”的总体原则。</w:t>
      </w:r>
    </w:p>
    <w:p>
      <w:pPr>
        <w:widowControl/>
        <w:numPr>
          <w:ilvl w:val="0"/>
          <w:numId w:val="0"/>
        </w:numPr>
        <w:shd w:val="clear" w:color="auto" w:fill="FFFFFF"/>
        <w:spacing w:line="480" w:lineRule="atLeast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</w:pPr>
    </w:p>
    <w:p>
      <w:pPr>
        <w:widowControl/>
        <w:shd w:val="clear" w:color="auto" w:fill="FFFFFF"/>
        <w:spacing w:line="480" w:lineRule="atLeast"/>
        <w:ind w:firstLine="420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第二章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职责分工</w:t>
      </w:r>
    </w:p>
    <w:p>
      <w:pPr>
        <w:widowControl/>
        <w:shd w:val="clear" w:color="auto" w:fill="FFFFFF"/>
        <w:spacing w:line="480" w:lineRule="atLeast"/>
        <w:ind w:firstLine="420"/>
        <w:jc w:val="both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第四条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</w:rPr>
        <w:t>由市工信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</w:rPr>
        <w:t>、市财政局、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  <w:lang w:eastAsia="zh-CN"/>
        </w:rPr>
        <w:t>鹤岗金融监管分局组成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</w:rPr>
        <w:t>“鹤岗市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</w:rPr>
        <w:t>贷款周转金管理委员会”（以下简称“管委会”），“管委会”办公室设在市工信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lang w:eastAsia="zh-CN"/>
        </w:rPr>
        <w:t>局、市财政局。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eastAsia="仿宋_GB2312" w:cs="宋体"/>
          <w:b/>
          <w:bCs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第五条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> </w:t>
      </w:r>
      <w:r>
        <w:rPr>
          <w:rFonts w:hint="eastAsia" w:ascii="仿宋_GB2312" w:eastAsia="仿宋_GB2312" w:cs="宋体"/>
          <w:bCs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市工信</w:t>
      </w:r>
      <w:r>
        <w:rPr>
          <w:rFonts w:hint="eastAsia" w:ascii="仿宋_GB2312" w:eastAsia="仿宋_GB2312" w:cs="宋体"/>
          <w:bCs/>
          <w:color w:val="404040" w:themeColor="text1" w:themeTint="BF"/>
          <w:kern w:val="0"/>
          <w:sz w:val="32"/>
          <w:szCs w:val="3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局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负责牵头制定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周转金政策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，会同市财政局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共同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确定周转金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运营机构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及收费标准，指导检查周转金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运营机构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业务开展情况，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适时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开展周转金绩效评价和工作总结。</w:t>
      </w:r>
    </w:p>
    <w:p>
      <w:pPr>
        <w:widowControl/>
        <w:shd w:val="clear" w:color="auto" w:fill="FFFFFF"/>
        <w:spacing w:line="480" w:lineRule="atLeast"/>
        <w:ind w:firstLine="642" w:firstLineChars="200"/>
        <w:jc w:val="both"/>
        <w:rPr>
          <w:rFonts w:ascii="仿宋_GB2312" w:eastAsia="仿宋_GB2312" w:cs="宋体"/>
          <w:color w:val="444444"/>
          <w:kern w:val="0"/>
          <w:sz w:val="24"/>
          <w:szCs w:val="24"/>
          <w:highlight w:val="none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highlight w:val="none"/>
        </w:rPr>
        <w:t>第六条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  <w:highlight w:val="none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市财政局负责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配合市工信局研究制定周转金相关政策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，负责资金监管，负责对周转金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运营机构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收费标准进行审核；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会同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市工信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局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适时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开展周转金绩效评价和工作总结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404040" w:themeColor="text1" w:themeTint="BF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引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导政府性担保机构对企业还贷续贷提供融资担保服务。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仿宋_GB2312"/>
          <w:color w:val="444444"/>
          <w:kern w:val="0"/>
          <w:sz w:val="32"/>
          <w:szCs w:val="32"/>
          <w:highlight w:val="none"/>
          <w:lang w:eastAsia="zh-CN"/>
        </w:rPr>
        <w:t>鹤岗金融监管分局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负责指导银行业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金融机构积极响应周转金政策、参与企业贷款周转金业务合作,帮助有合理续贷需求的存量贷款客户利用周转金“过桥”周转,缓解企业还贷资金压力。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eastAsia="仿宋_GB2312" w:cs="宋体"/>
          <w:color w:val="444444"/>
          <w:kern w:val="0"/>
          <w:sz w:val="32"/>
          <w:szCs w:val="32"/>
          <w:lang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作为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周转金业务的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运营机构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，具体负责周转金的日常管理和核算，以及年度财务收支预算与决算；在合作银行开设周转金专户，建立、完善并严格执行相关工作流程，做好风险防控工作；接受“管委会”的监督和指导，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按要求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向“管委会”报送周转金业务开展情况；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周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转金业务停止执行后，应及时进行清算，并将周转金本金和利息归还省、市财政。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九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合作银行按照续贷优先原则，与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公司签署周转金使用合同，并严格按照周转金使用合同履行责任，确保按时续贷，保证周转金安全回收。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hint="eastAsia" w:asci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eastAsia="黑体" w:cs="宋体"/>
          <w:bCs/>
          <w:color w:val="444444"/>
          <w:kern w:val="0"/>
          <w:sz w:val="32"/>
          <w:szCs w:val="32"/>
        </w:rPr>
        <w:t>第三章</w:t>
      </w:r>
      <w:r>
        <w:rPr>
          <w:rFonts w:ascii="宋体" w:hAnsi="宋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eastAsia="黑体" w:cs="宋体"/>
          <w:bCs/>
          <w:color w:val="444444"/>
          <w:kern w:val="0"/>
          <w:sz w:val="32"/>
          <w:szCs w:val="32"/>
        </w:rPr>
        <w:t>贷款企业基本条件</w:t>
      </w:r>
    </w:p>
    <w:p>
      <w:pPr>
        <w:widowControl/>
        <w:shd w:val="clear" w:color="auto" w:fill="FFFFFF"/>
        <w:spacing w:line="480" w:lineRule="atLeast"/>
        <w:jc w:val="both"/>
        <w:rPr>
          <w:rFonts w:hint="eastAsia" w:asci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第十条</w:t>
      </w:r>
      <w:r>
        <w:rPr>
          <w:rFonts w:ascii="宋体" w:hAnsi="宋体" w:eastAsia="仿宋_GB2312" w:cs="宋体"/>
          <w:b/>
          <w:bCs/>
          <w:color w:val="444444"/>
          <w:kern w:val="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申请贷款周转金的企业应当符合以下基本条件：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（一）在鹤岗市行政区域内登记注册,依法合规、正常生产经营,不属于失信被执行人且未被纳入异常经营名录,具备还款能力且银行承诺续贷的企业。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（二）在鹤岗市行政区域内与合作银行发生贷款业务,在授信额度内贷款到期归还前出现临时性资金周转困难。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（三）企业法定代表人或实际控制人的诚信记录良好,企业在银行信用评级中符合合作银行信用评级准入标准。</w:t>
      </w: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ascii="仿宋_GB2312" w:eastAsia="仿宋_GB2312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第四章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贷款周转金使用原则</w:t>
      </w:r>
    </w:p>
    <w:p>
      <w:pPr>
        <w:widowControl/>
        <w:shd w:val="clear" w:color="auto" w:fill="FFFFFF"/>
        <w:spacing w:line="480" w:lineRule="atLeast"/>
        <w:jc w:val="both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>  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周转金作为支持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企业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续贷的财政扶持资金，任何单位和个人不得挪用，必须专款专用。</w:t>
      </w:r>
    </w:p>
    <w:p>
      <w:pPr>
        <w:widowControl/>
        <w:shd w:val="clear" w:color="auto" w:fill="FFFFFF"/>
        <w:spacing w:line="480" w:lineRule="atLeast"/>
        <w:ind w:firstLine="629" w:firstLineChars="196"/>
        <w:jc w:val="both"/>
        <w:rPr>
          <w:rFonts w:ascii="仿宋_GB2312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 xml:space="preserve"> 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周转金按照封闭运行模式管理，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公司可以在合作银行开立专户。</w:t>
      </w: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> 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周转金单笔业务使用期限最长不超过45天；同一企业每年使用贷款周转金不超过6次；原则上企业申请周转金单笔额度最高不超过2000万元。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 xml:space="preserve"> 周转金实施精准帮扶措施，对发展前景良好但暂时遇到困难的创新型企业、“专精特新”企业，免收周转金手续费，其他企业使用贷款周转金手续费率按日0.75</w:t>
      </w:r>
      <w:r>
        <w:rPr>
          <w:rFonts w:hint="eastAsia" w:ascii="仿宋_GB2312" w:hAnsi="宋体" w:eastAsia="仿宋_GB2312" w:cs="宋体"/>
          <w:color w:val="444444"/>
          <w:kern w:val="0"/>
          <w:sz w:val="36"/>
          <w:szCs w:val="36"/>
          <w:lang w:val="en-US" w:eastAsia="zh-CN"/>
        </w:rPr>
        <w:t>‱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收取（公式：周转金使用金额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×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0.75</w:t>
      </w:r>
      <w:r>
        <w:rPr>
          <w:rFonts w:hint="eastAsia" w:ascii="仿宋_GB2312" w:hAnsi="宋体" w:eastAsia="仿宋_GB2312" w:cs="宋体"/>
          <w:color w:val="444444"/>
          <w:kern w:val="0"/>
          <w:sz w:val="36"/>
          <w:szCs w:val="36"/>
          <w:lang w:val="en-US" w:eastAsia="zh-CN"/>
        </w:rPr>
        <w:t>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×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使用天数）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。周转金运营机构不得向企业收取其他任何费用。</w:t>
      </w: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合作银行办理周转金续贷业务时，借款用途应当首先明确为用于偿还周转金。</w:t>
      </w: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第五章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贷款周转金申请与发放</w:t>
      </w:r>
    </w:p>
    <w:p>
      <w:pPr>
        <w:widowControl/>
        <w:shd w:val="clear" w:color="auto" w:fill="FFFFFF"/>
        <w:spacing w:line="480" w:lineRule="atLeast"/>
        <w:jc w:val="both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周转金申请企业应当在已有贷款到期</w:t>
      </w:r>
      <w:r>
        <w:rPr>
          <w:rFonts w:ascii="仿宋_GB2312" w:hAnsi="??" w:eastAsia="仿宋_GB2312" w:cs="宋体"/>
          <w:color w:val="444444"/>
          <w:kern w:val="0"/>
          <w:sz w:val="32"/>
          <w:szCs w:val="32"/>
        </w:rPr>
        <w:t>30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日前向贷款银行提供银行所需要的相关材料和周转金使用申请。</w:t>
      </w: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合作银行向“管委会”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办公室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提交周转金使用申请、续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贷审批书和银行续贷放款承诺函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或可为企业续贷说明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480" w:lineRule="atLeast"/>
        <w:ind w:firstLine="640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“管委会”</w:t>
      </w:r>
      <w:r>
        <w:rPr>
          <w:rFonts w:ascii="仿宋_GB2312" w:hAnsi="宋体" w:eastAsia="仿宋_GB2312" w:cs="宋体"/>
          <w:color w:val="44444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办公室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对周转金申请企业基本信息进行登记，根据贷款企业基本条件，对申请企业的贷款额度、委托书等材料和合作银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行的续贷审批书、承诺函等进行确认。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公司根据“管委会”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办公室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的意见与合作银行签订《贷款周转金使用合同》，并依据合同向合作银行拨付周转金。</w:t>
      </w:r>
      <w:r>
        <w:rPr>
          <w:rFonts w:ascii="仿宋_GB2312" w:hAnsi="宋体" w:eastAsia="仿宋_GB2312" w:cs="宋体"/>
          <w:color w:val="444444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合作银行在收到周转金后即时还贷，续贷款到账后，依据借款企业委托书将周转金直接划回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公司专户。</w:t>
      </w:r>
    </w:p>
    <w:p>
      <w:pPr>
        <w:widowControl/>
        <w:numPr>
          <w:ilvl w:val="0"/>
          <w:numId w:val="1"/>
        </w:numPr>
        <w:shd w:val="clear" w:color="auto" w:fill="FFFFFF"/>
        <w:spacing w:line="480" w:lineRule="atLeast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监督管理</w:t>
      </w:r>
    </w:p>
    <w:p>
      <w:pPr>
        <w:widowControl/>
        <w:numPr>
          <w:ilvl w:val="0"/>
          <w:numId w:val="0"/>
        </w:numPr>
        <w:shd w:val="clear" w:color="auto" w:fill="FFFFFF"/>
        <w:spacing w:line="480" w:lineRule="atLeast"/>
        <w:jc w:val="both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29" w:firstLineChars="196"/>
        <w:jc w:val="both"/>
        <w:rPr>
          <w:rFonts w:ascii="黑体" w:eastAsia="黑体" w:cs="宋体"/>
          <w:color w:val="444444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hAnsi="??" w:eastAsia="仿宋_GB2312" w:cs="宋体"/>
          <w:b/>
          <w:bCs/>
          <w:color w:val="44444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出现逾期不归还贷款周转金情况时，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由周转金运营机构每日按逾期未还本金的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0.1%加收违约金。</w:t>
      </w:r>
    </w:p>
    <w:p>
      <w:pPr>
        <w:widowControl/>
        <w:shd w:val="clear" w:color="auto" w:fill="FFFFFF"/>
        <w:spacing w:line="480" w:lineRule="atLeast"/>
        <w:ind w:firstLine="420"/>
        <w:jc w:val="both"/>
        <w:rPr>
          <w:rFonts w:ascii="仿宋_GB2312" w:eastAsia="仿宋_GB2312" w:cs="宋体"/>
          <w:color w:val="444444"/>
          <w:kern w:val="0"/>
          <w:sz w:val="24"/>
          <w:szCs w:val="24"/>
        </w:rPr>
      </w:pPr>
      <w:r>
        <w:rPr>
          <w:rFonts w:ascii="仿宋_GB2312" w:eastAsia="仿宋_GB2312" w:cs="宋体"/>
          <w:b/>
          <w:bCs/>
          <w:color w:val="444444"/>
          <w:kern w:val="0"/>
          <w:sz w:val="32"/>
          <w:szCs w:val="32"/>
        </w:rPr>
        <w:t xml:space="preserve">  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hint="eastAsia" w:ascii="仿宋_GB2312" w:eastAsia="仿宋_GB2312" w:cs="宋体"/>
          <w:color w:val="44444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周转金业务停止执行后，市财政局负责监督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公司及时将贷款周转金本金和利息归还省、市级财政。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十九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</w:t>
      </w:r>
      <w:r>
        <w:rPr>
          <w:rFonts w:hint="eastAsia" w:ascii="仿宋_GB2312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鹤岗市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财信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融资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担保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有限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公司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按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要求及时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将周转金业务开展情况报送“管委会”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eastAsia="zh-CN"/>
        </w:rPr>
        <w:t>办公室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  <w:lang w:val="en-US" w:eastAsia="zh-CN"/>
        </w:rPr>
        <w:t>备案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highlight w:val="none"/>
        </w:rPr>
        <w:t>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第二十条</w:t>
      </w:r>
      <w:r>
        <w:rPr>
          <w:rFonts w:hint="eastAsia" w:ascii="仿宋_GB2312" w:eastAsia="仿宋_GB2312" w:cs="宋体"/>
          <w:b/>
          <w:bCs/>
          <w:color w:val="44444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对合作银行、周转金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运营机构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弄虚作假、互相串通，造成周转金损失的，依照《财政违法行为处罚处分条例》（国务院令第</w:t>
      </w:r>
      <w:r>
        <w:rPr>
          <w:rFonts w:ascii="仿宋_GB2312" w:hAnsi="??" w:eastAsia="仿宋_GB2312" w:cs="宋体"/>
          <w:color w:val="444444"/>
          <w:kern w:val="0"/>
          <w:sz w:val="32"/>
          <w:szCs w:val="32"/>
        </w:rPr>
        <w:t>427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号）等法律法规追究相关单位和人员责任；构成犯罪的，由司法机关依法追究刑事责任。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420"/>
        <w:jc w:val="center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第七章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附</w:t>
      </w:r>
      <w:r>
        <w:rPr>
          <w:rFonts w:ascii="黑体" w:eastAsia="黑体" w:cs="宋体"/>
          <w:bCs/>
          <w:color w:val="444444"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  <w:t>则</w:t>
      </w:r>
    </w:p>
    <w:p>
      <w:pPr>
        <w:widowControl/>
        <w:shd w:val="clear" w:color="auto" w:fill="FFFFFF"/>
        <w:spacing w:line="480" w:lineRule="atLeast"/>
        <w:ind w:firstLine="420"/>
        <w:jc w:val="both"/>
        <w:rPr>
          <w:rFonts w:hint="eastAsia" w:ascii="黑体" w:hAnsi="黑体" w:eastAsia="黑体" w:cs="宋体"/>
          <w:bCs/>
          <w:color w:val="444444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color w:val="444444"/>
          <w:kern w:val="0"/>
          <w:sz w:val="32"/>
          <w:szCs w:val="32"/>
        </w:rPr>
        <w:t>二十</w:t>
      </w:r>
      <w:r>
        <w:rPr>
          <w:rFonts w:hint="eastAsia" w:ascii="仿宋_GB2312" w:hAnsi="宋体" w:eastAsia="仿宋_GB2312" w:cs="宋体"/>
          <w:b/>
          <w:color w:val="444444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ascii="仿宋_GB2312" w:eastAsia="仿宋_GB2312" w:cs="宋体"/>
          <w:color w:val="444444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本《细则》由“管委会”负责解释。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ascii="仿宋_GB2312" w:hAnsi="宋体" w:eastAsia="仿宋_GB2312" w:cs="宋体"/>
          <w:color w:val="44444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444444"/>
          <w:kern w:val="0"/>
          <w:sz w:val="32"/>
          <w:szCs w:val="32"/>
        </w:rPr>
        <w:t>第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二十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 w:cs="宋体"/>
          <w:b/>
          <w:color w:val="444444"/>
          <w:kern w:val="0"/>
          <w:sz w:val="32"/>
          <w:szCs w:val="32"/>
        </w:rPr>
        <w:t>条</w:t>
      </w:r>
      <w:r>
        <w:rPr>
          <w:rFonts w:ascii="仿宋_GB2312" w:hAnsi="宋体" w:eastAsia="仿宋_GB2312" w:cs="宋体"/>
          <w:color w:val="44444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本《细则》未尽事宜以《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鹤岗市企业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贷款周转金管理办法》为准。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default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第二十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b/>
          <w:bCs/>
          <w:color w:val="444444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</w:rPr>
        <w:t>本《细则》自发布之日起施行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，有效期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5年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  <w:t>原《鹤岗市企业贷款周转金实施细则》（鹤工信联规【2022】2号）同时废止。</w:t>
      </w:r>
    </w:p>
    <w:p>
      <w:pPr>
        <w:widowControl/>
        <w:shd w:val="clear" w:color="auto" w:fill="FFFFFF"/>
        <w:spacing w:line="480" w:lineRule="atLeast"/>
        <w:ind w:firstLine="643"/>
        <w:jc w:val="both"/>
        <w:rPr>
          <w:rFonts w:hint="default" w:ascii="仿宋_GB2312" w:hAnsi="宋体" w:eastAsia="仿宋_GB2312" w:cs="宋体"/>
          <w:color w:val="444444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 w:eastAsia="宋体" w:cs="宋体"/>
          <w:b w:val="0"/>
          <w:bCs/>
          <w:sz w:val="44"/>
          <w:szCs w:val="4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531" w:bottom="141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- 8 -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- 8 -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A666"/>
    <w:multiLevelType w:val="singleLevel"/>
    <w:tmpl w:val="FFFEA666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B2223"/>
    <w:rsid w:val="00001ED8"/>
    <w:rsid w:val="014D4594"/>
    <w:rsid w:val="01F956C7"/>
    <w:rsid w:val="027F6B45"/>
    <w:rsid w:val="029422C5"/>
    <w:rsid w:val="02CF3F81"/>
    <w:rsid w:val="03015719"/>
    <w:rsid w:val="053E2FA2"/>
    <w:rsid w:val="05615091"/>
    <w:rsid w:val="066248A1"/>
    <w:rsid w:val="06C65027"/>
    <w:rsid w:val="07C671DA"/>
    <w:rsid w:val="08133EA6"/>
    <w:rsid w:val="0845666E"/>
    <w:rsid w:val="087A7051"/>
    <w:rsid w:val="09480B3A"/>
    <w:rsid w:val="0A0E3C8F"/>
    <w:rsid w:val="0B7F3C70"/>
    <w:rsid w:val="0C6966C8"/>
    <w:rsid w:val="0D18022F"/>
    <w:rsid w:val="0E4A6B73"/>
    <w:rsid w:val="0EA50D6F"/>
    <w:rsid w:val="0EBF0FFB"/>
    <w:rsid w:val="0F717836"/>
    <w:rsid w:val="100B6211"/>
    <w:rsid w:val="10560816"/>
    <w:rsid w:val="108C1006"/>
    <w:rsid w:val="110B1053"/>
    <w:rsid w:val="1125348D"/>
    <w:rsid w:val="120046AB"/>
    <w:rsid w:val="126D2590"/>
    <w:rsid w:val="133B0645"/>
    <w:rsid w:val="1373437B"/>
    <w:rsid w:val="144E4536"/>
    <w:rsid w:val="145F6C2A"/>
    <w:rsid w:val="14DC5FE6"/>
    <w:rsid w:val="15713E8B"/>
    <w:rsid w:val="17231DA4"/>
    <w:rsid w:val="175C2797"/>
    <w:rsid w:val="178A063C"/>
    <w:rsid w:val="17ED5040"/>
    <w:rsid w:val="183B1275"/>
    <w:rsid w:val="185C36C6"/>
    <w:rsid w:val="186E33F9"/>
    <w:rsid w:val="18BA2760"/>
    <w:rsid w:val="18FF06DE"/>
    <w:rsid w:val="194523AC"/>
    <w:rsid w:val="1A7A783F"/>
    <w:rsid w:val="1ACF21D1"/>
    <w:rsid w:val="1AEB7B8F"/>
    <w:rsid w:val="1B0B1E5F"/>
    <w:rsid w:val="1C290B40"/>
    <w:rsid w:val="1C8C7FE9"/>
    <w:rsid w:val="1D5D13B1"/>
    <w:rsid w:val="1D743260"/>
    <w:rsid w:val="1E7E3687"/>
    <w:rsid w:val="1E8525EE"/>
    <w:rsid w:val="1F4508C8"/>
    <w:rsid w:val="1F9C5893"/>
    <w:rsid w:val="1FBF0E81"/>
    <w:rsid w:val="1FD21AA8"/>
    <w:rsid w:val="1FEF0D8D"/>
    <w:rsid w:val="20610CF2"/>
    <w:rsid w:val="209F715B"/>
    <w:rsid w:val="20FA59DA"/>
    <w:rsid w:val="21182D4C"/>
    <w:rsid w:val="21223017"/>
    <w:rsid w:val="21831D6F"/>
    <w:rsid w:val="21B54472"/>
    <w:rsid w:val="22C83CA4"/>
    <w:rsid w:val="22CD0AF9"/>
    <w:rsid w:val="23451620"/>
    <w:rsid w:val="23B32608"/>
    <w:rsid w:val="24F904EE"/>
    <w:rsid w:val="25772158"/>
    <w:rsid w:val="25891872"/>
    <w:rsid w:val="25B763DF"/>
    <w:rsid w:val="25BC760C"/>
    <w:rsid w:val="26614A29"/>
    <w:rsid w:val="275906C8"/>
    <w:rsid w:val="27962024"/>
    <w:rsid w:val="286B707D"/>
    <w:rsid w:val="28C01F92"/>
    <w:rsid w:val="28EF7C3E"/>
    <w:rsid w:val="2A25369F"/>
    <w:rsid w:val="2B602D21"/>
    <w:rsid w:val="2BA54F2C"/>
    <w:rsid w:val="2BF668C2"/>
    <w:rsid w:val="2C1A7068"/>
    <w:rsid w:val="2C6471B7"/>
    <w:rsid w:val="2D691D3E"/>
    <w:rsid w:val="2DE63BDB"/>
    <w:rsid w:val="2DEEB013"/>
    <w:rsid w:val="2E2B796A"/>
    <w:rsid w:val="2E904B3C"/>
    <w:rsid w:val="2EDE7F44"/>
    <w:rsid w:val="2F0731A4"/>
    <w:rsid w:val="2FE929A8"/>
    <w:rsid w:val="30DFC8CA"/>
    <w:rsid w:val="327E4C13"/>
    <w:rsid w:val="333339BE"/>
    <w:rsid w:val="337EF0DB"/>
    <w:rsid w:val="34F54B47"/>
    <w:rsid w:val="355FC7C7"/>
    <w:rsid w:val="356668AC"/>
    <w:rsid w:val="357FB0D9"/>
    <w:rsid w:val="370D6E14"/>
    <w:rsid w:val="37FA639A"/>
    <w:rsid w:val="380D1E5F"/>
    <w:rsid w:val="38A4576A"/>
    <w:rsid w:val="38B436B5"/>
    <w:rsid w:val="397E38CC"/>
    <w:rsid w:val="3AAA0C57"/>
    <w:rsid w:val="3AB2637D"/>
    <w:rsid w:val="3AB31B74"/>
    <w:rsid w:val="3AEE4706"/>
    <w:rsid w:val="3C1F4F57"/>
    <w:rsid w:val="3CFF2442"/>
    <w:rsid w:val="3F226635"/>
    <w:rsid w:val="3F2D4245"/>
    <w:rsid w:val="3F77AA41"/>
    <w:rsid w:val="40157520"/>
    <w:rsid w:val="402A0607"/>
    <w:rsid w:val="40374CC4"/>
    <w:rsid w:val="40385F17"/>
    <w:rsid w:val="40B65E3A"/>
    <w:rsid w:val="40BB41BF"/>
    <w:rsid w:val="40F628AD"/>
    <w:rsid w:val="4279634B"/>
    <w:rsid w:val="42B46738"/>
    <w:rsid w:val="430F7031"/>
    <w:rsid w:val="43991F49"/>
    <w:rsid w:val="44450A55"/>
    <w:rsid w:val="444A1413"/>
    <w:rsid w:val="44620F01"/>
    <w:rsid w:val="44995183"/>
    <w:rsid w:val="44FF35E1"/>
    <w:rsid w:val="4509294B"/>
    <w:rsid w:val="450977F2"/>
    <w:rsid w:val="45101210"/>
    <w:rsid w:val="45307F76"/>
    <w:rsid w:val="453A0A0E"/>
    <w:rsid w:val="45A51959"/>
    <w:rsid w:val="465A1105"/>
    <w:rsid w:val="46B1124F"/>
    <w:rsid w:val="479C4FDD"/>
    <w:rsid w:val="47E80223"/>
    <w:rsid w:val="484B20B2"/>
    <w:rsid w:val="490C1CEF"/>
    <w:rsid w:val="4A292270"/>
    <w:rsid w:val="4A2C197F"/>
    <w:rsid w:val="4A2C1AF4"/>
    <w:rsid w:val="4A45730E"/>
    <w:rsid w:val="4A5D4EF8"/>
    <w:rsid w:val="4AAA671A"/>
    <w:rsid w:val="4BA016D5"/>
    <w:rsid w:val="4BC15EF3"/>
    <w:rsid w:val="4BFD31DF"/>
    <w:rsid w:val="4C0567F0"/>
    <w:rsid w:val="4C17437E"/>
    <w:rsid w:val="4C5C3F62"/>
    <w:rsid w:val="4CB46925"/>
    <w:rsid w:val="4D69041C"/>
    <w:rsid w:val="4D9665B8"/>
    <w:rsid w:val="4E310376"/>
    <w:rsid w:val="4E3B06EE"/>
    <w:rsid w:val="4F2D232D"/>
    <w:rsid w:val="4F6F134A"/>
    <w:rsid w:val="4FCE1E82"/>
    <w:rsid w:val="4FD766AD"/>
    <w:rsid w:val="503F14DD"/>
    <w:rsid w:val="50EF32C3"/>
    <w:rsid w:val="511472BC"/>
    <w:rsid w:val="5139136B"/>
    <w:rsid w:val="51513922"/>
    <w:rsid w:val="515E4C49"/>
    <w:rsid w:val="529C0441"/>
    <w:rsid w:val="52DA49A4"/>
    <w:rsid w:val="53582A7B"/>
    <w:rsid w:val="538D67D9"/>
    <w:rsid w:val="550130AF"/>
    <w:rsid w:val="554E04AA"/>
    <w:rsid w:val="55910977"/>
    <w:rsid w:val="5645702B"/>
    <w:rsid w:val="576A5003"/>
    <w:rsid w:val="57F860D7"/>
    <w:rsid w:val="57FD7074"/>
    <w:rsid w:val="580D02B6"/>
    <w:rsid w:val="587C5C29"/>
    <w:rsid w:val="58C01E41"/>
    <w:rsid w:val="595645BE"/>
    <w:rsid w:val="596040BD"/>
    <w:rsid w:val="59870370"/>
    <w:rsid w:val="5A585EF6"/>
    <w:rsid w:val="5A6F64C5"/>
    <w:rsid w:val="5AB42E1A"/>
    <w:rsid w:val="5BB407D9"/>
    <w:rsid w:val="5BBE7DCB"/>
    <w:rsid w:val="5BC32462"/>
    <w:rsid w:val="5C78790E"/>
    <w:rsid w:val="5C8B7553"/>
    <w:rsid w:val="5DE322F5"/>
    <w:rsid w:val="5E604612"/>
    <w:rsid w:val="5EA23961"/>
    <w:rsid w:val="5F7D1000"/>
    <w:rsid w:val="60270A8A"/>
    <w:rsid w:val="60576E9F"/>
    <w:rsid w:val="6077012E"/>
    <w:rsid w:val="60AF7A44"/>
    <w:rsid w:val="616F0B89"/>
    <w:rsid w:val="61D05062"/>
    <w:rsid w:val="6211064A"/>
    <w:rsid w:val="62C8395E"/>
    <w:rsid w:val="63612F0E"/>
    <w:rsid w:val="63FB1ED5"/>
    <w:rsid w:val="64BB0AF9"/>
    <w:rsid w:val="64D9173F"/>
    <w:rsid w:val="656767D3"/>
    <w:rsid w:val="659437C4"/>
    <w:rsid w:val="65E33080"/>
    <w:rsid w:val="67884738"/>
    <w:rsid w:val="683F5F06"/>
    <w:rsid w:val="686D1BA6"/>
    <w:rsid w:val="69D42265"/>
    <w:rsid w:val="6A7790AA"/>
    <w:rsid w:val="6AAD2EDA"/>
    <w:rsid w:val="6ACB5FB8"/>
    <w:rsid w:val="6B177077"/>
    <w:rsid w:val="6B303F3A"/>
    <w:rsid w:val="6B45381B"/>
    <w:rsid w:val="6B9B71D6"/>
    <w:rsid w:val="6BDD3E93"/>
    <w:rsid w:val="6BE22C17"/>
    <w:rsid w:val="6C7036E0"/>
    <w:rsid w:val="6DBA0580"/>
    <w:rsid w:val="6DE4662E"/>
    <w:rsid w:val="6DEF375D"/>
    <w:rsid w:val="6E7D0E15"/>
    <w:rsid w:val="6EA2087C"/>
    <w:rsid w:val="6EAB3BD4"/>
    <w:rsid w:val="6ED17072"/>
    <w:rsid w:val="6F0A6441"/>
    <w:rsid w:val="6F26325B"/>
    <w:rsid w:val="6FAA0321"/>
    <w:rsid w:val="70E26FA7"/>
    <w:rsid w:val="70E4517B"/>
    <w:rsid w:val="70F74EAF"/>
    <w:rsid w:val="71B53DEB"/>
    <w:rsid w:val="71FB2223"/>
    <w:rsid w:val="7217251E"/>
    <w:rsid w:val="725F5864"/>
    <w:rsid w:val="731A49C4"/>
    <w:rsid w:val="73633FEE"/>
    <w:rsid w:val="73BD69D1"/>
    <w:rsid w:val="74146170"/>
    <w:rsid w:val="74990687"/>
    <w:rsid w:val="74E918B5"/>
    <w:rsid w:val="74EA7CAA"/>
    <w:rsid w:val="75FC4D15"/>
    <w:rsid w:val="762642C0"/>
    <w:rsid w:val="76E678FC"/>
    <w:rsid w:val="76FB65C9"/>
    <w:rsid w:val="771B6CF2"/>
    <w:rsid w:val="77470ECD"/>
    <w:rsid w:val="77586521"/>
    <w:rsid w:val="78903CEC"/>
    <w:rsid w:val="789500FA"/>
    <w:rsid w:val="78B446BF"/>
    <w:rsid w:val="78DB3AA1"/>
    <w:rsid w:val="7A2A4B9B"/>
    <w:rsid w:val="7A854CB6"/>
    <w:rsid w:val="7A9A34C5"/>
    <w:rsid w:val="7AD93535"/>
    <w:rsid w:val="7AF7AE14"/>
    <w:rsid w:val="7AFED660"/>
    <w:rsid w:val="7B7B3FCE"/>
    <w:rsid w:val="7B9179AE"/>
    <w:rsid w:val="7BC77A5F"/>
    <w:rsid w:val="7CFA0882"/>
    <w:rsid w:val="7DCE18BE"/>
    <w:rsid w:val="7E491BC1"/>
    <w:rsid w:val="7EA57365"/>
    <w:rsid w:val="7F4E43E0"/>
    <w:rsid w:val="7FAD5E4C"/>
    <w:rsid w:val="7FFF2B88"/>
    <w:rsid w:val="7FFF84E2"/>
    <w:rsid w:val="96FE09D2"/>
    <w:rsid w:val="9FBBD8D6"/>
    <w:rsid w:val="B3DCFE62"/>
    <w:rsid w:val="B6FF2E88"/>
    <w:rsid w:val="B8F78050"/>
    <w:rsid w:val="BBF7690F"/>
    <w:rsid w:val="CDBDE734"/>
    <w:rsid w:val="CDDAAD86"/>
    <w:rsid w:val="DB3E3B78"/>
    <w:rsid w:val="DBBF5226"/>
    <w:rsid w:val="DFEF7A17"/>
    <w:rsid w:val="E5DFFE8F"/>
    <w:rsid w:val="E7F7E641"/>
    <w:rsid w:val="ED796B65"/>
    <w:rsid w:val="EFB65A36"/>
    <w:rsid w:val="EFCD8A2F"/>
    <w:rsid w:val="EFFBA9A9"/>
    <w:rsid w:val="F3CE73A7"/>
    <w:rsid w:val="F6EE243B"/>
    <w:rsid w:val="FACD94F6"/>
    <w:rsid w:val="FBCFE504"/>
    <w:rsid w:val="FEDEB2A3"/>
    <w:rsid w:val="FEE78904"/>
    <w:rsid w:val="FEFD549A"/>
    <w:rsid w:val="FFF9A697"/>
    <w:rsid w:val="FFFFA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  <w:rPr>
      <w:rFonts w:cs="Times New Roman"/>
    </w:rPr>
  </w:style>
  <w:style w:type="paragraph" w:customStyle="1" w:styleId="9">
    <w:name w:val="p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2105</Words>
  <Characters>2133</Characters>
  <Lines>0</Lines>
  <Paragraphs>0</Paragraphs>
  <TotalTime>17</TotalTime>
  <ScaleCrop>false</ScaleCrop>
  <LinksUpToDate>false</LinksUpToDate>
  <CharactersWithSpaces>2331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2019-01-20T23:51:00Z</dcterms:created>
  <dc:creator>张馨元</dc:creator>
  <cp:lastModifiedBy>uos</cp:lastModifiedBy>
  <cp:lastPrinted>2025-09-17T09:43:00Z</cp:lastPrinted>
  <dcterms:modified xsi:type="dcterms:W3CDTF">2026-01-22T16:55:56Z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eyJoZGlkIjoiYTY4MWM2MTk4N2IyMjM5NDIxNGY5MWI1M2JmMGNmZTAiLCJ1c2VySWQiOiI1NjcyNTU2NTYifQ==</vt:lpwstr>
  </property>
  <property fmtid="{D5CDD505-2E9C-101B-9397-08002B2CF9AE}" pid="4" name="ICV">
    <vt:lpwstr>E79ABAC95253441FB073C7FE381FF57E_12</vt:lpwstr>
  </property>
</Properties>
</file>