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widowControl/>
        <w:adjustRightInd w:val="0"/>
        <w:snapToGrid w:val="0"/>
        <w:spacing w:after="200" w:line="220" w:lineRule="atLeast"/>
        <w:jc w:val="both"/>
        <w:rPr>
          <w:rFonts w:hint="eastAsia" w:ascii="宋体" w:hAnsi="宋体" w:eastAsia="宋体"/>
          <w:b/>
          <w:color w:val="000000"/>
          <w:kern w:val="0"/>
          <w:sz w:val="52"/>
          <w:szCs w:val="52"/>
          <w:lang w:val="en-US" w:eastAsia="zh-CN"/>
        </w:rPr>
      </w:pPr>
    </w:p>
    <w:p>
      <w:pPr>
        <w:widowControl/>
        <w:adjustRightInd w:val="0"/>
        <w:snapToGrid w:val="0"/>
        <w:spacing w:after="200" w:line="220" w:lineRule="atLeast"/>
        <w:jc w:val="center"/>
        <w:rPr>
          <w:rFonts w:hint="eastAsia" w:ascii="宋体" w:hAnsi="宋体" w:eastAsia="宋体"/>
          <w:b/>
          <w:color w:val="000000"/>
          <w:kern w:val="0"/>
          <w:sz w:val="52"/>
          <w:szCs w:val="52"/>
          <w:lang w:val="en-US" w:eastAsia="zh-CN"/>
        </w:rPr>
      </w:pPr>
      <w:r>
        <w:rPr>
          <w:rFonts w:hint="eastAsia" w:ascii="宋体" w:hAnsi="宋体" w:eastAsia="宋体"/>
          <w:b/>
          <w:color w:val="000000"/>
          <w:kern w:val="0"/>
          <w:sz w:val="52"/>
          <w:szCs w:val="52"/>
          <w:lang w:val="en-US" w:eastAsia="zh-CN"/>
        </w:rPr>
        <w:t>兴安区国民经济和社会发展</w:t>
      </w:r>
    </w:p>
    <w:p>
      <w:pPr>
        <w:widowControl/>
        <w:adjustRightInd w:val="0"/>
        <w:snapToGrid w:val="0"/>
        <w:spacing w:after="200" w:line="220" w:lineRule="atLeast"/>
        <w:jc w:val="center"/>
        <w:rPr>
          <w:rFonts w:hint="eastAsia" w:ascii="宋体" w:hAnsi="宋体" w:eastAsia="宋体"/>
          <w:b/>
          <w:color w:val="000000"/>
          <w:kern w:val="0"/>
          <w:sz w:val="52"/>
          <w:szCs w:val="52"/>
          <w:lang w:val="en-US" w:eastAsia="zh-CN"/>
        </w:rPr>
      </w:pPr>
      <w:r>
        <w:rPr>
          <w:rFonts w:hint="eastAsia" w:ascii="宋体" w:hAnsi="宋体" w:eastAsia="宋体"/>
          <w:b/>
          <w:color w:val="000000"/>
          <w:kern w:val="0"/>
          <w:sz w:val="52"/>
          <w:szCs w:val="52"/>
          <w:lang w:val="en-US" w:eastAsia="zh-CN"/>
        </w:rPr>
        <w:t>第十四个五年规划纲要</w:t>
      </w:r>
    </w:p>
    <w:p>
      <w:pPr>
        <w:widowControl/>
        <w:adjustRightInd w:val="0"/>
        <w:snapToGrid w:val="0"/>
        <w:spacing w:after="200" w:line="220" w:lineRule="atLeast"/>
        <w:jc w:val="center"/>
        <w:rPr>
          <w:rFonts w:hint="eastAsia" w:ascii="楷体" w:hAnsi="楷体" w:eastAsia="楷体"/>
          <w:color w:val="000000"/>
          <w:kern w:val="0"/>
          <w:sz w:val="32"/>
          <w:szCs w:val="32"/>
          <w:lang w:val="en-US" w:eastAsia="zh-CN"/>
        </w:rPr>
      </w:pPr>
    </w:p>
    <w:p>
      <w:pPr>
        <w:jc w:val="cente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pStyle w:val="27"/>
        <w:widowControl w:val="0"/>
        <w:shd w:val="clear" w:color="auto" w:fill="auto"/>
        <w:spacing w:before="0" w:after="0" w:line="240" w:lineRule="auto"/>
        <w:ind w:left="0" w:right="0" w:firstLine="0"/>
        <w:jc w:val="both"/>
        <w:rPr>
          <w:rFonts w:hint="eastAsia" w:ascii="Times New Roman" w:hAnsi="Times New Roman" w:eastAsia="宋体" w:cs="Times New Roman"/>
          <w:spacing w:val="0"/>
          <w:w w:val="100"/>
          <w:position w:val="0"/>
          <w:sz w:val="32"/>
          <w:szCs w:val="32"/>
          <w:lang w:val="en-US" w:eastAsia="zh-CN"/>
        </w:rPr>
      </w:pPr>
      <w:r>
        <w:rPr>
          <w:rFonts w:hint="eastAsia" w:ascii="Times New Roman" w:hAnsi="Times New Roman" w:eastAsia="宋体" w:cs="Times New Roman"/>
          <w:spacing w:val="0"/>
          <w:w w:val="100"/>
          <w:position w:val="0"/>
          <w:sz w:val="32"/>
          <w:szCs w:val="32"/>
          <w:lang w:val="en-US" w:eastAsia="zh-CN"/>
        </w:rPr>
        <w:t xml:space="preserve"> </w:t>
      </w:r>
    </w:p>
    <w:p>
      <w:pPr>
        <w:pStyle w:val="27"/>
        <w:widowControl w:val="0"/>
        <w:shd w:val="clear" w:color="auto" w:fill="auto"/>
        <w:spacing w:before="0" w:after="0" w:line="240" w:lineRule="auto"/>
        <w:ind w:left="0" w:right="0" w:firstLine="0"/>
        <w:jc w:val="both"/>
        <w:rPr>
          <w:rFonts w:hint="eastAsia" w:ascii="Times New Roman" w:hAnsi="Times New Roman" w:eastAsia="宋体" w:cs="Times New Roman"/>
          <w:spacing w:val="0"/>
          <w:w w:val="100"/>
          <w:position w:val="0"/>
          <w:sz w:val="32"/>
          <w:szCs w:val="32"/>
          <w:lang w:val="en-US" w:eastAsia="zh-CN"/>
        </w:rPr>
      </w:pPr>
    </w:p>
    <w:p>
      <w:pPr>
        <w:pStyle w:val="27"/>
        <w:widowControl w:val="0"/>
        <w:shd w:val="clear" w:color="auto" w:fill="auto"/>
        <w:spacing w:before="0" w:after="0" w:line="240" w:lineRule="auto"/>
        <w:ind w:left="0" w:right="0" w:firstLine="0"/>
        <w:jc w:val="both"/>
        <w:rPr>
          <w:rFonts w:hint="eastAsia" w:ascii="Times New Roman" w:hAnsi="Times New Roman" w:eastAsia="宋体" w:cs="Times New Roman"/>
          <w:spacing w:val="0"/>
          <w:w w:val="100"/>
          <w:position w:val="0"/>
          <w:sz w:val="32"/>
          <w:szCs w:val="32"/>
          <w:lang w:val="en-US" w:eastAsia="zh-CN"/>
        </w:rPr>
      </w:pPr>
    </w:p>
    <w:p>
      <w:pPr>
        <w:pStyle w:val="27"/>
        <w:widowControl w:val="0"/>
        <w:shd w:val="clear" w:color="auto" w:fill="auto"/>
        <w:spacing w:before="0" w:after="0" w:line="240" w:lineRule="auto"/>
        <w:ind w:left="0" w:right="0" w:firstLine="0"/>
        <w:jc w:val="both"/>
        <w:rPr>
          <w:rFonts w:hint="eastAsia" w:ascii="Times New Roman" w:hAnsi="Times New Roman" w:eastAsia="宋体" w:cs="Times New Roman"/>
          <w:spacing w:val="0"/>
          <w:w w:val="100"/>
          <w:position w:val="0"/>
          <w:sz w:val="32"/>
          <w:szCs w:val="32"/>
          <w:lang w:val="en-US" w:eastAsia="zh-CN"/>
        </w:rPr>
      </w:pPr>
    </w:p>
    <w:p>
      <w:pPr>
        <w:pStyle w:val="27"/>
        <w:widowControl w:val="0"/>
        <w:shd w:val="clear" w:color="auto" w:fill="auto"/>
        <w:spacing w:before="0" w:after="0" w:line="240" w:lineRule="auto"/>
        <w:ind w:left="0" w:right="0" w:firstLine="0"/>
        <w:jc w:val="both"/>
        <w:rPr>
          <w:rFonts w:hint="eastAsia" w:ascii="Times New Roman" w:hAnsi="Times New Roman" w:eastAsia="宋体" w:cs="Times New Roman"/>
          <w:spacing w:val="0"/>
          <w:w w:val="100"/>
          <w:position w:val="0"/>
          <w:sz w:val="32"/>
          <w:szCs w:val="32"/>
          <w:lang w:val="en-US" w:eastAsia="zh-CN"/>
        </w:rPr>
      </w:pPr>
    </w:p>
    <w:p>
      <w:pPr>
        <w:pStyle w:val="27"/>
        <w:widowControl w:val="0"/>
        <w:shd w:val="clear" w:color="auto" w:fill="auto"/>
        <w:spacing w:before="0" w:after="0" w:line="240" w:lineRule="auto"/>
        <w:ind w:left="0" w:right="0" w:firstLine="0"/>
        <w:jc w:val="both"/>
        <w:rPr>
          <w:rFonts w:hint="eastAsia" w:ascii="Times New Roman" w:hAnsi="Times New Roman" w:eastAsia="宋体" w:cs="Times New Roman"/>
          <w:spacing w:val="0"/>
          <w:w w:val="100"/>
          <w:position w:val="0"/>
          <w:sz w:val="32"/>
          <w:szCs w:val="32"/>
          <w:lang w:val="en-US" w:eastAsia="zh-CN"/>
        </w:rPr>
      </w:pPr>
    </w:p>
    <w:p>
      <w:pPr>
        <w:pStyle w:val="27"/>
        <w:widowControl w:val="0"/>
        <w:shd w:val="clear" w:color="auto" w:fill="auto"/>
        <w:spacing w:before="0" w:after="0" w:line="240" w:lineRule="auto"/>
        <w:ind w:left="0" w:right="0" w:firstLine="0"/>
        <w:jc w:val="both"/>
        <w:rPr>
          <w:rFonts w:hint="eastAsia" w:ascii="Times New Roman" w:hAnsi="Times New Roman" w:eastAsia="宋体" w:cs="Times New Roman"/>
          <w:spacing w:val="0"/>
          <w:w w:val="100"/>
          <w:position w:val="0"/>
          <w:sz w:val="32"/>
          <w:szCs w:val="32"/>
          <w:lang w:val="en-US" w:eastAsia="zh-CN"/>
        </w:rPr>
      </w:pPr>
    </w:p>
    <w:p>
      <w:pPr>
        <w:pStyle w:val="27"/>
        <w:widowControl w:val="0"/>
        <w:shd w:val="clear" w:color="auto" w:fill="auto"/>
        <w:spacing w:before="0" w:after="0" w:line="240" w:lineRule="auto"/>
        <w:ind w:left="0" w:right="0" w:firstLine="0"/>
        <w:jc w:val="both"/>
        <w:rPr>
          <w:rFonts w:hint="eastAsia" w:ascii="Times New Roman" w:hAnsi="Times New Roman" w:eastAsia="宋体" w:cs="Times New Roman"/>
          <w:spacing w:val="0"/>
          <w:w w:val="100"/>
          <w:position w:val="0"/>
          <w:sz w:val="32"/>
          <w:szCs w:val="32"/>
          <w:lang w:val="en-US" w:eastAsia="zh-CN"/>
        </w:rPr>
      </w:pPr>
    </w:p>
    <w:p>
      <w:pPr>
        <w:pStyle w:val="27"/>
        <w:widowControl w:val="0"/>
        <w:shd w:val="clear" w:color="auto" w:fill="auto"/>
        <w:spacing w:before="0" w:after="0" w:line="240" w:lineRule="auto"/>
        <w:ind w:left="0" w:right="0" w:firstLine="0"/>
        <w:jc w:val="both"/>
        <w:rPr>
          <w:rFonts w:hint="eastAsia" w:ascii="Times New Roman" w:hAnsi="Times New Roman" w:eastAsia="宋体" w:cs="Times New Roman"/>
          <w:spacing w:val="0"/>
          <w:w w:val="100"/>
          <w:position w:val="0"/>
          <w:sz w:val="32"/>
          <w:szCs w:val="32"/>
          <w:lang w:val="en-US" w:eastAsia="zh-CN"/>
        </w:rPr>
      </w:pPr>
    </w:p>
    <w:p>
      <w:pPr>
        <w:pStyle w:val="27"/>
        <w:widowControl w:val="0"/>
        <w:shd w:val="clear" w:color="auto" w:fill="auto"/>
        <w:spacing w:before="0" w:after="0" w:line="240" w:lineRule="auto"/>
        <w:ind w:left="0" w:right="0" w:firstLine="0"/>
        <w:jc w:val="both"/>
        <w:rPr>
          <w:rFonts w:hint="eastAsia" w:ascii="Times New Roman" w:hAnsi="Times New Roman" w:eastAsia="宋体" w:cs="Times New Roman"/>
          <w:spacing w:val="0"/>
          <w:w w:val="100"/>
          <w:position w:val="0"/>
          <w:sz w:val="32"/>
          <w:szCs w:val="32"/>
          <w:lang w:val="en-US" w:eastAsia="zh-CN"/>
        </w:rPr>
      </w:pPr>
    </w:p>
    <w:p>
      <w:pPr>
        <w:pStyle w:val="27"/>
        <w:widowControl w:val="0"/>
        <w:shd w:val="clear" w:color="auto" w:fill="auto"/>
        <w:spacing w:before="0" w:after="0" w:line="240" w:lineRule="auto"/>
        <w:ind w:left="0" w:right="0" w:firstLine="0"/>
        <w:jc w:val="center"/>
        <w:rPr>
          <w:rFonts w:ascii="Times New Roman" w:hAnsi="Times New Roman" w:eastAsia="Times New Roman" w:cs="Times New Roman"/>
          <w:spacing w:val="0"/>
          <w:w w:val="100"/>
          <w:position w:val="0"/>
          <w:sz w:val="32"/>
          <w:szCs w:val="32"/>
        </w:rPr>
      </w:pPr>
    </w:p>
    <w:p>
      <w:pPr>
        <w:spacing w:line="220" w:lineRule="atLeast"/>
        <w:jc w:val="center"/>
        <w:rPr>
          <w:rFonts w:ascii="黑体" w:hAnsi="黑体" w:eastAsia="黑体"/>
          <w:color w:val="000000"/>
          <w:sz w:val="32"/>
          <w:szCs w:val="32"/>
        </w:rPr>
      </w:pPr>
      <w:r>
        <w:rPr>
          <w:rFonts w:hint="eastAsia" w:ascii="黑体" w:hAnsi="黑体" w:eastAsia="黑体"/>
          <w:color w:val="000000"/>
          <w:sz w:val="32"/>
          <w:szCs w:val="32"/>
          <w:lang w:eastAsia="zh-CN"/>
        </w:rPr>
        <w:t>兴安区</w:t>
      </w:r>
      <w:r>
        <w:rPr>
          <w:rFonts w:hint="eastAsia" w:ascii="黑体" w:hAnsi="黑体" w:eastAsia="黑体"/>
          <w:color w:val="000000"/>
          <w:sz w:val="32"/>
          <w:szCs w:val="32"/>
        </w:rPr>
        <w:t>“十四五”规划领导小组办公室</w:t>
      </w:r>
    </w:p>
    <w:p>
      <w:pPr>
        <w:jc w:val="center"/>
        <w:rPr>
          <w:rFonts w:hint="eastAsia"/>
          <w:lang w:val="en-US" w:eastAsia="zh-CN"/>
        </w:rPr>
      </w:pPr>
      <w:r>
        <w:rPr>
          <w:rFonts w:hint="eastAsia" w:ascii="黑体" w:hAnsi="黑体" w:eastAsia="黑体"/>
          <w:color w:val="000000"/>
          <w:sz w:val="32"/>
          <w:szCs w:val="32"/>
        </w:rPr>
        <w:t>2020年1</w:t>
      </w:r>
      <w:r>
        <w:rPr>
          <w:rFonts w:hint="eastAsia" w:ascii="黑体" w:hAnsi="黑体" w:eastAsia="黑体"/>
          <w:color w:val="000000"/>
          <w:sz w:val="32"/>
          <w:szCs w:val="32"/>
          <w:lang w:val="en-US" w:eastAsia="zh-CN"/>
        </w:rPr>
        <w:t>2</w:t>
      </w:r>
      <w:r>
        <w:rPr>
          <w:rFonts w:hint="eastAsia" w:ascii="黑体" w:hAnsi="黑体" w:eastAsia="黑体"/>
          <w:color w:val="000000"/>
          <w:sz w:val="32"/>
          <w:szCs w:val="32"/>
        </w:rPr>
        <w:t>月</w:t>
      </w:r>
    </w:p>
    <w:p>
      <w:pPr>
        <w:spacing w:before="0" w:after="0" w:line="240" w:lineRule="auto"/>
        <w:ind w:left="0" w:leftChars="0" w:right="0" w:firstLine="0" w:firstLineChars="0"/>
        <w:jc w:val="center"/>
        <w:rPr>
          <w:rFonts w:ascii="宋体" w:hAnsi="宋体" w:eastAsia="宋体" w:cs="黑体"/>
          <w:kern w:val="2"/>
          <w:sz w:val="21"/>
          <w:szCs w:val="24"/>
          <w:lang w:val="en-US" w:eastAsia="zh-CN" w:bidi="ar-SA"/>
        </w:rPr>
      </w:pPr>
    </w:p>
    <w:p>
      <w:pPr>
        <w:pStyle w:val="9"/>
        <w:jc w:val="center"/>
        <w:rPr>
          <w:rFonts w:hint="eastAsia" w:ascii="宋体" w:hAnsi="宋体" w:eastAsia="宋体" w:cs="宋体"/>
          <w:sz w:val="40"/>
          <w:szCs w:val="40"/>
        </w:rPr>
        <w:sectPr>
          <w:footerReference r:id="rId3" w:type="default"/>
          <w:pgSz w:w="11900" w:h="16838"/>
          <w:pgMar w:top="1440" w:right="1803" w:bottom="1440" w:left="1803" w:header="709" w:footer="1247" w:gutter="0"/>
          <w:pgNumType w:fmt="decimal" w:start="1"/>
          <w:cols w:space="0" w:num="1"/>
          <w:rtlGutter w:val="0"/>
          <w:docGrid w:type="linesAndChars" w:linePitch="297" w:charSpace="2867"/>
        </w:sectPr>
      </w:pPr>
    </w:p>
    <w:p>
      <w:pPr>
        <w:pStyle w:val="9"/>
        <w:jc w:val="center"/>
        <w:rPr>
          <w:rFonts w:hint="eastAsia" w:ascii="宋体" w:hAnsi="宋体" w:eastAsia="宋体" w:cs="宋体"/>
          <w:sz w:val="40"/>
          <w:szCs w:val="40"/>
        </w:rPr>
      </w:pPr>
      <w:r>
        <w:rPr>
          <w:rFonts w:hint="eastAsia" w:ascii="宋体" w:hAnsi="宋体" w:eastAsia="宋体" w:cs="宋体"/>
          <w:sz w:val="40"/>
          <w:szCs w:val="40"/>
        </w:rPr>
        <w:t>目</w:t>
      </w:r>
      <w:r>
        <w:rPr>
          <w:rFonts w:hint="eastAsia" w:ascii="宋体" w:hAnsi="宋体" w:eastAsia="宋体" w:cs="宋体"/>
          <w:sz w:val="40"/>
          <w:szCs w:val="40"/>
          <w:lang w:val="en-US" w:eastAsia="zh-CN"/>
        </w:rPr>
        <w:t xml:space="preserve">  </w:t>
      </w:r>
      <w:r>
        <w:rPr>
          <w:rFonts w:hint="eastAsia" w:ascii="宋体" w:hAnsi="宋体" w:eastAsia="宋体" w:cs="宋体"/>
          <w:sz w:val="40"/>
          <w:szCs w:val="40"/>
        </w:rPr>
        <w:t>录</w:t>
      </w:r>
    </w:p>
    <w:sdt>
      <w:sdtPr>
        <w:rPr>
          <w:rFonts w:ascii="宋体" w:hAnsi="宋体" w:eastAsia="宋体" w:cs="黑体"/>
          <w:kern w:val="2"/>
          <w:sz w:val="21"/>
          <w:szCs w:val="24"/>
          <w:lang w:val="en-US" w:eastAsia="zh-CN" w:bidi="ar-SA"/>
        </w:rPr>
        <w:id w:val="147478513"/>
        <w15:color w:val="DBDBDB"/>
        <w:docPartObj>
          <w:docPartGallery w:val="Table of Contents"/>
          <w:docPartUnique/>
        </w:docPartObj>
      </w:sdtPr>
      <w:sdtEndPr>
        <w:rPr>
          <w:rFonts w:hint="eastAsia" w:ascii="宋体" w:eastAsia="宋体" w:hAnsiTheme="minorHAnsi" w:cstheme="minorBidi"/>
          <w:smallCaps/>
          <w:kern w:val="0"/>
          <w:sz w:val="24"/>
          <w:szCs w:val="20"/>
          <w:lang w:val="en-US" w:eastAsia="zh-CN" w:bidi="ar-SA"/>
        </w:rPr>
      </w:sdtEndPr>
      <w:sdtContent>
        <w:p>
          <w:pPr>
            <w:pStyle w:val="17"/>
            <w:widowControl/>
            <w:tabs>
              <w:tab w:val="right" w:leader="dot" w:pos="8296"/>
            </w:tabs>
            <w:adjustRightInd w:val="0"/>
            <w:snapToGrid w:val="0"/>
            <w:spacing w:after="0"/>
            <w:ind w:left="220" w:leftChars="0"/>
            <w:jc w:val="left"/>
            <w:rPr>
              <w:rFonts w:hint="eastAsia" w:ascii="宋体" w:eastAsia="宋体" w:hAnsiTheme="minorHAnsi" w:cstheme="minorBidi"/>
              <w:smallCaps/>
              <w:kern w:val="0"/>
              <w:sz w:val="24"/>
              <w:szCs w:val="20"/>
              <w:lang w:val="en-US" w:eastAsia="zh-CN" w:bidi="ar-SA"/>
            </w:rPr>
          </w:pPr>
          <w:bookmarkStart w:id="0" w:name="_Toc27331"/>
          <w:bookmarkStart w:id="1" w:name="_Toc31857"/>
          <w:bookmarkStart w:id="2" w:name="_Toc7325"/>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TOC \o "1-3" \h \u </w:instrText>
          </w:r>
          <w:r>
            <w:rPr>
              <w:rFonts w:hint="eastAsia" w:ascii="宋体" w:eastAsia="宋体" w:hAnsiTheme="minorHAnsi" w:cstheme="minorBidi"/>
              <w:smallCaps/>
              <w:kern w:val="0"/>
              <w:sz w:val="24"/>
              <w:szCs w:val="20"/>
              <w:lang w:val="en-US" w:eastAsia="zh-CN"/>
            </w:rPr>
            <w:fldChar w:fldCharType="separate"/>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_Toc26020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第一章 全面建成小康社会 奋力谱写兴安高质量转型发展新篇章</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_Toc26020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1</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_Toc5907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第一节 决胜全面建成小康社会取得的新成就</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_Toc5907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1</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_Toc14924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第二节 “十四五”时期经济社会发展面临的形势</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_Toc14924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5</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_Toc1683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第三节 “十四五”时期经济社会发展的指导思想</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_Toc1683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7</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_Toc5662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第四节 “十四五”时期经济社会发展必须遵循的基本原则</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_Toc5662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8</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_Toc6540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第五节 “十四五”规划的主要目标</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_Toc6540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9</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_Toc6372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第六节 到二〇三五年基本实现社会主义现代化的远景目标</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_Toc6372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14</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_Toc16587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第二章 加快发展现代产业体系 聚焦转型发展新动能</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_Toc16587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16</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_Toc17459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rPr>
            <w:t>第一节 推动产业基础提升和产业链</w:t>
          </w:r>
          <w:r>
            <w:rPr>
              <w:rFonts w:hint="eastAsia" w:ascii="宋体" w:eastAsia="宋体" w:hAnsiTheme="minorHAnsi" w:cstheme="minorBidi"/>
              <w:smallCaps/>
              <w:kern w:val="0"/>
              <w:sz w:val="24"/>
              <w:szCs w:val="20"/>
              <w:lang w:eastAsia="zh-CN"/>
            </w:rPr>
            <w:t>现代化</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_Toc17459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16</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_Toc12340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第二节 打造优势主导产业集群</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_Toc12340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18</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_Toc17458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第三节</w:t>
          </w:r>
          <w:r>
            <w:rPr>
              <w:rFonts w:hint="eastAsia" w:ascii="宋体" w:eastAsia="宋体" w:hAnsiTheme="minorHAnsi" w:cstheme="minorBidi"/>
              <w:smallCaps/>
              <w:kern w:val="0"/>
              <w:sz w:val="24"/>
              <w:szCs w:val="20"/>
            </w:rPr>
            <w:t xml:space="preserve"> 加快发展数字经济</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_Toc17458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25</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_Toc6524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第三章 围绕“乡村振兴”战略 争当农业现代化排头兵</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_Toc6524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26</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_Toc15904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第一节 实施“藏粮于地、藏粮于技”粮食安全战略</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_Toc15904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26</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_Toc21979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第二节 开展“中国粮食、中国饭碗”质量提升行动</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_Toc21979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27</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_Toc25639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第三节 实施“生态优先、用养结合”黑土地保护战略</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_Toc25639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27</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_Toc17792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第四节 推动“农业+”全产业链融合发展</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_Toc17792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27</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_Toc5803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第五节 推动农业农村改革向纵深发展</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_Toc5803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28</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_Toc13751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第四章 坚持创新驱动发展 加速科技成果高质量</w:t>
          </w:r>
          <w:r>
            <w:rPr>
              <w:rFonts w:hint="eastAsia" w:ascii="黑体" w:eastAsia="黑体" w:hAnsiTheme="minorHAnsi" w:cstheme="minorBidi"/>
              <w:b/>
              <w:bCs/>
              <w:caps/>
              <w:kern w:val="0"/>
              <w:sz w:val="26"/>
              <w:szCs w:val="20"/>
              <w:lang w:val="en-US" w:eastAsia="zh-CN" w:bidi="ar-SA"/>
            </w:rPr>
            <w:t>就地转化</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_Toc13751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28</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_Toc31404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第一节 增强科技创新能力</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_Toc31404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29</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_Toc5087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第二节 强化人才支撑作用</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_Toc5087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30</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_Toc11057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第三节 全力打造“双创”升级版</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_Toc11057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31</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_Toc6376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第五章 激发市场主体活力 推动区域协调发展和新型城镇化</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_Toc6376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31</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_Toc7352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eastAsia="zh-CN"/>
            </w:rPr>
            <w:t>第一节</w:t>
          </w:r>
          <w:r>
            <w:rPr>
              <w:rFonts w:hint="eastAsia" w:ascii="宋体" w:eastAsia="宋体" w:hAnsiTheme="minorHAnsi" w:cstheme="minorBidi"/>
              <w:smallCaps/>
              <w:kern w:val="0"/>
              <w:sz w:val="24"/>
              <w:szCs w:val="20"/>
              <w:lang w:val="en-US" w:eastAsia="zh-CN"/>
            </w:rPr>
            <w:t xml:space="preserve"> </w:t>
          </w:r>
          <w:r>
            <w:rPr>
              <w:rFonts w:hint="eastAsia" w:ascii="宋体" w:eastAsia="宋体" w:hAnsiTheme="minorHAnsi" w:cstheme="minorBidi"/>
              <w:smallCaps/>
              <w:kern w:val="0"/>
              <w:sz w:val="24"/>
              <w:szCs w:val="20"/>
            </w:rPr>
            <w:t>高标准</w:t>
          </w:r>
          <w:r>
            <w:rPr>
              <w:rFonts w:hint="eastAsia" w:ascii="宋体" w:eastAsia="宋体" w:hAnsiTheme="minorHAnsi" w:cstheme="minorBidi"/>
              <w:smallCaps/>
              <w:kern w:val="0"/>
              <w:sz w:val="24"/>
              <w:szCs w:val="20"/>
              <w:lang w:val="en-US" w:eastAsia="zh-CN"/>
            </w:rPr>
            <w:t>打造一流营</w:t>
          </w:r>
          <w:r>
            <w:rPr>
              <w:rFonts w:hint="eastAsia" w:ascii="宋体" w:eastAsia="宋体" w:hAnsiTheme="minorHAnsi" w:cstheme="minorBidi"/>
              <w:smallCaps/>
              <w:kern w:val="0"/>
              <w:sz w:val="24"/>
              <w:szCs w:val="20"/>
            </w:rPr>
            <w:t>商环境</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_Toc7352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32</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_Toc12910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 xml:space="preserve">第二节 </w:t>
          </w:r>
          <w:r>
            <w:rPr>
              <w:rFonts w:hint="eastAsia" w:ascii="宋体" w:eastAsia="宋体" w:hAnsiTheme="minorHAnsi" w:cstheme="minorBidi"/>
              <w:smallCaps/>
              <w:kern w:val="0"/>
              <w:sz w:val="24"/>
              <w:szCs w:val="20"/>
            </w:rPr>
            <w:t>激发非公有制经济活力</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_Toc12910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33</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_Toc18463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rPr>
            <w:t>第</w:t>
          </w:r>
          <w:r>
            <w:rPr>
              <w:rFonts w:hint="eastAsia" w:ascii="宋体" w:eastAsia="宋体" w:hAnsiTheme="minorHAnsi" w:cstheme="minorBidi"/>
              <w:smallCaps/>
              <w:kern w:val="0"/>
              <w:sz w:val="24"/>
              <w:szCs w:val="20"/>
              <w:lang w:eastAsia="zh-CN"/>
            </w:rPr>
            <w:t>三</w:t>
          </w:r>
          <w:r>
            <w:rPr>
              <w:rFonts w:hint="eastAsia" w:ascii="宋体" w:eastAsia="宋体" w:hAnsiTheme="minorHAnsi" w:cstheme="minorBidi"/>
              <w:smallCaps/>
              <w:kern w:val="0"/>
              <w:sz w:val="24"/>
              <w:szCs w:val="20"/>
            </w:rPr>
            <w:t>节</w:t>
          </w:r>
          <w:r>
            <w:rPr>
              <w:rFonts w:hint="eastAsia" w:ascii="宋体" w:eastAsia="宋体" w:hAnsiTheme="minorHAnsi" w:cstheme="minorBidi"/>
              <w:smallCaps/>
              <w:kern w:val="0"/>
              <w:sz w:val="24"/>
              <w:szCs w:val="20"/>
              <w:lang w:val="en-US" w:eastAsia="zh-CN"/>
            </w:rPr>
            <w:t xml:space="preserve"> </w:t>
          </w:r>
          <w:r>
            <w:rPr>
              <w:rFonts w:hint="eastAsia" w:ascii="宋体" w:eastAsia="宋体" w:hAnsiTheme="minorHAnsi" w:cstheme="minorBidi"/>
              <w:smallCaps/>
              <w:kern w:val="0"/>
              <w:sz w:val="24"/>
              <w:szCs w:val="20"/>
            </w:rPr>
            <w:t>全力</w:t>
          </w:r>
          <w:r>
            <w:rPr>
              <w:rFonts w:hint="eastAsia" w:ascii="宋体" w:eastAsia="宋体" w:hAnsiTheme="minorHAnsi" w:cstheme="minorBidi"/>
              <w:smallCaps/>
              <w:kern w:val="0"/>
              <w:sz w:val="24"/>
              <w:szCs w:val="20"/>
              <w:lang w:eastAsia="zh-CN"/>
            </w:rPr>
            <w:t>服务区域经济发展</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_Toc18463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34</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_Toc1085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rPr>
            <w:t>第</w:t>
          </w:r>
          <w:r>
            <w:rPr>
              <w:rFonts w:hint="eastAsia" w:ascii="宋体" w:eastAsia="宋体" w:hAnsiTheme="minorHAnsi" w:cstheme="minorBidi"/>
              <w:smallCaps/>
              <w:kern w:val="0"/>
              <w:sz w:val="24"/>
              <w:szCs w:val="20"/>
              <w:lang w:eastAsia="zh-CN"/>
            </w:rPr>
            <w:t>四</w:t>
          </w:r>
          <w:r>
            <w:rPr>
              <w:rFonts w:hint="eastAsia" w:ascii="宋体" w:eastAsia="宋体" w:hAnsiTheme="minorHAnsi" w:cstheme="minorBidi"/>
              <w:smallCaps/>
              <w:kern w:val="0"/>
              <w:sz w:val="24"/>
              <w:szCs w:val="20"/>
            </w:rPr>
            <w:t>节</w:t>
          </w:r>
          <w:r>
            <w:rPr>
              <w:rFonts w:hint="eastAsia" w:ascii="宋体" w:eastAsia="宋体" w:hAnsiTheme="minorHAnsi" w:cstheme="minorBidi"/>
              <w:smallCaps/>
              <w:kern w:val="0"/>
              <w:sz w:val="24"/>
              <w:szCs w:val="20"/>
              <w:lang w:val="en-US" w:eastAsia="zh-CN"/>
            </w:rPr>
            <w:t xml:space="preserve"> </w:t>
          </w:r>
          <w:r>
            <w:rPr>
              <w:rFonts w:hint="eastAsia" w:ascii="宋体" w:eastAsia="宋体" w:hAnsiTheme="minorHAnsi" w:cstheme="minorBidi"/>
              <w:smallCaps/>
              <w:kern w:val="0"/>
              <w:sz w:val="24"/>
              <w:szCs w:val="20"/>
            </w:rPr>
            <w:t>实施区域转型振兴战略</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_Toc1085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35</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_Toc4925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第六章 提升生态系统质量和稳定性 推进生态文明建设</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_Toc4925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35</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_Toc11104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rPr>
            <w:t>第一节</w:t>
          </w:r>
          <w:r>
            <w:rPr>
              <w:rFonts w:hint="eastAsia" w:ascii="宋体" w:eastAsia="宋体" w:hAnsiTheme="minorHAnsi" w:cstheme="minorBidi"/>
              <w:smallCaps/>
              <w:kern w:val="0"/>
              <w:sz w:val="24"/>
              <w:szCs w:val="20"/>
              <w:lang w:val="en-US" w:eastAsia="zh-CN"/>
            </w:rPr>
            <w:t xml:space="preserve"> </w:t>
          </w:r>
          <w:r>
            <w:rPr>
              <w:rFonts w:hint="eastAsia" w:ascii="宋体" w:eastAsia="宋体" w:hAnsiTheme="minorHAnsi" w:cstheme="minorBidi"/>
              <w:smallCaps/>
              <w:kern w:val="0"/>
              <w:sz w:val="24"/>
              <w:szCs w:val="20"/>
            </w:rPr>
            <w:t>加快形成绿色发展方式</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_Toc11104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35</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_Toc9731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第二节 提升生态系统质量和稳定性</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_Toc9731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36</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_Toc30123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第七章 深化开放合作战略 打造经济增长新引擎</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_Toc30123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38</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_Toc28144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第一节 坚持扩大内需，增强发展动力</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_Toc28144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38</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_Toc7575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第二节 培育电商企业，发展网红经济</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_Toc7575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38</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_Toc6829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第三节 拓展外贸业务，扩大出口总值</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_Toc6829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39</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_Toc16119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第四节 围绕资源优势，加大招商引资</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_Toc16119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39</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_Toc104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第八章 推动文化事业繁荣发展 提升文化软实力</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_Toc104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39</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_Toc28250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rPr>
            <w:t>第一节</w:t>
          </w:r>
          <w:r>
            <w:rPr>
              <w:rFonts w:hint="eastAsia" w:ascii="宋体" w:eastAsia="宋体" w:hAnsiTheme="minorHAnsi" w:cstheme="minorBidi"/>
              <w:smallCaps/>
              <w:kern w:val="0"/>
              <w:sz w:val="24"/>
              <w:szCs w:val="20"/>
              <w:lang w:val="en-US" w:eastAsia="zh-CN"/>
            </w:rPr>
            <w:t xml:space="preserve"> </w:t>
          </w:r>
          <w:r>
            <w:rPr>
              <w:rFonts w:hint="eastAsia" w:ascii="宋体" w:eastAsia="宋体" w:hAnsiTheme="minorHAnsi" w:cstheme="minorBidi"/>
              <w:smallCaps/>
              <w:kern w:val="0"/>
              <w:sz w:val="24"/>
              <w:szCs w:val="20"/>
            </w:rPr>
            <w:t>筑牢团结奋斗的共同思想基础</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_Toc28250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40</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_Toc28852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rPr>
            <w:t>第二节 持续推进精神文明建设</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_Toc28852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41</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_Toc15607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eastAsia="zh-CN"/>
            </w:rPr>
            <w:t>第</w:t>
          </w:r>
          <w:r>
            <w:rPr>
              <w:rFonts w:hint="eastAsia" w:ascii="宋体" w:hAnsiTheme="minorHAnsi" w:cstheme="minorBidi"/>
              <w:smallCaps/>
              <w:kern w:val="0"/>
              <w:sz w:val="24"/>
              <w:szCs w:val="20"/>
              <w:lang w:eastAsia="zh-CN"/>
            </w:rPr>
            <w:t>三</w:t>
          </w:r>
          <w:r>
            <w:rPr>
              <w:rFonts w:hint="eastAsia" w:ascii="宋体" w:eastAsia="宋体" w:hAnsiTheme="minorHAnsi" w:cstheme="minorBidi"/>
              <w:smallCaps/>
              <w:kern w:val="0"/>
              <w:sz w:val="24"/>
              <w:szCs w:val="20"/>
              <w:lang w:eastAsia="zh-CN"/>
            </w:rPr>
            <w:t>节</w:t>
          </w:r>
          <w:r>
            <w:rPr>
              <w:rFonts w:hint="eastAsia" w:ascii="宋体" w:eastAsia="宋体" w:hAnsiTheme="minorHAnsi" w:cstheme="minorBidi"/>
              <w:smallCaps/>
              <w:kern w:val="0"/>
              <w:sz w:val="24"/>
              <w:szCs w:val="20"/>
              <w:lang w:val="en-US" w:eastAsia="zh-CN"/>
            </w:rPr>
            <w:t xml:space="preserve"> </w:t>
          </w:r>
          <w:r>
            <w:rPr>
              <w:rFonts w:hint="eastAsia" w:ascii="宋体" w:eastAsia="宋体" w:hAnsiTheme="minorHAnsi" w:cstheme="minorBidi"/>
              <w:smallCaps/>
              <w:kern w:val="0"/>
              <w:sz w:val="24"/>
              <w:szCs w:val="20"/>
            </w:rPr>
            <w:t>弘扬中华优秀传统文化</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_Toc15607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42</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_Toc19260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eastAsia="zh-CN"/>
            </w:rPr>
            <w:t>第</w:t>
          </w:r>
          <w:r>
            <w:rPr>
              <w:rFonts w:hint="eastAsia" w:ascii="宋体" w:hAnsiTheme="minorHAnsi" w:cstheme="minorBidi"/>
              <w:smallCaps/>
              <w:kern w:val="0"/>
              <w:sz w:val="24"/>
              <w:szCs w:val="20"/>
              <w:lang w:eastAsia="zh-CN"/>
            </w:rPr>
            <w:t>四</w:t>
          </w:r>
          <w:r>
            <w:rPr>
              <w:rFonts w:hint="eastAsia" w:ascii="宋体" w:eastAsia="宋体" w:hAnsiTheme="minorHAnsi" w:cstheme="minorBidi"/>
              <w:smallCaps/>
              <w:kern w:val="0"/>
              <w:sz w:val="24"/>
              <w:szCs w:val="20"/>
              <w:lang w:eastAsia="zh-CN"/>
            </w:rPr>
            <w:t>节</w:t>
          </w:r>
          <w:r>
            <w:rPr>
              <w:rFonts w:hint="eastAsia" w:ascii="宋体" w:eastAsia="宋体" w:hAnsiTheme="minorHAnsi" w:cstheme="minorBidi"/>
              <w:smallCaps/>
              <w:kern w:val="0"/>
              <w:sz w:val="24"/>
              <w:szCs w:val="20"/>
              <w:lang w:val="en-US" w:eastAsia="zh-CN"/>
            </w:rPr>
            <w:t xml:space="preserve"> </w:t>
          </w:r>
          <w:r>
            <w:rPr>
              <w:rFonts w:hint="eastAsia" w:ascii="宋体" w:eastAsia="宋体" w:hAnsiTheme="minorHAnsi" w:cstheme="minorBidi"/>
              <w:smallCaps/>
              <w:kern w:val="0"/>
              <w:sz w:val="24"/>
              <w:szCs w:val="20"/>
              <w:lang w:eastAsia="zh-CN"/>
            </w:rPr>
            <w:t>提升公共文化服务水平</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_Toc19260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42</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_Toc32705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第九章 打造文化旅游体验区 提升旅游服务质量</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_Toc32705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43</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_Toc19236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第一节 加快推动区域旅游发展</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_Toc19236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43</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_Toc22871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第二节 着力提升旅游服务质量</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_Toc22871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44</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_Toc7192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第十章 加快新型基础设施建设 提高综合承载能力</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_Toc7192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44</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_Toc4217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第一节 加快新型基础设施建设</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_Toc4217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44</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_Toc12123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第二节 提升城区承载能力</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_Toc12123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45</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_Toc2261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第十一章 提升社会建设水平 全面增进民生福祉</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_Toc2261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46</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_Toc7026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eastAsia="zh-CN"/>
            </w:rPr>
            <w:t>第一节</w:t>
          </w:r>
          <w:r>
            <w:rPr>
              <w:rFonts w:hint="eastAsia" w:ascii="宋体" w:eastAsia="宋体" w:hAnsiTheme="minorHAnsi" w:cstheme="minorBidi"/>
              <w:smallCaps/>
              <w:kern w:val="0"/>
              <w:sz w:val="24"/>
              <w:szCs w:val="20"/>
              <w:lang w:val="en-US" w:eastAsia="zh-CN"/>
            </w:rPr>
            <w:t xml:space="preserve"> 健全社会保障体系</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_Toc7026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46</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_Toc554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eastAsia="zh-CN"/>
            </w:rPr>
            <w:t>第二节</w:t>
          </w:r>
          <w:r>
            <w:rPr>
              <w:rFonts w:hint="eastAsia" w:ascii="宋体" w:eastAsia="宋体" w:hAnsiTheme="minorHAnsi" w:cstheme="minorBidi"/>
              <w:smallCaps/>
              <w:kern w:val="0"/>
              <w:sz w:val="24"/>
              <w:szCs w:val="20"/>
              <w:lang w:val="en-US" w:eastAsia="zh-CN"/>
            </w:rPr>
            <w:t xml:space="preserve"> 强化就业优先政策</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_Toc554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47</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_Toc16200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第三节 加快推进教育现代化</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_Toc16200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47</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_Toc3408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第四节 推进“健康兴安”建设</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_Toc3408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49</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_Toc18303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第十二章 统筹发展和安全 打造宜居宜业新兴安</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_Toc18303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49</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_Toc20168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 xml:space="preserve">第一节 </w:t>
          </w:r>
          <w:r>
            <w:rPr>
              <w:rFonts w:hint="eastAsia" w:ascii="宋体" w:eastAsia="宋体" w:hAnsiTheme="minorHAnsi" w:cstheme="minorBidi"/>
              <w:smallCaps/>
              <w:kern w:val="0"/>
              <w:sz w:val="24"/>
              <w:szCs w:val="20"/>
            </w:rPr>
            <w:t>维护国家</w:t>
          </w:r>
          <w:r>
            <w:rPr>
              <w:rFonts w:hint="eastAsia" w:ascii="宋体" w:eastAsia="宋体" w:hAnsiTheme="minorHAnsi" w:cstheme="minorBidi"/>
              <w:smallCaps/>
              <w:kern w:val="0"/>
              <w:sz w:val="24"/>
              <w:szCs w:val="20"/>
              <w:lang w:val="en-US" w:eastAsia="zh-CN"/>
            </w:rPr>
            <w:t>五大</w:t>
          </w:r>
          <w:r>
            <w:rPr>
              <w:rFonts w:hint="eastAsia" w:ascii="宋体" w:eastAsia="宋体" w:hAnsiTheme="minorHAnsi" w:cstheme="minorBidi"/>
              <w:smallCaps/>
              <w:kern w:val="0"/>
              <w:sz w:val="24"/>
              <w:szCs w:val="20"/>
            </w:rPr>
            <w:t>安全</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_Toc20168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50</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_Toc28509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第二节 确保全区人民生命财产安全</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_Toc28509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51</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_Toc8831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第三节 确保全区社会和谐稳定安全</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_Toc8831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51</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6"/>
            <w:keepNext w:val="0"/>
            <w:keepLines w:val="0"/>
            <w:pageBreakBefore w:val="0"/>
            <w:widowControl/>
            <w:tabs>
              <w:tab w:val="right" w:leader="dot" w:pos="8296"/>
            </w:tabs>
            <w:kinsoku/>
            <w:wordWrap/>
            <w:overflowPunct/>
            <w:topLinePunct w:val="0"/>
            <w:autoSpaceDE/>
            <w:autoSpaceDN/>
            <w:bidi w:val="0"/>
            <w:adjustRightInd w:val="0"/>
            <w:snapToGrid w:val="0"/>
            <w:jc w:val="left"/>
            <w:textAlignment w:val="auto"/>
            <w:rPr>
              <w:rFonts w:hint="eastAsia" w:ascii="黑体" w:eastAsia="黑体" w:hAnsiTheme="minorHAnsi" w:cstheme="minorBidi"/>
              <w:b/>
              <w:bCs/>
              <w:caps/>
              <w:kern w:val="0"/>
              <w:sz w:val="26"/>
              <w:szCs w:val="20"/>
              <w:lang w:val="en-US" w:eastAsia="zh-CN"/>
            </w:rPr>
          </w:pP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HYPERLINK \l _Toc25066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第十三章 努力实现“十四五”规划目标任务</w:t>
          </w:r>
          <w:r>
            <w:rPr>
              <w:rFonts w:hint="eastAsia" w:ascii="黑体" w:eastAsia="黑体" w:hAnsiTheme="minorHAnsi" w:cstheme="minorBidi"/>
              <w:b/>
              <w:bCs/>
              <w:caps/>
              <w:kern w:val="0"/>
              <w:sz w:val="26"/>
              <w:szCs w:val="20"/>
              <w:lang w:val="en-US" w:eastAsia="zh-CN"/>
            </w:rPr>
            <w:tab/>
          </w:r>
          <w:r>
            <w:rPr>
              <w:rFonts w:hint="eastAsia" w:ascii="黑体" w:eastAsia="黑体" w:hAnsiTheme="minorHAnsi" w:cstheme="minorBidi"/>
              <w:b/>
              <w:bCs/>
              <w:caps/>
              <w:kern w:val="0"/>
              <w:sz w:val="26"/>
              <w:szCs w:val="20"/>
              <w:lang w:val="en-US" w:eastAsia="zh-CN"/>
            </w:rPr>
            <w:fldChar w:fldCharType="begin"/>
          </w:r>
          <w:r>
            <w:rPr>
              <w:rFonts w:hint="eastAsia" w:ascii="黑体" w:eastAsia="黑体" w:hAnsiTheme="minorHAnsi" w:cstheme="minorBidi"/>
              <w:b/>
              <w:bCs/>
              <w:caps/>
              <w:kern w:val="0"/>
              <w:sz w:val="26"/>
              <w:szCs w:val="20"/>
              <w:lang w:val="en-US" w:eastAsia="zh-CN"/>
            </w:rPr>
            <w:instrText xml:space="preserve"> PAGEREF _Toc25066 </w:instrText>
          </w:r>
          <w:r>
            <w:rPr>
              <w:rFonts w:hint="eastAsia" w:ascii="黑体" w:eastAsia="黑体" w:hAnsiTheme="minorHAnsi" w:cstheme="minorBidi"/>
              <w:b/>
              <w:bCs/>
              <w:caps/>
              <w:kern w:val="0"/>
              <w:sz w:val="26"/>
              <w:szCs w:val="20"/>
              <w:lang w:val="en-US" w:eastAsia="zh-CN"/>
            </w:rPr>
            <w:fldChar w:fldCharType="separate"/>
          </w:r>
          <w:r>
            <w:rPr>
              <w:rFonts w:hint="eastAsia" w:ascii="黑体" w:eastAsia="黑体" w:hAnsiTheme="minorHAnsi" w:cstheme="minorBidi"/>
              <w:b/>
              <w:bCs/>
              <w:caps/>
              <w:kern w:val="0"/>
              <w:sz w:val="26"/>
              <w:szCs w:val="20"/>
              <w:lang w:val="en-US" w:eastAsia="zh-CN"/>
            </w:rPr>
            <w:t>52</w:t>
          </w:r>
          <w:r>
            <w:rPr>
              <w:rFonts w:hint="eastAsia" w:ascii="黑体" w:eastAsia="黑体" w:hAnsiTheme="minorHAnsi" w:cstheme="minorBidi"/>
              <w:b/>
              <w:bCs/>
              <w:caps/>
              <w:kern w:val="0"/>
              <w:sz w:val="26"/>
              <w:szCs w:val="20"/>
              <w:lang w:val="en-US" w:eastAsia="zh-CN"/>
            </w:rPr>
            <w:fldChar w:fldCharType="end"/>
          </w:r>
          <w:r>
            <w:rPr>
              <w:rFonts w:hint="eastAsia" w:ascii="黑体" w:eastAsia="黑体" w:hAnsiTheme="minorHAnsi" w:cstheme="minorBidi"/>
              <w:b/>
              <w:bCs/>
              <w:caps/>
              <w:kern w:val="0"/>
              <w:sz w:val="26"/>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_Toc4835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第一节 坚持和加强党的全面领导</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_Toc4835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52</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_Toc1342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第二节 推进全面从严治党</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_Toc1342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52</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_Toc25989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第三节 推进社会主义民主政治建设</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_Toc25989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52</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ascii="宋体" w:eastAsia="宋体" w:hAnsiTheme="minorHAnsi" w:cstheme="minorBidi"/>
              <w:smallCaps/>
              <w:kern w:val="0"/>
              <w:sz w:val="24"/>
              <w:szCs w:val="20"/>
            </w:rPr>
          </w:pPr>
          <w:r>
            <w:rPr>
              <w:rFonts w:hint="eastAsia" w:ascii="宋体" w:eastAsia="宋体" w:hAnsiTheme="minorHAnsi" w:cstheme="minorBidi"/>
              <w:smallCaps/>
              <w:kern w:val="0"/>
              <w:sz w:val="24"/>
              <w:szCs w:val="20"/>
              <w:lang w:val="en-US" w:eastAsia="zh-CN"/>
            </w:rPr>
            <w:fldChar w:fldCharType="begin"/>
          </w:r>
          <w:r>
            <w:rPr>
              <w:rFonts w:hint="eastAsia" w:ascii="宋体" w:eastAsia="宋体" w:hAnsiTheme="minorHAnsi" w:cstheme="minorBidi"/>
              <w:smallCaps/>
              <w:kern w:val="0"/>
              <w:sz w:val="24"/>
              <w:szCs w:val="20"/>
              <w:lang w:val="en-US" w:eastAsia="zh-CN"/>
            </w:rPr>
            <w:instrText xml:space="preserve"> HYPERLINK \l _Toc2328 </w:instrText>
          </w:r>
          <w:r>
            <w:rPr>
              <w:rFonts w:hint="eastAsia" w:ascii="宋体" w:eastAsia="宋体" w:hAnsiTheme="minorHAnsi" w:cstheme="minorBidi"/>
              <w:smallCaps/>
              <w:kern w:val="0"/>
              <w:sz w:val="24"/>
              <w:szCs w:val="20"/>
              <w:lang w:val="en-US" w:eastAsia="zh-CN"/>
            </w:rPr>
            <w:fldChar w:fldCharType="separate"/>
          </w:r>
          <w:r>
            <w:rPr>
              <w:rFonts w:hint="eastAsia" w:ascii="宋体" w:eastAsia="宋体" w:hAnsiTheme="minorHAnsi" w:cstheme="minorBidi"/>
              <w:smallCaps/>
              <w:kern w:val="0"/>
              <w:sz w:val="24"/>
              <w:szCs w:val="20"/>
              <w:lang w:val="en-US" w:eastAsia="zh-CN"/>
            </w:rPr>
            <w:t>第四节 健全规划制定和落实机制</w:t>
          </w:r>
          <w:r>
            <w:rPr>
              <w:rFonts w:ascii="宋体" w:eastAsia="宋体" w:hAnsiTheme="minorHAnsi" w:cstheme="minorBidi"/>
              <w:smallCaps/>
              <w:kern w:val="0"/>
              <w:sz w:val="24"/>
              <w:szCs w:val="20"/>
            </w:rPr>
            <w:tab/>
          </w:r>
          <w:r>
            <w:rPr>
              <w:rFonts w:ascii="宋体" w:eastAsia="宋体" w:hAnsiTheme="minorHAnsi" w:cstheme="minorBidi"/>
              <w:smallCaps/>
              <w:kern w:val="0"/>
              <w:sz w:val="24"/>
              <w:szCs w:val="20"/>
            </w:rPr>
            <w:fldChar w:fldCharType="begin"/>
          </w:r>
          <w:r>
            <w:rPr>
              <w:rFonts w:ascii="宋体" w:eastAsia="宋体" w:hAnsiTheme="minorHAnsi" w:cstheme="minorBidi"/>
              <w:smallCaps/>
              <w:kern w:val="0"/>
              <w:sz w:val="24"/>
              <w:szCs w:val="20"/>
            </w:rPr>
            <w:instrText xml:space="preserve"> PAGEREF _Toc2328 </w:instrText>
          </w:r>
          <w:r>
            <w:rPr>
              <w:rFonts w:ascii="宋体" w:eastAsia="宋体" w:hAnsiTheme="minorHAnsi" w:cstheme="minorBidi"/>
              <w:smallCaps/>
              <w:kern w:val="0"/>
              <w:sz w:val="24"/>
              <w:szCs w:val="20"/>
            </w:rPr>
            <w:fldChar w:fldCharType="separate"/>
          </w:r>
          <w:r>
            <w:rPr>
              <w:rFonts w:ascii="宋体" w:eastAsia="宋体" w:hAnsiTheme="minorHAnsi" w:cstheme="minorBidi"/>
              <w:smallCaps/>
              <w:kern w:val="0"/>
              <w:sz w:val="24"/>
              <w:szCs w:val="20"/>
            </w:rPr>
            <w:t>54</w:t>
          </w:r>
          <w:r>
            <w:rPr>
              <w:rFonts w:ascii="宋体" w:eastAsia="宋体" w:hAnsiTheme="minorHAnsi" w:cstheme="minorBidi"/>
              <w:smallCaps/>
              <w:kern w:val="0"/>
              <w:sz w:val="24"/>
              <w:szCs w:val="20"/>
            </w:rPr>
            <w:fldChar w:fldCharType="end"/>
          </w:r>
          <w:r>
            <w:rPr>
              <w:rFonts w:hint="eastAsia" w:ascii="宋体" w:eastAsia="宋体" w:hAnsiTheme="minorHAnsi" w:cstheme="minorBidi"/>
              <w:smallCaps/>
              <w:kern w:val="0"/>
              <w:sz w:val="24"/>
              <w:szCs w:val="20"/>
              <w:lang w:val="en-US" w:eastAsia="zh-CN"/>
            </w:rPr>
            <w:fldChar w:fldCharType="end"/>
          </w:r>
        </w:p>
        <w:p>
          <w:pPr>
            <w:pStyle w:val="17"/>
            <w:widowControl/>
            <w:tabs>
              <w:tab w:val="right" w:leader="dot" w:pos="8296"/>
            </w:tabs>
            <w:adjustRightInd w:val="0"/>
            <w:snapToGrid w:val="0"/>
            <w:spacing w:after="0"/>
            <w:ind w:left="220" w:leftChars="0"/>
            <w:jc w:val="left"/>
            <w:rPr>
              <w:rFonts w:hint="eastAsia" w:ascii="宋体" w:eastAsia="宋体" w:hAnsiTheme="minorHAnsi" w:cstheme="minorBidi"/>
              <w:smallCaps/>
              <w:kern w:val="0"/>
              <w:sz w:val="24"/>
              <w:szCs w:val="20"/>
              <w:lang w:val="en-US" w:eastAsia="zh-CN"/>
            </w:rPr>
          </w:pPr>
          <w:r>
            <w:rPr>
              <w:rFonts w:hint="eastAsia" w:ascii="宋体" w:eastAsia="宋体" w:hAnsiTheme="minorHAnsi" w:cstheme="minorBidi"/>
              <w:smallCaps/>
              <w:kern w:val="0"/>
              <w:sz w:val="24"/>
              <w:szCs w:val="20"/>
              <w:lang w:val="en-US" w:eastAsia="zh-CN"/>
            </w:rPr>
            <w:fldChar w:fldCharType="end"/>
          </w:r>
        </w:p>
      </w:sdtContent>
    </w:sdt>
    <w:p>
      <w:pPr>
        <w:pStyle w:val="2"/>
        <w:rPr>
          <w:rFonts w:hint="eastAsia" w:ascii="宋体" w:hAnsi="宋体" w:eastAsia="宋体" w:cs="宋体"/>
          <w:b/>
          <w:bCs/>
          <w:sz w:val="44"/>
          <w:szCs w:val="44"/>
          <w:lang w:val="en-US" w:eastAsia="zh-CN"/>
        </w:rPr>
      </w:pPr>
    </w:p>
    <w:p>
      <w:pPr>
        <w:rPr>
          <w:rFonts w:hint="eastAsia" w:ascii="宋体" w:hAnsi="宋体" w:eastAsia="宋体" w:cs="宋体"/>
          <w:b/>
          <w:bCs/>
          <w:sz w:val="44"/>
          <w:szCs w:val="44"/>
          <w:lang w:val="en-US" w:eastAsia="zh-CN"/>
        </w:rPr>
      </w:pPr>
    </w:p>
    <w:p>
      <w:pPr>
        <w:pStyle w:val="2"/>
        <w:rPr>
          <w:rFonts w:hint="eastAsia" w:ascii="宋体" w:hAnsi="宋体" w:eastAsia="宋体" w:cs="宋体"/>
          <w:b/>
          <w:bCs/>
          <w:sz w:val="44"/>
          <w:szCs w:val="44"/>
          <w:lang w:val="en-US" w:eastAsia="zh-CN"/>
        </w:rPr>
      </w:pPr>
    </w:p>
    <w:p>
      <w:pPr>
        <w:rPr>
          <w:rFonts w:hint="eastAsia" w:ascii="宋体" w:hAnsi="宋体" w:eastAsia="宋体" w:cs="宋体"/>
          <w:b/>
          <w:bCs/>
          <w:sz w:val="44"/>
          <w:szCs w:val="44"/>
          <w:lang w:val="en-US" w:eastAsia="zh-CN"/>
        </w:rPr>
      </w:pPr>
    </w:p>
    <w:p>
      <w:pPr>
        <w:pStyle w:val="2"/>
        <w:rPr>
          <w:rFonts w:hint="eastAsia" w:ascii="宋体" w:hAnsi="宋体" w:eastAsia="宋体" w:cs="宋体"/>
          <w:b/>
          <w:bCs/>
          <w:sz w:val="44"/>
          <w:szCs w:val="44"/>
          <w:lang w:val="en-US" w:eastAsia="zh-CN"/>
        </w:rPr>
      </w:pPr>
    </w:p>
    <w:p>
      <w:pPr>
        <w:rPr>
          <w:rFonts w:hint="eastAsia" w:ascii="宋体" w:hAnsi="宋体" w:eastAsia="宋体" w:cs="宋体"/>
          <w:b/>
          <w:bCs/>
          <w:sz w:val="44"/>
          <w:szCs w:val="44"/>
          <w:lang w:val="en-US" w:eastAsia="zh-CN"/>
        </w:rPr>
      </w:pPr>
    </w:p>
    <w:p>
      <w:pPr>
        <w:pStyle w:val="2"/>
        <w:rPr>
          <w:rFonts w:hint="eastAsia" w:ascii="宋体" w:hAnsi="宋体" w:eastAsia="宋体" w:cs="宋体"/>
          <w:b/>
          <w:bCs/>
          <w:sz w:val="44"/>
          <w:szCs w:val="44"/>
          <w:lang w:val="en-US" w:eastAsia="zh-CN"/>
        </w:rPr>
        <w:sectPr>
          <w:footerReference r:id="rId4" w:type="default"/>
          <w:pgSz w:w="11900" w:h="16838"/>
          <w:pgMar w:top="1440" w:right="1803" w:bottom="1440" w:left="1803" w:header="709" w:footer="1247" w:gutter="0"/>
          <w:pgNumType w:fmt="decimal" w:start="1"/>
          <w:cols w:space="0" w:num="1"/>
          <w:rtlGutter w:val="0"/>
          <w:docGrid w:type="linesAndChars" w:linePitch="297" w:charSpace="2867"/>
        </w:sectPr>
      </w:pPr>
    </w:p>
    <w:p>
      <w:pPr>
        <w:rPr>
          <w:rFonts w:hint="eastAsia"/>
          <w:lang w:val="en-US" w:eastAsia="zh-CN"/>
        </w:rPr>
      </w:pPr>
    </w:p>
    <w:p>
      <w:pPr>
        <w:rPr>
          <w:rFonts w:hint="eastAsia"/>
          <w:lang w:val="en-US" w:eastAsia="zh-CN"/>
        </w:rPr>
      </w:pPr>
    </w:p>
    <w:p>
      <w:pPr>
        <w:jc w:val="center"/>
        <w:outlineLvl w:val="0"/>
        <w:rPr>
          <w:rFonts w:hint="eastAsia" w:ascii="宋体" w:hAnsi="宋体" w:eastAsia="宋体" w:cs="宋体"/>
          <w:b/>
          <w:bCs/>
          <w:sz w:val="44"/>
          <w:szCs w:val="44"/>
          <w:lang w:val="en-US" w:eastAsia="zh-CN"/>
        </w:rPr>
      </w:pPr>
      <w:bookmarkStart w:id="3" w:name="_Toc5736"/>
      <w:bookmarkStart w:id="4" w:name="_Toc25159"/>
      <w:bookmarkStart w:id="5" w:name="_Toc6600"/>
      <w:bookmarkStart w:id="6" w:name="_Toc2860"/>
      <w:bookmarkStart w:id="7" w:name="_Toc20899"/>
      <w:bookmarkStart w:id="8" w:name="_Toc9081"/>
      <w:bookmarkStart w:id="9" w:name="_Toc28138"/>
      <w:r>
        <w:rPr>
          <w:rFonts w:hint="eastAsia" w:ascii="宋体" w:hAnsi="宋体" w:eastAsia="宋体" w:cs="宋体"/>
          <w:b/>
          <w:bCs/>
          <w:sz w:val="44"/>
          <w:szCs w:val="44"/>
          <w:lang w:val="en-US" w:eastAsia="zh-CN"/>
        </w:rPr>
        <w:t>兴安区国民经济和社会发展</w:t>
      </w:r>
      <w:bookmarkEnd w:id="0"/>
      <w:bookmarkEnd w:id="1"/>
      <w:bookmarkEnd w:id="2"/>
      <w:bookmarkEnd w:id="3"/>
      <w:bookmarkEnd w:id="4"/>
      <w:bookmarkEnd w:id="5"/>
      <w:bookmarkEnd w:id="6"/>
      <w:bookmarkEnd w:id="7"/>
      <w:bookmarkEnd w:id="8"/>
      <w:bookmarkEnd w:id="9"/>
    </w:p>
    <w:p>
      <w:pPr>
        <w:jc w:val="center"/>
        <w:outlineLvl w:val="0"/>
        <w:rPr>
          <w:rFonts w:hint="eastAsia" w:ascii="宋体" w:hAnsi="宋体" w:eastAsia="宋体" w:cs="宋体"/>
          <w:b/>
          <w:bCs/>
          <w:sz w:val="44"/>
          <w:szCs w:val="44"/>
          <w:lang w:val="en-US" w:eastAsia="zh-CN"/>
        </w:rPr>
      </w:pPr>
      <w:bookmarkStart w:id="10" w:name="_Toc16524"/>
      <w:bookmarkStart w:id="11" w:name="_Toc27218"/>
      <w:bookmarkStart w:id="12" w:name="_Toc22422"/>
      <w:bookmarkStart w:id="13" w:name="_Toc18623"/>
      <w:bookmarkStart w:id="14" w:name="_Toc17057"/>
      <w:bookmarkStart w:id="15" w:name="_Toc24753"/>
      <w:bookmarkStart w:id="16" w:name="_Toc32618"/>
      <w:bookmarkStart w:id="17" w:name="_Toc7489"/>
      <w:bookmarkStart w:id="18" w:name="_Toc18565"/>
      <w:bookmarkStart w:id="19" w:name="_Toc18280"/>
      <w:r>
        <w:rPr>
          <w:rFonts w:hint="eastAsia" w:ascii="宋体" w:hAnsi="宋体" w:eastAsia="宋体" w:cs="宋体"/>
          <w:b/>
          <w:bCs/>
          <w:sz w:val="44"/>
          <w:szCs w:val="44"/>
          <w:lang w:val="en-US" w:eastAsia="zh-CN"/>
        </w:rPr>
        <w:t>第十四个五年规划纲要</w:t>
      </w:r>
      <w:bookmarkEnd w:id="10"/>
      <w:bookmarkEnd w:id="11"/>
      <w:bookmarkEnd w:id="12"/>
      <w:bookmarkEnd w:id="13"/>
      <w:bookmarkEnd w:id="14"/>
      <w:bookmarkEnd w:id="15"/>
      <w:bookmarkEnd w:id="16"/>
      <w:bookmarkEnd w:id="17"/>
      <w:bookmarkEnd w:id="18"/>
      <w:bookmarkEnd w:id="19"/>
    </w:p>
    <w:p>
      <w:pPr>
        <w:ind w:firstLine="666" w:firstLineChars="200"/>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66"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“十四五”时期是我国全面建成小康社会、实现第一个百年奋斗目标后，乘势而上开启全面建设社会主义现代化新征程、向第二个百年奋斗目标进军的第一个五年。以习近平新时代中国特色社会主义思想为指导，</w:t>
      </w:r>
      <w:r>
        <w:rPr>
          <w:rFonts w:hint="eastAsia" w:ascii="仿宋_GB2312" w:hAnsi="仿宋_GB2312" w:eastAsia="仿宋_GB2312" w:cs="仿宋_GB2312"/>
          <w:sz w:val="32"/>
          <w:szCs w:val="32"/>
        </w:rPr>
        <w:t>科学编制并有效实施“十四五”规划，对于兴安区深化“四大战略”、发展“五大产业”、聚焦“五转一变”的转型主攻方向，奋力走出质量更高、效益更好、结构更优、优势充分释放的高质量转型发展新路具有重大意义。</w:t>
      </w:r>
      <w:r>
        <w:rPr>
          <w:rFonts w:hint="eastAsia" w:ascii="仿宋_GB2312" w:hAnsi="仿宋_GB2312" w:eastAsia="仿宋_GB2312" w:cs="仿宋_GB2312"/>
          <w:sz w:val="32"/>
          <w:szCs w:val="32"/>
          <w:lang w:val="en-US" w:eastAsia="zh-CN"/>
        </w:rPr>
        <w:t>本纲要依据《中共兴安区委关于制定国民经济和社会发展第十四个五年规划和二〇三五年远景目标的建议》编制，是今后五年我区国民经济和社会发展的蓝图，是全区人民奋斗的行动纲领。</w:t>
      </w:r>
      <w:bookmarkStart w:id="20" w:name="_Toc14700"/>
    </w:p>
    <w:p>
      <w:pPr>
        <w:pStyle w:val="37"/>
        <w:keepNext/>
        <w:keepLines/>
        <w:widowControl/>
        <w:adjustRightInd w:val="0"/>
        <w:snapToGrid w:val="0"/>
        <w:spacing w:before="240" w:after="240"/>
        <w:ind w:left="0" w:firstLine="0"/>
        <w:rPr>
          <w:rFonts w:hint="eastAsia"/>
          <w:kern w:val="44"/>
          <w:lang w:eastAsia="zh-CN"/>
        </w:rPr>
      </w:pPr>
      <w:bookmarkStart w:id="21" w:name="_Toc6969"/>
      <w:bookmarkStart w:id="22" w:name="_Toc26020"/>
      <w:bookmarkStart w:id="23" w:name="_Toc24168"/>
      <w:r>
        <w:rPr>
          <w:rFonts w:hint="eastAsia"/>
          <w:kern w:val="44"/>
          <w:lang w:val="en-US" w:eastAsia="zh-CN"/>
        </w:rPr>
        <w:t xml:space="preserve">第一章 </w:t>
      </w:r>
      <w:r>
        <w:rPr>
          <w:rFonts w:hint="eastAsia"/>
          <w:kern w:val="44"/>
        </w:rPr>
        <w:t>全面建成小康社会</w:t>
      </w:r>
      <w:r>
        <w:rPr>
          <w:rFonts w:hint="eastAsia"/>
          <w:kern w:val="44"/>
          <w:lang w:val="en-US" w:eastAsia="zh-CN"/>
        </w:rPr>
        <w:t xml:space="preserve"> </w:t>
      </w:r>
      <w:r>
        <w:rPr>
          <w:rFonts w:hint="eastAsia"/>
          <w:kern w:val="44"/>
        </w:rPr>
        <w:t>奋力谱写</w:t>
      </w:r>
      <w:r>
        <w:rPr>
          <w:rFonts w:hint="eastAsia"/>
          <w:kern w:val="44"/>
          <w:lang w:eastAsia="zh-CN"/>
        </w:rPr>
        <w:t>兴安高质量</w:t>
      </w:r>
      <w:bookmarkEnd w:id="21"/>
      <w:bookmarkEnd w:id="22"/>
      <w:bookmarkEnd w:id="23"/>
    </w:p>
    <w:p>
      <w:pPr>
        <w:pStyle w:val="37"/>
        <w:keepNext/>
        <w:keepLines/>
        <w:widowControl/>
        <w:adjustRightInd w:val="0"/>
        <w:snapToGrid w:val="0"/>
        <w:spacing w:before="240" w:after="240"/>
        <w:ind w:left="0" w:firstLine="0"/>
        <w:rPr>
          <w:rFonts w:hint="eastAsia" w:ascii="黑体" w:hAnsi="黑体" w:eastAsia="黑体" w:cs="黑体"/>
          <w:sz w:val="32"/>
          <w:szCs w:val="32"/>
          <w:lang w:val="en-US" w:eastAsia="zh-CN"/>
        </w:rPr>
      </w:pPr>
      <w:bookmarkStart w:id="24" w:name="_Toc3586"/>
      <w:bookmarkStart w:id="25" w:name="_Toc21152"/>
      <w:bookmarkStart w:id="26" w:name="_Toc20271"/>
      <w:bookmarkStart w:id="27" w:name="_Toc10051"/>
      <w:bookmarkStart w:id="28" w:name="_Toc9952"/>
      <w:r>
        <w:rPr>
          <w:rFonts w:hint="eastAsia"/>
          <w:kern w:val="44"/>
        </w:rPr>
        <w:t>转型发展新篇章</w:t>
      </w:r>
      <w:bookmarkEnd w:id="20"/>
      <w:bookmarkEnd w:id="24"/>
      <w:bookmarkEnd w:id="25"/>
      <w:bookmarkEnd w:id="26"/>
      <w:bookmarkEnd w:id="27"/>
      <w:bookmarkEnd w:id="28"/>
      <w:bookmarkStart w:id="29" w:name="_Toc11896"/>
    </w:p>
    <w:p>
      <w:pPr>
        <w:pStyle w:val="36"/>
        <w:widowControl/>
        <w:adjustRightInd w:val="0"/>
        <w:snapToGrid w:val="0"/>
        <w:spacing w:before="240" w:after="240"/>
        <w:outlineLvl w:val="0"/>
        <w:rPr>
          <w:rFonts w:hint="eastAsia" w:ascii="黑体" w:hAnsi="黑体" w:eastAsia="黑体" w:cs="黑体"/>
          <w:sz w:val="32"/>
          <w:szCs w:val="32"/>
          <w:lang w:val="zh-CN" w:eastAsia="zh-CN"/>
        </w:rPr>
      </w:pPr>
      <w:bookmarkStart w:id="30" w:name="_Toc28086"/>
      <w:bookmarkStart w:id="31" w:name="_Toc24601"/>
      <w:bookmarkStart w:id="32" w:name="_Toc5907"/>
      <w:r>
        <w:rPr>
          <w:rFonts w:hint="eastAsia"/>
          <w:kern w:val="0"/>
          <w:lang w:val="en-US" w:eastAsia="zh-CN"/>
        </w:rPr>
        <w:t xml:space="preserve">第一节 </w:t>
      </w:r>
      <w:bookmarkEnd w:id="29"/>
      <w:bookmarkEnd w:id="30"/>
      <w:r>
        <w:rPr>
          <w:rFonts w:hint="eastAsia"/>
          <w:kern w:val="0"/>
          <w:lang w:val="en-US" w:eastAsia="zh-CN"/>
        </w:rPr>
        <w:t>决胜全面建成小康社会取得的新成就</w:t>
      </w:r>
      <w:bookmarkEnd w:id="31"/>
      <w:bookmarkEnd w:id="32"/>
    </w:p>
    <w:p>
      <w:pPr>
        <w:spacing w:line="600" w:lineRule="exact"/>
        <w:ind w:firstLine="666" w:firstLineChars="200"/>
      </w:pPr>
      <w:bookmarkStart w:id="33" w:name="_Toc17504"/>
      <w:bookmarkStart w:id="34" w:name="_Toc6659"/>
      <w:r>
        <w:rPr>
          <w:rFonts w:hint="eastAsia" w:ascii="仿宋_GB2312" w:hAnsi="仿宋_GB2312" w:eastAsia="仿宋_GB2312" w:cs="仿宋_GB2312"/>
          <w:sz w:val="32"/>
          <w:szCs w:val="32"/>
          <w:lang w:val="zh-CN"/>
        </w:rPr>
        <w:t>“十</w:t>
      </w:r>
      <w:r>
        <w:rPr>
          <w:rFonts w:hint="eastAsia" w:ascii="仿宋_GB2312" w:hAnsi="仿宋_GB2312" w:eastAsia="仿宋_GB2312" w:cs="仿宋_GB2312"/>
          <w:sz w:val="32"/>
          <w:szCs w:val="32"/>
        </w:rPr>
        <w:t>三五”时期，在市委市政府的正确领导下，兴安区坚持以习近平新时代中国特色社会主义思想为指导，全面贯彻党的十九大和十九届二中、三中、四中、五中全会精神，深入落实习近平总书记在深入推进东北振兴座谈会上的重要讲话、重要指示批示精神，坚持贯彻新的发展理念和稳中求进工作总基调，统筹推进疫情防控和经济社会发展，锐意进取、奋力拼搏、攻坚克难，全力推进兴安高质量转型发展，</w:t>
      </w:r>
      <w:r>
        <w:rPr>
          <w:rFonts w:hint="eastAsia" w:ascii="仿宋_GB2312" w:hAnsi="仿宋_GB2312" w:eastAsia="仿宋_GB2312" w:cs="仿宋_GB2312"/>
          <w:sz w:val="32"/>
          <w:szCs w:val="32"/>
          <w:lang w:val="zh-CN"/>
        </w:rPr>
        <w:t>“十</w:t>
      </w:r>
      <w:r>
        <w:rPr>
          <w:rFonts w:hint="eastAsia" w:ascii="仿宋_GB2312" w:hAnsi="仿宋_GB2312" w:eastAsia="仿宋_GB2312" w:cs="仿宋_GB2312"/>
          <w:sz w:val="32"/>
          <w:szCs w:val="32"/>
        </w:rPr>
        <w:t>三五”规划主要目标任务基本完成，全面建成小康社会奋斗目标如期实现。</w:t>
      </w:r>
    </w:p>
    <w:p>
      <w:pPr>
        <w:ind w:firstLine="666" w:firstLineChars="200"/>
        <w:rPr>
          <w:rFonts w:hint="eastAsia" w:ascii="仿宋_GB2312" w:hAnsi="仿宋_GB2312" w:eastAsia="仿宋_GB2312" w:cs="仿宋_GB2312"/>
          <w:sz w:val="32"/>
          <w:szCs w:val="32"/>
          <w:lang w:eastAsia="zh-CN"/>
        </w:rPr>
      </w:pPr>
      <w:bookmarkStart w:id="35" w:name="_Toc21059"/>
      <w:r>
        <w:rPr>
          <w:rFonts w:ascii="楷体" w:hAnsi="楷体" w:eastAsia="楷体" w:cs="楷体"/>
          <w:b/>
          <w:bCs/>
          <w:sz w:val="32"/>
          <w:szCs w:val="32"/>
        </w:rPr>
        <w:t>——</w:t>
      </w:r>
      <w:bookmarkEnd w:id="35"/>
      <w:r>
        <w:rPr>
          <w:rFonts w:hint="eastAsia" w:ascii="楷体" w:hAnsi="楷体" w:eastAsia="楷体" w:cs="楷体"/>
          <w:b/>
          <w:bCs/>
          <w:sz w:val="32"/>
          <w:szCs w:val="32"/>
        </w:rPr>
        <w:t>经济总量做大做优。</w:t>
      </w:r>
      <w:r>
        <w:rPr>
          <w:rFonts w:hint="eastAsia" w:ascii="仿宋_GB2312" w:hAnsi="仿宋_GB2312" w:eastAsia="仿宋_GB2312" w:cs="仿宋_GB2312"/>
          <w:sz w:val="32"/>
          <w:szCs w:val="32"/>
        </w:rPr>
        <w:t>聚焦绿色矿业、生态农业、文化旅游、外贸物流、战略新兴等“五大产业”，深入实施“工业强市战略”，扎实推动“市百大项目”和“十百千工程”建设，</w:t>
      </w:r>
      <w:bookmarkStart w:id="36" w:name="_Toc22047"/>
      <w:r>
        <w:rPr>
          <w:rFonts w:hint="eastAsia" w:ascii="仿宋_GB2312" w:hAnsi="仿宋_GB2312" w:eastAsia="仿宋_GB2312" w:cs="仿宋_GB2312"/>
          <w:sz w:val="32"/>
          <w:szCs w:val="32"/>
        </w:rPr>
        <w:t>实现了新旧动能有效转换，新技术、新产业、新业态、新模式蓬勃发展的喜人局面。</w:t>
      </w:r>
      <w:bookmarkEnd w:id="36"/>
      <w:r>
        <w:rPr>
          <w:rFonts w:hint="eastAsia" w:ascii="仿宋_GB2312" w:hAnsi="仿宋_GB2312" w:eastAsia="仿宋_GB2312" w:cs="仿宋_GB2312"/>
          <w:sz w:val="32"/>
          <w:szCs w:val="32"/>
          <w:lang w:eastAsia="zh-CN"/>
        </w:rPr>
        <w:t>与“十三五”开局之年相比，预计地区生产总值年均增长6%，规模以上工业增加值</w:t>
      </w:r>
      <w:r>
        <w:rPr>
          <w:rFonts w:hint="eastAsia" w:ascii="仿宋_GB2312" w:hAnsi="仿宋_GB2312" w:eastAsia="仿宋_GB2312" w:cs="仿宋_GB2312"/>
          <w:sz w:val="32"/>
          <w:szCs w:val="32"/>
          <w:lang w:val="en-US" w:eastAsia="zh-CN"/>
        </w:rPr>
        <w:t>年均增长9</w:t>
      </w:r>
      <w:r>
        <w:rPr>
          <w:rFonts w:hint="eastAsia" w:ascii="仿宋_GB2312" w:hAnsi="仿宋_GB2312" w:eastAsia="仿宋_GB2312" w:cs="仿宋_GB2312"/>
          <w:sz w:val="32"/>
          <w:szCs w:val="32"/>
          <w:lang w:eastAsia="zh-CN"/>
        </w:rPr>
        <w:t>%，固定资产投资年均增长7%，一般公共预算收入年均增长</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lang w:eastAsia="zh-CN"/>
        </w:rPr>
        <w:t>%，城镇居民人均可支配收入年均增</w:t>
      </w:r>
      <w:r>
        <w:rPr>
          <w:rFonts w:hint="eastAsia" w:ascii="仿宋_GB2312" w:hAnsi="仿宋_GB2312" w:eastAsia="仿宋_GB2312" w:cs="仿宋_GB2312"/>
          <w:sz w:val="32"/>
          <w:szCs w:val="32"/>
          <w:lang w:val="en-US" w:eastAsia="zh-CN"/>
        </w:rPr>
        <w:t>长</w:t>
      </w:r>
      <w:r>
        <w:rPr>
          <w:rFonts w:hint="eastAsia" w:ascii="仿宋_GB2312" w:hAnsi="仿宋_GB2312" w:eastAsia="仿宋_GB2312" w:cs="仿宋_GB2312"/>
          <w:sz w:val="32"/>
          <w:szCs w:val="32"/>
          <w:lang w:eastAsia="zh-CN"/>
        </w:rPr>
        <w:t>7%，农村居民人均可支配收入年均增长6.5%。</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转型后劲持续激发。</w:t>
      </w:r>
      <w:bookmarkStart w:id="37" w:name="_Toc24566"/>
      <w:r>
        <w:rPr>
          <w:rFonts w:hint="eastAsia" w:ascii="仿宋_GB2312" w:hAnsi="仿宋_GB2312" w:eastAsia="仿宋_GB2312" w:cs="仿宋_GB2312"/>
          <w:sz w:val="32"/>
          <w:szCs w:val="32"/>
        </w:rPr>
        <w:t>坚持“内外兼修”的发展思路，坚持引进外来项目和促进本地企业同步发展，不断提高为企业、项目服务质效。全区三产结构比由</w:t>
      </w:r>
      <w:r>
        <w:rPr>
          <w:rFonts w:ascii="仿宋_GB2312" w:hAnsi="仿宋_GB2312" w:eastAsia="仿宋_GB2312" w:cs="仿宋_GB2312"/>
          <w:sz w:val="32"/>
          <w:szCs w:val="32"/>
        </w:rPr>
        <w:t>6:63:31</w:t>
      </w:r>
      <w:r>
        <w:rPr>
          <w:rFonts w:hint="eastAsia" w:ascii="仿宋_GB2312" w:hAnsi="仿宋_GB2312" w:eastAsia="仿宋_GB2312" w:cs="仿宋_GB2312"/>
          <w:sz w:val="32"/>
          <w:szCs w:val="32"/>
        </w:rPr>
        <w:t>调整为</w:t>
      </w:r>
      <w:r>
        <w:rPr>
          <w:rFonts w:ascii="仿宋_GB2312" w:hAnsi="仿宋_GB2312" w:eastAsia="仿宋_GB2312" w:cs="仿宋_GB2312"/>
          <w:sz w:val="32"/>
          <w:szCs w:val="32"/>
        </w:rPr>
        <w:t>10:36:54</w:t>
      </w:r>
      <w:r>
        <w:rPr>
          <w:rFonts w:hint="eastAsia" w:ascii="仿宋_GB2312" w:hAnsi="仿宋_GB2312" w:eastAsia="仿宋_GB2312" w:cs="仿宋_GB2312"/>
          <w:sz w:val="32"/>
          <w:szCs w:val="32"/>
        </w:rPr>
        <w:t>，多元发展、竞相发展的转型格局逐渐明晰。不断强化项目建设，累计新、续建产业项目</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个，总投资达</w:t>
      </w:r>
      <w:r>
        <w:rPr>
          <w:rFonts w:ascii="仿宋_GB2312" w:hAnsi="仿宋_GB2312" w:eastAsia="仿宋_GB2312" w:cs="仿宋_GB2312"/>
          <w:sz w:val="32"/>
          <w:szCs w:val="32"/>
        </w:rPr>
        <w:t>33.2</w:t>
      </w:r>
      <w:r>
        <w:rPr>
          <w:rFonts w:hint="eastAsia" w:ascii="仿宋_GB2312" w:hAnsi="仿宋_GB2312" w:eastAsia="仿宋_GB2312" w:cs="仿宋_GB2312"/>
          <w:sz w:val="32"/>
          <w:szCs w:val="32"/>
        </w:rPr>
        <w:t>亿元，转型基础持续稳固。积极推动招商引资，累计完成招商引资</w:t>
      </w:r>
      <w:r>
        <w:rPr>
          <w:rFonts w:ascii="仿宋_GB2312" w:hAnsi="仿宋_GB2312" w:eastAsia="仿宋_GB2312" w:cs="仿宋_GB2312"/>
          <w:sz w:val="32"/>
          <w:szCs w:val="32"/>
        </w:rPr>
        <w:t>49.13</w:t>
      </w:r>
      <w:r>
        <w:rPr>
          <w:rFonts w:hint="eastAsia" w:ascii="仿宋_GB2312" w:hAnsi="仿宋_GB2312" w:eastAsia="仿宋_GB2312" w:cs="仿宋_GB2312"/>
          <w:sz w:val="32"/>
          <w:szCs w:val="32"/>
        </w:rPr>
        <w:t>亿元，利用省外内资</w:t>
      </w:r>
      <w:r>
        <w:rPr>
          <w:rFonts w:ascii="仿宋_GB2312" w:hAnsi="仿宋_GB2312" w:eastAsia="仿宋_GB2312" w:cs="仿宋_GB2312"/>
          <w:sz w:val="32"/>
          <w:szCs w:val="32"/>
        </w:rPr>
        <w:t>20.78</w:t>
      </w:r>
      <w:r>
        <w:rPr>
          <w:rFonts w:hint="eastAsia" w:ascii="仿宋_GB2312" w:hAnsi="仿宋_GB2312" w:eastAsia="仿宋_GB2312" w:cs="仿宋_GB2312"/>
          <w:sz w:val="32"/>
          <w:szCs w:val="32"/>
        </w:rPr>
        <w:t>亿元，转型动能储备强劲。产业形态由“一煤独大”转变为现代商贸、新材料、新能源、大物流等多产业竞相崛起的新格局。</w:t>
      </w:r>
    </w:p>
    <w:p>
      <w:pPr>
        <w:spacing w:line="600" w:lineRule="exact"/>
        <w:ind w:firstLine="666" w:firstLineChars="200"/>
        <w:rPr>
          <w:rFonts w:hint="eastAsia"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三农工作稳步推进。</w:t>
      </w:r>
      <w:bookmarkEnd w:id="37"/>
      <w:r>
        <w:rPr>
          <w:rFonts w:hint="eastAsia" w:ascii="仿宋_GB2312" w:hAnsi="仿宋_GB2312" w:eastAsia="仿宋_GB2312" w:cs="仿宋_GB2312"/>
          <w:sz w:val="32"/>
          <w:szCs w:val="32"/>
        </w:rPr>
        <w:t>科学设定农业发展规划，扎实推进涉农领域改革，农业农村工作持续向好。推动种植结构调优，全区粮食总产量突破1.75亿斤，果蔬、鲜食玉米、汉麻等特色种植产业迅速发展。大力发展畜牧产业，建成规模化养殖场4个，累计完成生猪出栏10万</w:t>
      </w:r>
      <w:r>
        <w:rPr>
          <w:rFonts w:hint="eastAsia" w:ascii="仿宋_GB2312" w:hAnsi="仿宋_GB2312" w:eastAsia="仿宋_GB2312" w:cs="仿宋_GB2312"/>
          <w:sz w:val="32"/>
          <w:szCs w:val="32"/>
          <w:lang w:eastAsia="zh-CN"/>
        </w:rPr>
        <w:t>余</w:t>
      </w:r>
      <w:r>
        <w:rPr>
          <w:rFonts w:hint="eastAsia" w:ascii="仿宋_GB2312" w:hAnsi="仿宋_GB2312" w:eastAsia="仿宋_GB2312" w:cs="仿宋_GB2312"/>
          <w:sz w:val="32"/>
          <w:szCs w:val="32"/>
        </w:rPr>
        <w:t>头。深化农村体制改革，组建股份制经济合作社9个，新增村级集体收入306.9万元。培育新型经营主体，农民合作社达到19个，鼓励农户申办家庭农场170家。强化人居环境整治，完成村屯绿化20，000平方米，打造美丽乡村1个。紧盯“两不愁三保障”，强化脱贫攻坚和阶段性帮扶救助，全区11户22人全部脱贫。</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社会事业长足进步。</w:t>
      </w:r>
      <w:r>
        <w:rPr>
          <w:rFonts w:hint="eastAsia" w:ascii="仿宋_GB2312" w:hAnsi="仿宋_GB2312" w:eastAsia="仿宋_GB2312" w:cs="仿宋_GB2312"/>
          <w:sz w:val="32"/>
          <w:szCs w:val="32"/>
        </w:rPr>
        <w:t>始终树牢以人民为中心的发展思想，着力把民生工程打造成民心工程，持续改善人民群众生活水平。狠抓就业富民，累计完成新增就业</w:t>
      </w:r>
      <w:r>
        <w:rPr>
          <w:rFonts w:ascii="仿宋_GB2312" w:hAnsi="仿宋_GB2312" w:eastAsia="仿宋_GB2312" w:cs="仿宋_GB2312"/>
          <w:sz w:val="32"/>
          <w:szCs w:val="32"/>
        </w:rPr>
        <w:t>1.14</w:t>
      </w:r>
      <w:r>
        <w:rPr>
          <w:rFonts w:hint="eastAsia" w:ascii="仿宋_GB2312" w:hAnsi="仿宋_GB2312" w:eastAsia="仿宋_GB2312" w:cs="仿宋_GB2312"/>
          <w:sz w:val="32"/>
          <w:szCs w:val="32"/>
        </w:rPr>
        <w:t>万人，失业再就业</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万人，失业率控制为</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。狠抓保障惠民，足额发放各类救助资金，抓牢阶段性困难救助，居民社保参保率、医保覆盖率稳步提升。狠抓服务为民，建成千米以上省级标准社区</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个，沿河社区、兴旺社区和峻昌社区分别获得国家级防灾减灾示范社区荣誉称号，沿河社区获得</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年度“全国实施妇女儿童发展规划先进集体”荣誉称号。狠抓文教强民，举办各类文体活动</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余次，辖区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所小学全部实现义务教育均衡发展，</w:t>
      </w:r>
      <w:r>
        <w:rPr>
          <w:rFonts w:hint="eastAsia" w:ascii="仿宋_GB2312" w:hAnsi="仿宋_GB2312" w:eastAsia="仿宋_GB2312" w:cs="仿宋_GB2312"/>
          <w:sz w:val="32"/>
          <w:szCs w:val="32"/>
          <w:lang w:val="en-US" w:eastAsia="zh-CN"/>
        </w:rPr>
        <w:t>2018年3月兴安三校荣获“黑龙江省文明校园”称号；</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年大陆南小学荣获“全国冰雪特色学校”称号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2020年6月兴安三校荣获“黑龙江省文明中队”称号；红旗一校荣获“黑龙江省中小学校心理健康教育示范校”称号</w:t>
      </w:r>
      <w:r>
        <w:rPr>
          <w:rFonts w:hint="eastAsia" w:ascii="仿宋_GB2312" w:hAnsi="仿宋_GB2312" w:eastAsia="仿宋_GB2312" w:cs="仿宋_GB2312"/>
          <w:sz w:val="32"/>
          <w:szCs w:val="32"/>
        </w:rPr>
        <w:t>。</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基础设施日趋完善。</w:t>
      </w:r>
      <w:r>
        <w:rPr>
          <w:rFonts w:hint="eastAsia" w:ascii="仿宋_GB2312" w:hAnsi="仿宋_GB2312" w:eastAsia="仿宋_GB2312" w:cs="仿宋_GB2312"/>
          <w:sz w:val="32"/>
          <w:szCs w:val="32"/>
        </w:rPr>
        <w:t>区域建设取得了历史性成果，持续在硬化、绿化、亮化、美化上下功夫，助力辖区居民幸福指数不断提升。特别是群众翘首以盼、关乎区域转型的重大补短板基础设施项目取得重大突破，新改建主次干道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街巷道路35</w:t>
      </w:r>
      <w:r>
        <w:rPr>
          <w:rFonts w:hint="eastAsia" w:ascii="仿宋_GB2312" w:hAnsi="仿宋_GB2312" w:eastAsia="仿宋_GB2312" w:cs="仿宋_GB2312"/>
          <w:sz w:val="32"/>
          <w:szCs w:val="32"/>
        </w:rPr>
        <w:t>条，建设里程</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梧桐大道、金鹤路</w:t>
      </w:r>
      <w:r>
        <w:rPr>
          <w:rFonts w:hint="eastAsia" w:ascii="仿宋_GB2312" w:hAnsi="仿宋_GB2312" w:eastAsia="仿宋_GB2312" w:cs="仿宋_GB2312"/>
          <w:sz w:val="32"/>
          <w:szCs w:val="32"/>
        </w:rPr>
        <w:t>等相继建成通车，城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路网体系日趋完善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新建大陆南广场、光宇美食文化广场等“口袋广场”8处，水冲式公厕5座。</w:t>
      </w:r>
      <w:r>
        <w:rPr>
          <w:rFonts w:hint="eastAsia" w:ascii="仿宋_GB2312" w:hAnsi="仿宋_GB2312" w:eastAsia="仿宋_GB2312" w:cs="仿宋_GB2312"/>
          <w:sz w:val="32"/>
          <w:szCs w:val="32"/>
        </w:rPr>
        <w:t>新装更换路灯</w:t>
      </w:r>
      <w:r>
        <w:rPr>
          <w:rFonts w:hint="eastAsia" w:ascii="仿宋_GB2312" w:hAnsi="仿宋_GB2312" w:eastAsia="仿宋_GB2312" w:cs="仿宋_GB2312"/>
          <w:sz w:val="32"/>
          <w:szCs w:val="32"/>
          <w:lang w:val="en-US" w:eastAsia="zh-CN"/>
        </w:rPr>
        <w:t>673</w:t>
      </w:r>
      <w:r>
        <w:rPr>
          <w:rFonts w:hint="eastAsia" w:ascii="仿宋_GB2312" w:hAnsi="仿宋_GB2312" w:eastAsia="仿宋_GB2312" w:cs="仿宋_GB2312"/>
          <w:sz w:val="32"/>
          <w:szCs w:val="32"/>
        </w:rPr>
        <w:t>盏，</w:t>
      </w:r>
      <w:r>
        <w:rPr>
          <w:rFonts w:hint="eastAsia" w:ascii="仿宋_GB2312" w:hAnsi="仿宋_GB2312" w:eastAsia="仿宋_GB2312" w:cs="仿宋_GB2312"/>
          <w:sz w:val="32"/>
          <w:szCs w:val="32"/>
          <w:lang w:val="en-US" w:eastAsia="zh-CN"/>
        </w:rPr>
        <w:t>兴安南北桥、峻德桥、</w:t>
      </w:r>
      <w:r>
        <w:rPr>
          <w:rFonts w:hint="eastAsia" w:ascii="仿宋_GB2312" w:hAnsi="仿宋_GB2312" w:eastAsia="仿宋_GB2312" w:cs="仿宋_GB2312"/>
          <w:sz w:val="32"/>
          <w:szCs w:val="32"/>
        </w:rPr>
        <w:t>滨河新区临街楼体全部亮化。</w:t>
      </w:r>
      <w:r>
        <w:rPr>
          <w:rFonts w:hint="eastAsia" w:ascii="仿宋_GB2312" w:hAnsi="仿宋_GB2312" w:eastAsia="仿宋_GB2312" w:cs="仿宋_GB2312"/>
          <w:sz w:val="32"/>
          <w:szCs w:val="32"/>
          <w:lang w:val="en-US" w:eastAsia="zh-CN"/>
        </w:rPr>
        <w:t>拆除各类违章建筑6550户、9.8平方米。</w:t>
      </w:r>
      <w:r>
        <w:rPr>
          <w:rFonts w:hint="eastAsia" w:ascii="仿宋_GB2312" w:hAnsi="仿宋_GB2312" w:eastAsia="仿宋_GB2312" w:cs="仿宋_GB2312"/>
          <w:sz w:val="32"/>
          <w:szCs w:val="32"/>
        </w:rPr>
        <w:t>推动城区征拆结合，累计征迁</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165</w:t>
      </w:r>
      <w:r>
        <w:rPr>
          <w:rFonts w:hint="eastAsia" w:ascii="仿宋_GB2312" w:hAnsi="仿宋_GB2312" w:eastAsia="仿宋_GB2312" w:cs="仿宋_GB2312"/>
          <w:sz w:val="32"/>
          <w:szCs w:val="32"/>
        </w:rPr>
        <w:t>户、安置</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996</w:t>
      </w:r>
      <w:r>
        <w:rPr>
          <w:rFonts w:hint="eastAsia" w:ascii="仿宋_GB2312" w:hAnsi="仿宋_GB2312" w:eastAsia="仿宋_GB2312" w:cs="仿宋_GB2312"/>
          <w:sz w:val="32"/>
          <w:szCs w:val="32"/>
        </w:rPr>
        <w:t>户，有力推动佳鹤铁路施工、鹤大公路景观带等重点工程顺利实施。</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生态建设成果显著。</w:t>
      </w:r>
      <w:r>
        <w:rPr>
          <w:rFonts w:hint="eastAsia" w:ascii="仿宋_GB2312" w:hAnsi="仿宋_GB2312" w:eastAsia="仿宋_GB2312" w:cs="仿宋_GB2312"/>
          <w:sz w:val="32"/>
          <w:szCs w:val="32"/>
        </w:rPr>
        <w:t>坚持把营造良好的生态环境作为最普惠的民生福祉，坚持还绿于民、还水于民，全面落实黑臭水体排查及“两河十四沟”清水秀岸综合治理工作。积极推进“创森”工作，栽植各类树木</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万株，完成绿化面积</w:t>
      </w:r>
      <w:r>
        <w:rPr>
          <w:rFonts w:ascii="仿宋_GB2312" w:hAnsi="仿宋_GB2312" w:eastAsia="仿宋_GB2312" w:cs="仿宋_GB2312"/>
          <w:sz w:val="32"/>
          <w:szCs w:val="32"/>
        </w:rPr>
        <w:t>120</w:t>
      </w:r>
      <w:r>
        <w:rPr>
          <w:rFonts w:hint="eastAsia" w:ascii="仿宋_GB2312" w:hAnsi="仿宋_GB2312" w:eastAsia="仿宋_GB2312" w:cs="仿宋_GB2312"/>
          <w:sz w:val="32"/>
          <w:szCs w:val="32"/>
        </w:rPr>
        <w:t>万平方米。聚焦生态环境保护，开展大型专项行动</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次，整治河湖“四乱”问题</w:t>
      </w:r>
      <w:r>
        <w:rPr>
          <w:rFonts w:ascii="仿宋_GB2312" w:hAnsi="仿宋_GB2312" w:eastAsia="仿宋_GB2312" w:cs="仿宋_GB2312"/>
          <w:sz w:val="32"/>
          <w:szCs w:val="32"/>
        </w:rPr>
        <w:t>290</w:t>
      </w:r>
      <w:r>
        <w:rPr>
          <w:rFonts w:hint="eastAsia" w:ascii="仿宋_GB2312" w:hAnsi="仿宋_GB2312" w:eastAsia="仿宋_GB2312" w:cs="仿宋_GB2312"/>
          <w:sz w:val="32"/>
          <w:szCs w:val="32"/>
        </w:rPr>
        <w:t>处。“一城山水半城林”的美好愿景加速实现。</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安全保障平稳趋好。</w:t>
      </w:r>
      <w:r>
        <w:rPr>
          <w:rFonts w:hint="eastAsia" w:ascii="仿宋_GB2312" w:hAnsi="仿宋_GB2312" w:eastAsia="仿宋_GB2312" w:cs="仿宋_GB2312"/>
          <w:sz w:val="32"/>
          <w:szCs w:val="32"/>
        </w:rPr>
        <w:t>全面贯彻落实安全发展观，扎实推进治理体系和治理能力现代化建设，着力建设和谐兴安、幸福兴安。深化安全生产监督管理，突出抓牢企业主体责任，实行“黑名单”和“约谈”制。深化煤矿安全源头治理，积极推动质量标准化和本质安全型矿井建设，连续五年辖区地方煤矿实现“零死亡”。深化信访矛盾疏导化解，建立领导干部“三访一包”制度，着力去存量、减增量。深化公共安全体系建设，强势推进扫黑除恶专项斗争，扎实抓牢守法普法用法，荣获全国“七五”普法中期先进县区荣誉称号，第一司法所被授予“全国模范司法所”称号。</w:t>
      </w:r>
    </w:p>
    <w:bookmarkEnd w:id="33"/>
    <w:bookmarkEnd w:id="34"/>
    <w:p>
      <w:pPr>
        <w:pStyle w:val="36"/>
        <w:widowControl/>
        <w:adjustRightInd w:val="0"/>
        <w:snapToGrid w:val="0"/>
        <w:spacing w:before="240" w:after="240"/>
        <w:outlineLvl w:val="0"/>
        <w:rPr>
          <w:rFonts w:hint="eastAsia" w:ascii="仿宋_GB2312" w:hAnsi="仿宋_GB2312" w:eastAsia="仿宋_GB2312" w:cs="仿宋_GB2312"/>
          <w:color w:val="000000"/>
          <w:spacing w:val="0"/>
          <w:w w:val="100"/>
          <w:position w:val="0"/>
          <w:sz w:val="32"/>
          <w:szCs w:val="32"/>
        </w:rPr>
      </w:pPr>
      <w:bookmarkStart w:id="38" w:name="_Toc26791"/>
      <w:bookmarkStart w:id="39" w:name="_Toc30348"/>
      <w:bookmarkStart w:id="40" w:name="_Toc16066"/>
      <w:bookmarkStart w:id="41" w:name="_Toc14924"/>
      <w:r>
        <w:rPr>
          <w:rFonts w:hint="eastAsia"/>
          <w:kern w:val="0"/>
          <w:lang w:val="en-US" w:eastAsia="zh-CN"/>
        </w:rPr>
        <w:t>第二节 “十四五”</w:t>
      </w:r>
      <w:bookmarkEnd w:id="38"/>
      <w:bookmarkEnd w:id="39"/>
      <w:bookmarkEnd w:id="40"/>
      <w:r>
        <w:rPr>
          <w:rFonts w:hint="eastAsia"/>
          <w:kern w:val="0"/>
          <w:lang w:val="en-US" w:eastAsia="zh-CN"/>
        </w:rPr>
        <w:t>时期经济社会发展面临的形势</w:t>
      </w:r>
      <w:bookmarkEnd w:id="41"/>
    </w:p>
    <w:p>
      <w:pPr>
        <w:spacing w:line="600" w:lineRule="exact"/>
        <w:ind w:firstLine="666" w:firstLineChars="200"/>
        <w:rPr>
          <w:rFonts w:ascii="仿宋_GB2312" w:hAnsi="仿宋_GB2312" w:eastAsia="仿宋_GB2312" w:cs="仿宋_GB2312"/>
          <w:sz w:val="32"/>
          <w:szCs w:val="32"/>
        </w:rPr>
      </w:pPr>
      <w:bookmarkStart w:id="42" w:name="_Toc6211"/>
      <w:bookmarkStart w:id="43" w:name="_Toc16082"/>
      <w:bookmarkStart w:id="44" w:name="_Toc17232"/>
      <w:r>
        <w:rPr>
          <w:rFonts w:hint="eastAsia" w:ascii="楷体" w:hAnsi="楷体" w:eastAsia="楷体" w:cs="楷体"/>
          <w:b/>
          <w:bCs/>
          <w:color w:val="000000"/>
          <w:sz w:val="32"/>
          <w:szCs w:val="32"/>
        </w:rPr>
        <w:t>从战略机遇看：</w:t>
      </w:r>
      <w:r>
        <w:rPr>
          <w:rFonts w:hint="eastAsia" w:ascii="仿宋_GB2312" w:hAnsi="仿宋_GB2312" w:eastAsia="仿宋_GB2312" w:cs="仿宋_GB2312"/>
          <w:sz w:val="32"/>
          <w:szCs w:val="32"/>
        </w:rPr>
        <w:t>习近平总书记多次对东北、对黑龙江省作出重要讲话重要指示批示，党中央、国务院出台一系列支持东北振兴政策措施。黑龙江省委省政府主要领导多次要求省直部门“翻箱倒柜、倾囊相助”，大力支持煤城转型发展。党中央和习近平总书记的高度重视，省委、省政府领导同志的大力支持，各种机遇相互叠加的态势正在形成，集中发力的作用不断突显，为兴安高质量转型发展带来了前所未有的政策机遇和强大政治动力。我国已进入高质量发展阶段，经济长期向好，继续发展具有多方面优势和条件，为我区提供了稳定的发展预期和良好的发展环境。新一轮科技革命和产业变革不断深入，以国内“大循环”为主体、国内国际“双循环”相互促进的新发展格局加快形成，为我区推动资源、产业、生态、人居等优势转化为经济优势，加快塑造核心竞争新优势，积极承接国内产业转移，培育壮大新动能，创造了巨大的发展空间。</w:t>
      </w:r>
    </w:p>
    <w:p>
      <w:pPr>
        <w:pStyle w:val="29"/>
        <w:spacing w:line="600" w:lineRule="exact"/>
        <w:ind w:firstLine="666" w:firstLineChars="200"/>
        <w:rPr>
          <w:rFonts w:ascii="仿宋_GB2312" w:hAnsi="仿宋_GB2312" w:eastAsia="仿宋_GB2312" w:cs="仿宋_GB2312"/>
          <w:sz w:val="32"/>
          <w:szCs w:val="32"/>
          <w:lang w:val="en-US" w:eastAsia="zh-CN"/>
        </w:rPr>
      </w:pPr>
      <w:r>
        <w:rPr>
          <w:rFonts w:hint="eastAsia" w:ascii="楷体" w:hAnsi="楷体" w:eastAsia="楷体" w:cs="楷体"/>
          <w:b/>
          <w:bCs/>
          <w:color w:val="000000"/>
          <w:kern w:val="2"/>
          <w:sz w:val="32"/>
          <w:szCs w:val="32"/>
          <w:u w:val="none"/>
          <w:shd w:val="clear"/>
          <w:lang w:val="en-US" w:eastAsia="zh-CN" w:bidi="ar-SA"/>
        </w:rPr>
        <w:t>从困难挑战看：</w:t>
      </w:r>
      <w:r>
        <w:rPr>
          <w:rFonts w:hint="eastAsia" w:ascii="仿宋_GB2312" w:hAnsi="仿宋_GB2312" w:eastAsia="仿宋_GB2312" w:cs="仿宋_GB2312"/>
          <w:sz w:val="32"/>
          <w:szCs w:val="32"/>
          <w:lang w:val="en-US" w:eastAsia="zh-CN"/>
        </w:rPr>
        <w:t>当今世界正经历百年未有之大变局，国际环境日趋复杂，不稳定性、不确定性明显增多。国内区域经济发展分化态势明显，全国经济重心进一步南移，各地区对生产要素的争夺更加激烈，我区发展压力不断加大，经济社会发展中还存在诸多困难和问题。产业结构不优，缺乏转型接续梯队产业；新兴产业项目不足，规模大、科技含量高、支撑能力强的转型优质项目偏少；基础设施建设欠账太多，民生保障体量较大；农业结构调整不快，优势资源整合力度不大，没有形成产业规模；疫情防控常态化下社会治理亟待加强，治理体系和治理能力的短板弱项还比较突出。</w:t>
      </w:r>
    </w:p>
    <w:p>
      <w:pPr>
        <w:spacing w:line="600" w:lineRule="exact"/>
        <w:ind w:firstLine="666" w:firstLineChars="200"/>
        <w:rPr>
          <w:rFonts w:ascii="仿宋_GB2312" w:hAnsi="仿宋_GB2312" w:eastAsia="仿宋_GB2312" w:cs="仿宋_GB2312"/>
          <w:sz w:val="32"/>
          <w:szCs w:val="32"/>
        </w:rPr>
      </w:pPr>
      <w:r>
        <w:rPr>
          <w:rFonts w:hint="eastAsia" w:ascii="楷体" w:hAnsi="楷体" w:eastAsia="楷体" w:cs="楷体"/>
          <w:b/>
          <w:bCs/>
          <w:color w:val="000000"/>
          <w:kern w:val="2"/>
          <w:sz w:val="32"/>
          <w:szCs w:val="32"/>
          <w:u w:val="none"/>
          <w:shd w:val="clear" w:color="auto" w:fill="auto"/>
          <w:lang w:val="en-US" w:eastAsia="zh-CN" w:bidi="ar-SA"/>
        </w:rPr>
        <w:t>从“十三五”奠定的基础看：</w:t>
      </w:r>
      <w:r>
        <w:rPr>
          <w:rFonts w:hint="eastAsia" w:ascii="仿宋_GB2312" w:hAnsi="仿宋_GB2312" w:eastAsia="仿宋_GB2312" w:cs="仿宋_GB2312"/>
          <w:sz w:val="32"/>
          <w:szCs w:val="32"/>
        </w:rPr>
        <w:t>兴安区</w:t>
      </w:r>
      <w:r>
        <w:rPr>
          <w:rFonts w:hint="eastAsia" w:ascii="仿宋_GB2312" w:hAnsi="仿宋_GB2312" w:eastAsia="仿宋_GB2312" w:cs="仿宋_GB2312"/>
          <w:sz w:val="32"/>
          <w:szCs w:val="32"/>
          <w:lang w:val="zh-CN"/>
        </w:rPr>
        <w:t>聚焦“五大产业”，深入实施“工业强市”战略，扎</w:t>
      </w:r>
      <w:r>
        <w:rPr>
          <w:rFonts w:hint="eastAsia" w:ascii="仿宋_GB2312" w:hAnsi="仿宋_GB2312" w:eastAsia="仿宋_GB2312" w:cs="仿宋_GB2312"/>
          <w:sz w:val="32"/>
          <w:szCs w:val="32"/>
        </w:rPr>
        <w:t>实推动“市百大项目”和“十百千工程”建设，地区生产总值、固定资产投资、公共财政收入、社会消费品零售总额和城乡居民收入等主要经济指标较“十二五”时期实现了跨越式发展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围绕“内抓项目、外抓招商”的发展思路，</w:t>
      </w:r>
      <w:r>
        <w:rPr>
          <w:rFonts w:hint="eastAsia" w:ascii="仿宋_GB2312" w:eastAsia="仿宋_GB2312"/>
          <w:sz w:val="32"/>
          <w:szCs w:val="32"/>
        </w:rPr>
        <w:t>区域经济结构进一步优化</w:t>
      </w:r>
      <w:r>
        <w:rPr>
          <w:rFonts w:hint="eastAsia" w:ascii="仿宋_GB2312" w:eastAsia="仿宋_GB2312"/>
          <w:sz w:val="32"/>
          <w:szCs w:val="32"/>
          <w:lang w:eastAsia="zh-CN"/>
        </w:rPr>
        <w:t>；</w:t>
      </w:r>
      <w:r>
        <w:rPr>
          <w:rFonts w:hint="eastAsia" w:ascii="仿宋_GB2312" w:eastAsia="仿宋_GB2312"/>
          <w:sz w:val="32"/>
          <w:szCs w:val="32"/>
        </w:rPr>
        <w:t>通过扎实推进民生保障工作，城乡居民收入显著提高，城镇新增就业稳定增加，义务教育实现均衡发展，医疗服务水平进一步提高，文体生活日益丰富，百姓幸福指数稳步提升</w:t>
      </w:r>
      <w:r>
        <w:rPr>
          <w:rFonts w:hint="eastAsia" w:ascii="仿宋_GB2312" w:hAnsi="仿宋_GB2312" w:eastAsia="仿宋_GB2312" w:cs="仿宋_GB2312"/>
          <w:sz w:val="32"/>
          <w:szCs w:val="32"/>
        </w:rPr>
        <w:t>。</w:t>
      </w:r>
    </w:p>
    <w:p>
      <w:pPr>
        <w:spacing w:line="600" w:lineRule="exact"/>
        <w:ind w:firstLine="666" w:firstLineChars="200"/>
        <w:rPr>
          <w:rFonts w:ascii="仿宋_GB2312" w:hAnsi="黑体" w:eastAsia="仿宋_GB2312"/>
          <w:sz w:val="32"/>
          <w:szCs w:val="32"/>
        </w:rPr>
      </w:pPr>
      <w:r>
        <w:rPr>
          <w:rFonts w:hint="eastAsia" w:ascii="楷体" w:hAnsi="楷体" w:eastAsia="楷体" w:cs="楷体"/>
          <w:b/>
          <w:bCs/>
          <w:color w:val="000000"/>
          <w:kern w:val="2"/>
          <w:sz w:val="32"/>
          <w:szCs w:val="32"/>
          <w:u w:val="none"/>
          <w:shd w:val="clear" w:color="auto" w:fill="auto"/>
          <w:lang w:val="en-US" w:eastAsia="zh-CN" w:bidi="ar-SA"/>
        </w:rPr>
        <w:t>综合各种因素，</w:t>
      </w:r>
      <w:r>
        <w:rPr>
          <w:rFonts w:hint="eastAsia" w:ascii="仿宋_GB2312" w:hAnsi="仿宋_GB2312" w:eastAsia="仿宋_GB2312" w:cs="仿宋_GB2312"/>
          <w:sz w:val="32"/>
          <w:szCs w:val="32"/>
        </w:rPr>
        <w:t>“十四五”时期，我区要立足世界百年未有之大变局和中华民族伟大复兴的战略全局、龙江全面振兴全方位振兴、鹤岗市高质量转型发展的时代背景，增强机遇意识和挑战意识，准确识变、科学应变、主动求变，在危机中育新机、在变局中开新局，坚定信心和决心，保持定力和毅力，增强干劲和韧劲，努力实现更高质量、更有效率、更可持续、更加公平、更为安全的发展，全面构筑起支撑兴安高质量转型发展的产业体系、市场体系、城乡区域发展体系、绿色发展体系、全面开放体系和民生保障体系，</w:t>
      </w:r>
      <w:r>
        <w:rPr>
          <w:rFonts w:hint="eastAsia" w:ascii="仿宋_GB2312" w:hAnsi="仿宋" w:eastAsia="仿宋_GB2312"/>
          <w:color w:val="000000"/>
          <w:sz w:val="32"/>
          <w:szCs w:val="32"/>
        </w:rPr>
        <w:t>奋力夺取兴安高质量转型发展的关键性胜利</w:t>
      </w:r>
      <w:r>
        <w:rPr>
          <w:rFonts w:hint="eastAsia" w:ascii="仿宋_GB2312" w:hAnsi="仿宋_GB2312" w:eastAsia="仿宋_GB2312" w:cs="仿宋_GB2312"/>
          <w:sz w:val="32"/>
          <w:szCs w:val="32"/>
        </w:rPr>
        <w:t>。</w:t>
      </w:r>
    </w:p>
    <w:p>
      <w:pPr>
        <w:pStyle w:val="36"/>
        <w:widowControl/>
        <w:adjustRightInd w:val="0"/>
        <w:snapToGrid w:val="0"/>
        <w:spacing w:before="240" w:after="240"/>
        <w:outlineLvl w:val="0"/>
        <w:rPr>
          <w:rFonts w:hint="eastAsia" w:ascii="黑体" w:hAnsi="黑体" w:eastAsia="黑体" w:cs="黑体"/>
          <w:sz w:val="32"/>
          <w:szCs w:val="32"/>
          <w:lang w:eastAsia="zh-CN"/>
        </w:rPr>
      </w:pPr>
      <w:bookmarkStart w:id="45" w:name="_Toc1683"/>
      <w:r>
        <w:rPr>
          <w:rFonts w:hint="eastAsia"/>
          <w:kern w:val="0"/>
          <w:lang w:val="en-US" w:eastAsia="zh-CN"/>
        </w:rPr>
        <w:t>第三节 “十四五”</w:t>
      </w:r>
      <w:bookmarkEnd w:id="42"/>
      <w:bookmarkEnd w:id="43"/>
      <w:bookmarkEnd w:id="44"/>
      <w:r>
        <w:rPr>
          <w:rFonts w:hint="eastAsia"/>
          <w:kern w:val="0"/>
          <w:lang w:val="en-US" w:eastAsia="zh-CN"/>
        </w:rPr>
        <w:t>时期经济社会发展的指导思想</w:t>
      </w:r>
      <w:bookmarkEnd w:id="45"/>
    </w:p>
    <w:p>
      <w:pPr>
        <w:spacing w:line="600" w:lineRule="exact"/>
        <w:ind w:firstLine="666" w:firstLineChars="200"/>
        <w:rPr>
          <w:rFonts w:ascii="仿宋_GB2312" w:hAnsi="仿宋_GB2312" w:eastAsia="仿宋_GB2312" w:cs="仿宋_GB2312"/>
          <w:sz w:val="32"/>
          <w:szCs w:val="32"/>
        </w:rPr>
      </w:pPr>
      <w:bookmarkStart w:id="46" w:name="_Toc12082"/>
      <w:bookmarkStart w:id="47" w:name="_Toc22565"/>
      <w:bookmarkStart w:id="48" w:name="_Toc19856"/>
      <w:r>
        <w:rPr>
          <w:rFonts w:hint="eastAsia" w:ascii="仿宋_GB2312" w:hAnsi="仿宋_GB2312" w:eastAsia="仿宋_GB2312" w:cs="仿宋_GB2312"/>
          <w:sz w:val="32"/>
          <w:szCs w:val="32"/>
        </w:rPr>
        <w:t>高举中国特色社会主义伟大旗帜，深入贯彻党的十九大和十九届二中、三中、四中、五中全会精神以及省委十二届八次全会精神，坚持以习近平新时代中国特色社会主义思想为指导，全面贯彻落实党的基本理论、基本路线、基本方略，统筹推进经济建设、政治建设、文化建设、社会建设、生态文明建设的总体布局，协调推进全面建设社会主义现代化国家、全面深化改革、全面依法治国、全面从严治党的战略布局，持续贯彻落实习近平总书记在深入推进东北振兴座谈会上的重要讲话和对我省重要讲话重要指示批示精神，坚定不移贯彻新发展理念，坚持稳中求进工作总基调，以推动高质量发展为主题，以深化供给侧结构性改革为主线，以改革创新为根本动力，以满足人民日益增长的美好生活需要为根本目的，统筹发展和安全，自觉全面融入以国内大循环为主体、国内国际双循环相互促进的新发展格局，着力解放思想，着力建设现代化经济体系，着力推动形成优势互补、高质量发展的区域经济布局，着力推动更高水平开放，着力推进治理体系和治理能力现代化，着力增进人民福祉，着力集聚各类人才。采取新的战略性举措，走出一条质量更高、效益更好、结构更优、优势充分释放的转型发展新路，维护国家“五大安全”能力进一步提升，高质量转型发展取得突破，为全面建设社会主义现代化新兴安开好局、起好步。</w:t>
      </w:r>
    </w:p>
    <w:p>
      <w:pPr>
        <w:pStyle w:val="36"/>
        <w:widowControl/>
        <w:numPr>
          <w:ilvl w:val="0"/>
          <w:numId w:val="2"/>
        </w:numPr>
        <w:adjustRightInd w:val="0"/>
        <w:snapToGrid w:val="0"/>
        <w:spacing w:before="240" w:after="240"/>
        <w:outlineLvl w:val="0"/>
        <w:rPr>
          <w:rFonts w:hint="eastAsia"/>
          <w:kern w:val="0"/>
          <w:lang w:val="en-US" w:eastAsia="zh-CN"/>
        </w:rPr>
      </w:pPr>
      <w:bookmarkStart w:id="49" w:name="_Toc5662"/>
      <w:r>
        <w:rPr>
          <w:rFonts w:hint="eastAsia"/>
          <w:kern w:val="0"/>
          <w:lang w:val="en-US" w:eastAsia="zh-CN"/>
        </w:rPr>
        <w:t>“十四五”时期经济社会发展必须遵循的</w:t>
      </w:r>
      <w:bookmarkEnd w:id="49"/>
    </w:p>
    <w:p>
      <w:pPr>
        <w:pStyle w:val="36"/>
        <w:widowControl/>
        <w:numPr>
          <w:ilvl w:val="0"/>
          <w:numId w:val="0"/>
        </w:numPr>
        <w:adjustRightInd w:val="0"/>
        <w:snapToGrid w:val="0"/>
        <w:spacing w:before="240" w:after="240"/>
        <w:ind w:firstLine="3330" w:firstLineChars="1000"/>
        <w:jc w:val="both"/>
        <w:outlineLvl w:val="0"/>
        <w:rPr>
          <w:rFonts w:hint="eastAsia" w:ascii="仿宋_GB2312" w:hAnsi="仿宋_GB2312" w:eastAsia="仿宋_GB2312" w:cs="仿宋_GB2312"/>
          <w:b/>
          <w:bCs/>
          <w:sz w:val="32"/>
          <w:szCs w:val="32"/>
        </w:rPr>
      </w:pPr>
      <w:bookmarkStart w:id="50" w:name="_Toc1994"/>
      <w:bookmarkStart w:id="51" w:name="_Toc14913"/>
      <w:r>
        <w:rPr>
          <w:rFonts w:hint="eastAsia"/>
          <w:kern w:val="0"/>
          <w:lang w:val="en-US" w:eastAsia="zh-CN"/>
        </w:rPr>
        <w:t>基本原则</w:t>
      </w:r>
      <w:bookmarkEnd w:id="46"/>
      <w:bookmarkEnd w:id="47"/>
      <w:bookmarkEnd w:id="48"/>
      <w:bookmarkEnd w:id="50"/>
      <w:bookmarkEnd w:id="51"/>
    </w:p>
    <w:p>
      <w:pPr>
        <w:spacing w:line="600" w:lineRule="exact"/>
        <w:ind w:firstLine="666" w:firstLineChars="200"/>
        <w:rPr>
          <w:rFonts w:ascii="仿宋_GB2312" w:hAnsi="仿宋_GB2312" w:eastAsia="仿宋_GB2312" w:cs="仿宋_GB2312"/>
          <w:sz w:val="32"/>
          <w:szCs w:val="32"/>
        </w:rPr>
      </w:pPr>
      <w:bookmarkStart w:id="52" w:name="_Toc2899"/>
      <w:bookmarkStart w:id="53" w:name="_Toc10728"/>
      <w:bookmarkStart w:id="54" w:name="_Toc20476"/>
      <w:r>
        <w:rPr>
          <w:rFonts w:hint="eastAsia" w:ascii="楷体" w:hAnsi="楷体" w:eastAsia="楷体" w:cs="楷体"/>
          <w:b/>
          <w:bCs/>
          <w:sz w:val="32"/>
          <w:szCs w:val="32"/>
        </w:rPr>
        <w:t>坚持党的全面领导。</w:t>
      </w:r>
      <w:r>
        <w:rPr>
          <w:rFonts w:hint="eastAsia" w:ascii="仿宋_GB2312" w:hAnsi="仿宋_GB2312" w:eastAsia="仿宋_GB2312" w:cs="仿宋_GB2312"/>
          <w:sz w:val="32"/>
          <w:szCs w:val="32"/>
        </w:rPr>
        <w:t>坚持和完善党领导经济社会发展的体制机制，坚持和完善中国特色社会主义制度，不断提高贯彻新发展理念、自主全面融入新发展格局能力和水平，为实现高质量转型发展提供根本保证。</w:t>
      </w:r>
    </w:p>
    <w:p>
      <w:pPr>
        <w:spacing w:line="600" w:lineRule="exact"/>
        <w:ind w:firstLine="666" w:firstLineChars="200"/>
        <w:rPr>
          <w:rFonts w:ascii="仿宋_GB2312" w:hAnsi="仿宋_GB2312" w:eastAsia="仿宋_GB2312" w:cs="仿宋_GB2312"/>
          <w:sz w:val="32"/>
          <w:szCs w:val="32"/>
        </w:rPr>
      </w:pPr>
      <w:r>
        <w:rPr>
          <w:rFonts w:hint="eastAsia" w:ascii="楷体" w:hAnsi="楷体" w:eastAsia="楷体" w:cs="楷体"/>
          <w:b/>
          <w:bCs/>
          <w:sz w:val="32"/>
          <w:szCs w:val="32"/>
        </w:rPr>
        <w:t>坚持以人民为中心。</w:t>
      </w:r>
      <w:r>
        <w:rPr>
          <w:rFonts w:hint="eastAsia" w:ascii="仿宋_GB2312" w:hAnsi="仿宋_GB2312" w:eastAsia="仿宋_GB2312" w:cs="仿宋_GB2312"/>
          <w:sz w:val="32"/>
          <w:szCs w:val="32"/>
        </w:rPr>
        <w:t>坚持人民主体地位，坚持共同富裕方向，始终做到发展为了人民、发展依靠人民、发展成果由人民共享，维护人民根本利益，激发全区人民积极性、主动性、创造性，促进社会公平，增进民生</w:t>
      </w:r>
      <w:r>
        <w:rPr>
          <w:rFonts w:hint="eastAsia" w:ascii="仿宋_GB2312" w:hAnsi="仿宋_GB2312" w:eastAsia="仿宋_GB2312" w:cs="仿宋_GB2312"/>
          <w:sz w:val="32"/>
          <w:szCs w:val="32"/>
          <w:lang w:val="en-US" w:eastAsia="zh-CN"/>
        </w:rPr>
        <w:t>福祉</w:t>
      </w:r>
      <w:bookmarkStart w:id="262" w:name="_GoBack"/>
      <w:bookmarkEnd w:id="262"/>
      <w:r>
        <w:rPr>
          <w:rFonts w:hint="eastAsia" w:ascii="仿宋_GB2312" w:hAnsi="仿宋_GB2312" w:eastAsia="仿宋_GB2312" w:cs="仿宋_GB2312"/>
          <w:sz w:val="32"/>
          <w:szCs w:val="32"/>
        </w:rPr>
        <w:t>，不断实现人民对美好生活的向往。</w:t>
      </w:r>
    </w:p>
    <w:p>
      <w:pPr>
        <w:spacing w:line="600" w:lineRule="exact"/>
        <w:ind w:firstLine="666" w:firstLineChars="200"/>
        <w:rPr>
          <w:rFonts w:ascii="仿宋_GB2312" w:hAnsi="仿宋_GB2312" w:eastAsia="仿宋_GB2312" w:cs="仿宋_GB2312"/>
          <w:sz w:val="32"/>
          <w:szCs w:val="32"/>
        </w:rPr>
      </w:pPr>
      <w:r>
        <w:rPr>
          <w:rFonts w:hint="eastAsia" w:ascii="楷体" w:hAnsi="楷体" w:eastAsia="楷体" w:cs="楷体"/>
          <w:b/>
          <w:bCs/>
          <w:sz w:val="32"/>
          <w:szCs w:val="32"/>
        </w:rPr>
        <w:t>坚持新发展理念。</w:t>
      </w:r>
      <w:r>
        <w:rPr>
          <w:rFonts w:hint="eastAsia" w:ascii="仿宋_GB2312" w:hAnsi="仿宋_GB2312" w:eastAsia="仿宋_GB2312" w:cs="仿宋_GB2312"/>
          <w:sz w:val="32"/>
          <w:szCs w:val="32"/>
        </w:rPr>
        <w:t>把新发展理念贯穿发展全过程和各领域，自主全面融入新发展格局，切实转变发展方式，推动质量变革、效率变革、动力变革，实现更高质量、更有效率、更加公平、更可持续、更为安全的发展。</w:t>
      </w:r>
    </w:p>
    <w:p>
      <w:pPr>
        <w:spacing w:line="600" w:lineRule="exact"/>
        <w:ind w:firstLine="666" w:firstLineChars="200"/>
        <w:rPr>
          <w:rFonts w:ascii="仿宋_GB2312" w:hAnsi="仿宋_GB2312" w:eastAsia="仿宋_GB2312" w:cs="仿宋_GB2312"/>
          <w:sz w:val="32"/>
          <w:szCs w:val="32"/>
        </w:rPr>
      </w:pPr>
      <w:r>
        <w:rPr>
          <w:rFonts w:hint="eastAsia" w:ascii="楷体" w:hAnsi="楷体" w:eastAsia="楷体" w:cs="楷体"/>
          <w:b/>
          <w:bCs/>
          <w:sz w:val="32"/>
          <w:szCs w:val="32"/>
        </w:rPr>
        <w:t>坚持深化改革开放。</w:t>
      </w:r>
      <w:r>
        <w:rPr>
          <w:rFonts w:hint="eastAsia" w:ascii="仿宋_GB2312" w:hAnsi="仿宋_GB2312" w:eastAsia="仿宋_GB2312" w:cs="仿宋_GB2312"/>
          <w:sz w:val="32"/>
          <w:szCs w:val="32"/>
        </w:rPr>
        <w:t>坚定不移推进改革，坚定不移扩大开放，加强治理体系和治理能力现代化建设，破除制约高质量发展、高品质生活的体制机制障碍，强化有利于提高资源配置效率、有利于调动全社会积极性的重大改革开放举措，以改革应对变局、开拓新局。</w:t>
      </w:r>
    </w:p>
    <w:p>
      <w:pPr>
        <w:spacing w:line="600" w:lineRule="exact"/>
        <w:ind w:firstLine="666" w:firstLineChars="200"/>
        <w:rPr>
          <w:rFonts w:ascii="楷体" w:hAnsi="楷体" w:eastAsia="楷体" w:cs="楷体"/>
          <w:b/>
          <w:bCs/>
          <w:sz w:val="32"/>
          <w:szCs w:val="32"/>
        </w:rPr>
      </w:pPr>
      <w:r>
        <w:rPr>
          <w:rFonts w:hint="eastAsia" w:ascii="楷体" w:hAnsi="楷体" w:eastAsia="楷体" w:cs="楷体"/>
          <w:b/>
          <w:bCs/>
          <w:sz w:val="32"/>
          <w:szCs w:val="32"/>
        </w:rPr>
        <w:t>坚持系统观念。</w:t>
      </w:r>
      <w:r>
        <w:rPr>
          <w:rFonts w:hint="eastAsia" w:ascii="仿宋_GB2312" w:hAnsi="仿宋_GB2312" w:eastAsia="仿宋_GB2312" w:cs="仿宋_GB2312"/>
          <w:sz w:val="32"/>
          <w:szCs w:val="32"/>
        </w:rPr>
        <w:t>加强前瞻性思考、全局性谋划、战略性布局、整体性推进，统筹国内国际两个大局，办好发展安全两件大事，更好发挥各方面积极性，着力固根基、扬优势、补短板、强弱项，注重防范化解重大风险挑战，实现发展质量、结构、规模、速度、效益、安全相统一。</w:t>
      </w:r>
    </w:p>
    <w:p>
      <w:pPr>
        <w:pStyle w:val="36"/>
        <w:widowControl/>
        <w:adjustRightInd w:val="0"/>
        <w:snapToGrid w:val="0"/>
        <w:spacing w:before="240" w:after="240"/>
        <w:outlineLvl w:val="0"/>
        <w:rPr>
          <w:rFonts w:hint="eastAsia" w:ascii="仿宋_GB2312" w:hAnsi="仿宋_GB2312" w:eastAsia="仿宋_GB2312" w:cs="仿宋_GB2312"/>
          <w:sz w:val="32"/>
          <w:szCs w:val="32"/>
          <w:lang w:val="en-US" w:eastAsia="zh-CN"/>
        </w:rPr>
      </w:pPr>
      <w:bookmarkStart w:id="55" w:name="_Toc6540"/>
      <w:r>
        <w:rPr>
          <w:rFonts w:hint="eastAsia" w:ascii="黑体" w:hAnsi="黑体" w:eastAsia="黑体" w:cs="黑体"/>
          <w:b w:val="0"/>
          <w:bCs w:val="0"/>
          <w:color w:val="000000"/>
          <w:spacing w:val="0"/>
          <w:w w:val="100"/>
          <w:position w:val="0"/>
          <w:sz w:val="32"/>
          <w:szCs w:val="32"/>
          <w:lang w:val="en-US" w:eastAsia="zh-CN"/>
        </w:rPr>
        <w:t>第</w:t>
      </w:r>
      <w:r>
        <w:rPr>
          <w:rFonts w:hint="eastAsia" w:cs="黑体"/>
          <w:b w:val="0"/>
          <w:bCs w:val="0"/>
          <w:color w:val="000000"/>
          <w:spacing w:val="0"/>
          <w:w w:val="100"/>
          <w:position w:val="0"/>
          <w:sz w:val="32"/>
          <w:szCs w:val="32"/>
          <w:lang w:val="en-US" w:eastAsia="zh-CN"/>
        </w:rPr>
        <w:t>五</w:t>
      </w:r>
      <w:r>
        <w:rPr>
          <w:rFonts w:hint="eastAsia" w:ascii="黑体" w:hAnsi="黑体" w:eastAsia="黑体" w:cs="黑体"/>
          <w:b w:val="0"/>
          <w:bCs w:val="0"/>
          <w:color w:val="000000"/>
          <w:spacing w:val="0"/>
          <w:w w:val="100"/>
          <w:position w:val="0"/>
          <w:sz w:val="32"/>
          <w:szCs w:val="32"/>
          <w:lang w:val="en-US" w:eastAsia="zh-CN"/>
        </w:rPr>
        <w:t>节</w:t>
      </w:r>
      <w:r>
        <w:rPr>
          <w:rFonts w:hint="eastAsia" w:cs="黑体"/>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position w:val="0"/>
          <w:sz w:val="32"/>
          <w:szCs w:val="32"/>
          <w:lang w:val="en-US" w:eastAsia="zh-CN"/>
        </w:rPr>
        <w:t>“十四五”规划的主要目标</w:t>
      </w:r>
      <w:bookmarkEnd w:id="52"/>
      <w:bookmarkEnd w:id="53"/>
      <w:bookmarkEnd w:id="54"/>
      <w:bookmarkEnd w:id="55"/>
    </w:p>
    <w:p>
      <w:pPr>
        <w:spacing w:line="600" w:lineRule="exact"/>
        <w:ind w:firstLine="666" w:firstLineChars="200"/>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rPr>
        <w:t>紧紧围绕习近平新时代中国特色社会主义思想，全面贯彻市委“四大战略”“五大产业”“一市一乡一胜地”的总体布局和“十四五”时期的“十一个主攻方向”“十一个新突破”总体要求，结合兴安区“五型新区”发展定位和建成宜居宜业宜游新兴安的发展目标，</w:t>
      </w:r>
      <w:r>
        <w:rPr>
          <w:rFonts w:hint="eastAsia" w:ascii="仿宋_GB2312" w:hAnsi="仿宋_GB2312" w:eastAsia="仿宋_GB2312" w:cs="仿宋_GB2312"/>
          <w:b w:val="0"/>
          <w:bCs w:val="0"/>
          <w:sz w:val="32"/>
          <w:szCs w:val="32"/>
        </w:rPr>
        <w:t>到</w:t>
      </w:r>
      <w:r>
        <w:rPr>
          <w:rFonts w:ascii="仿宋_GB2312" w:hAnsi="仿宋_GB2312" w:eastAsia="仿宋_GB2312" w:cs="仿宋_GB2312"/>
          <w:b w:val="0"/>
          <w:bCs w:val="0"/>
          <w:sz w:val="32"/>
          <w:szCs w:val="32"/>
        </w:rPr>
        <w:t>2025</w:t>
      </w:r>
      <w:r>
        <w:rPr>
          <w:rFonts w:hint="eastAsia" w:ascii="仿宋_GB2312" w:hAnsi="仿宋_GB2312" w:eastAsia="仿宋_GB2312" w:cs="仿宋_GB2312"/>
          <w:b w:val="0"/>
          <w:bCs w:val="0"/>
          <w:sz w:val="32"/>
          <w:szCs w:val="32"/>
        </w:rPr>
        <w:t>年，兴安转型发展取得决定性成果，“十一个主攻方向”任务全面完成，“十一个新突破”目标全部实现。</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以发展“区域产业转型”为主攻方向，推动现代产业体系建设取得新突破。</w:t>
      </w:r>
      <w:r>
        <w:rPr>
          <w:rFonts w:hint="eastAsia" w:ascii="仿宋_GB2312" w:hAnsi="仿宋_GB2312" w:eastAsia="仿宋_GB2312" w:cs="仿宋_GB2312"/>
          <w:sz w:val="32"/>
          <w:szCs w:val="32"/>
        </w:rPr>
        <w:t>围绕做好“三篇大文章”，全链条抓好“四头四尾”，发展“五大产业”，强化“五大要素支撑保障”的工作思路，扩大产业规模、加快发展速度、提升质量效益，提升全产业链水平。巩固传统产业基础，扎实推进“省市百大项目”建设，壮大优势产业集群，促进先进制造业高质量发展，推动数字经济和实体经济深度融合，实现经济竞争力、创新力、抗风险能力显著增强，工业增加值占地区生产总值比重明显提高，构建产业体系均衡发展新格局。</w:t>
      </w:r>
    </w:p>
    <w:p>
      <w:pPr>
        <w:pStyle w:val="13"/>
        <w:spacing w:line="600" w:lineRule="exact"/>
        <w:ind w:firstLine="666" w:firstLineChars="200"/>
        <w:rPr>
          <w:rFonts w:hint="eastAsia" w:ascii="仿宋_GB2312" w:hAnsi="仿宋_GB2312" w:eastAsia="仿宋_GB2312" w:cs="仿宋_GB2312"/>
          <w:kern w:val="2"/>
          <w:sz w:val="32"/>
          <w:szCs w:val="32"/>
          <w:lang w:val="en-US" w:eastAsia="zh-CN" w:bidi="ar-SA"/>
        </w:rPr>
      </w:pPr>
      <w:r>
        <w:rPr>
          <w:rFonts w:ascii="楷体" w:hAnsi="楷体" w:eastAsia="楷体" w:cs="楷体"/>
          <w:b/>
          <w:bCs/>
          <w:kern w:val="2"/>
          <w:sz w:val="32"/>
          <w:szCs w:val="32"/>
          <w:lang w:val="en-US" w:eastAsia="zh-CN" w:bidi="ar-SA"/>
        </w:rPr>
        <w:t>——</w:t>
      </w:r>
      <w:r>
        <w:rPr>
          <w:rFonts w:hint="eastAsia" w:ascii="楷体" w:hAnsi="楷体" w:eastAsia="楷体" w:cs="楷体"/>
          <w:b/>
          <w:bCs/>
          <w:kern w:val="2"/>
          <w:sz w:val="32"/>
          <w:szCs w:val="32"/>
          <w:lang w:val="en-US" w:eastAsia="zh-CN" w:bidi="ar-SA"/>
        </w:rPr>
        <w:t>以实现“全产业链融合”为主攻方向，推动农业现代化建设取得新突破。</w:t>
      </w:r>
      <w:r>
        <w:rPr>
          <w:rFonts w:hint="eastAsia" w:ascii="仿宋_GB2312" w:hAnsi="仿宋_GB2312" w:eastAsia="仿宋_GB2312" w:cs="仿宋_GB2312"/>
          <w:kern w:val="2"/>
          <w:sz w:val="32"/>
          <w:szCs w:val="32"/>
          <w:lang w:val="en-US" w:eastAsia="zh-CN" w:bidi="ar-SA"/>
        </w:rPr>
        <w:t>高质量构建现代农业产业体系、生产体系和经营体系，提升农业生产规模化、机械化、智慧化水平，保障粮食安全。大力培育特色鲜明的龙头产业，提档升级现代农业服务体系，推动一二三产业全面融合发展。以现有大型养殖企业为牵引，带动发展规模化、标准化养殖业。打造“两园一海”，果蔬产品逐步实现市区商超全覆盖，实现上下游产业链条融合发展。</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以提升“引才聚才能力”为主攻方向，推动创新驱动发展取得新突破。</w:t>
      </w:r>
      <w:r>
        <w:rPr>
          <w:rFonts w:hint="eastAsia" w:ascii="仿宋_GB2312" w:hAnsi="仿宋_GB2312" w:eastAsia="仿宋_GB2312" w:cs="仿宋_GB2312"/>
          <w:sz w:val="32"/>
          <w:szCs w:val="32"/>
        </w:rPr>
        <w:t>着眼全市“五大产业”和兴安“五型新区”发展方向，完善人才引进、培育、管理、服务等发展机制，主动兑现人才引进承诺，提升育才聚才留才能力</w:t>
      </w:r>
      <w:r>
        <w:rPr>
          <w:rFonts w:hint="eastAsia" w:ascii="仿宋_GB2312" w:hAnsi="仿宋_GB2312" w:eastAsia="仿宋_GB2312" w:cs="仿宋_GB2312"/>
          <w:sz w:val="32"/>
          <w:szCs w:val="32"/>
          <w:lang w:eastAsia="zh-CN"/>
        </w:rPr>
        <w:t>和育才水平</w:t>
      </w:r>
      <w:r>
        <w:rPr>
          <w:rFonts w:hint="eastAsia" w:ascii="仿宋_GB2312" w:hAnsi="仿宋_GB2312" w:eastAsia="仿宋_GB2312" w:cs="仿宋_GB2312"/>
          <w:sz w:val="32"/>
          <w:szCs w:val="32"/>
        </w:rPr>
        <w:t>，完善科技、教育、产业融合发展的创新体系，有针对性的采取定向招录、柔性引进、委托培训等方式，来招引学历高、素质好、能力强的人才走进兴安、建设兴安。积极发展以外来人才为核心的现代农业、智慧城市、电子商务等产业，提升转型发展的核心驱动力。孵化培育一批外来科技型企业，加速形成竞争新优势，提升科技进步贡献率。</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以深化“重点领域改革”为主攻方向，推动全面深化改革取得新突破。</w:t>
      </w:r>
      <w:r>
        <w:rPr>
          <w:rFonts w:hint="eastAsia" w:ascii="仿宋_GB2312" w:hAnsi="仿宋_GB2312" w:eastAsia="仿宋_GB2312" w:cs="仿宋_GB2312"/>
          <w:sz w:val="32"/>
          <w:szCs w:val="32"/>
        </w:rPr>
        <w:t>贯彻</w:t>
      </w:r>
      <w:r>
        <w:rPr>
          <w:rFonts w:hint="eastAsia" w:ascii="仿宋_GB2312" w:hAnsi="仿宋_GB2312" w:eastAsia="仿宋_GB2312" w:cs="仿宋_GB2312"/>
          <w:color w:val="000000"/>
          <w:sz w:val="32"/>
          <w:szCs w:val="32"/>
          <w:shd w:val="clear" w:color="auto" w:fill="FFFFFF"/>
        </w:rPr>
        <w:t>市委“围着企业转、围着百姓干”的工作要求，主动践行“四到服务”理念，</w:t>
      </w:r>
      <w:r>
        <w:rPr>
          <w:rFonts w:hint="eastAsia" w:ascii="仿宋_GB2312" w:hAnsi="仿宋_GB2312" w:eastAsia="仿宋_GB2312" w:cs="仿宋_GB2312"/>
          <w:sz w:val="32"/>
          <w:szCs w:val="32"/>
        </w:rPr>
        <w:t>建立要素市场化配置体制机制，</w:t>
      </w:r>
      <w:r>
        <w:rPr>
          <w:rFonts w:hint="eastAsia" w:ascii="仿宋_GB2312" w:hAnsi="仿宋_GB2312" w:eastAsia="仿宋_GB2312" w:cs="仿宋_GB2312"/>
          <w:color w:val="000000"/>
          <w:sz w:val="32"/>
          <w:szCs w:val="32"/>
          <w:shd w:val="clear" w:color="auto" w:fill="FFFFFF"/>
        </w:rPr>
        <w:t>全面构建</w:t>
      </w:r>
      <w:r>
        <w:rPr>
          <w:rFonts w:hint="eastAsia" w:ascii="仿宋_GB2312" w:hAnsi="仿宋_GB2312" w:eastAsia="仿宋_GB2312" w:cs="仿宋_GB2312"/>
          <w:sz w:val="32"/>
          <w:szCs w:val="32"/>
        </w:rPr>
        <w:t>市场化、法治化、全市一流营商环境，增强资本市场融入能力。深化政府行政管理体制改革、基础产业结构性改革、金融市场体系改革、国有资产管理体制改革、农业供给侧改革、创新和绿色发展。加快推动集团企业上市，强化对创新产品研发与生产的帮扶力度，提升省域内乃至国内国际市场占有率。打通供应链堵点断点，贯通生产、分配、流通、消费各个环节，形成供需互促、产销并进的良性循环，全面带动生产力发展。</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以强化“对口交流合作”为主攻方向，推动更高水平对外开放取得新突破。</w:t>
      </w:r>
      <w:r>
        <w:rPr>
          <w:rFonts w:hint="eastAsia" w:ascii="仿宋_GB2312" w:hAnsi="仿宋_GB2312" w:eastAsia="仿宋_GB2312" w:cs="仿宋_GB2312"/>
          <w:sz w:val="32"/>
          <w:szCs w:val="32"/>
        </w:rPr>
        <w:t>依托高铁、国铁等铁路资源，鹤大、鹤伊等公路资源，集中力量打造物流产业强区，推动南翔国际物流建设“外贸仓”，融入国内外大环境，为企业提供外贸基础保障。深化与汕头市潮南区的合作对接，促进两地民营经济和产品贸易经济联通发展。在人才、项目、物流等领域取得突破，构建区域对外开放先进样板。</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以塑造“新时代、新兴安、新印象”为主攻方向，推动生态文明建设取得新突破。</w:t>
      </w:r>
      <w:r>
        <w:rPr>
          <w:rFonts w:hint="eastAsia" w:ascii="仿宋_GB2312" w:hAnsi="仿宋_GB2312" w:eastAsia="仿宋_GB2312" w:cs="仿宋_GB2312"/>
          <w:sz w:val="32"/>
          <w:szCs w:val="32"/>
        </w:rPr>
        <w:t>贯彻市委“铸魂、提品、净水、增绿”的生态理念，狠抓污染源整治，积极推进山水林田湖草保护与修复工作。以市委提出的建成“一城山水半城林”的山水生态城市为目标，抓实“创森”和“绿色矿山”建设工作，努力呈现“城在景中坐，人在画中游”美好生态城区景象。</w:t>
      </w:r>
      <w:r>
        <w:fldChar w:fldCharType="begin"/>
      </w:r>
      <w:r>
        <w:instrText xml:space="preserve">HYPERLINK "https://www.360kuai.com/pc/99260c65de7b85b40?cota=4&amp;kuai_so=1&amp;tj_url=so_rec&amp;sign=360_57c3bbd1&amp;refer_scene=so_1" \t "https://www.so.com/_blank" </w:instrText>
      </w:r>
      <w:r>
        <w:fldChar w:fldCharType="separate"/>
      </w:r>
      <w:r>
        <w:rPr>
          <w:rFonts w:hint="eastAsia" w:ascii="仿宋_GB2312" w:hAnsi="仿宋_GB2312" w:eastAsia="仿宋_GB2312" w:cs="仿宋_GB2312"/>
          <w:sz w:val="32"/>
          <w:szCs w:val="32"/>
        </w:rPr>
        <w:t>做好“两山”论结合大文章</w:t>
      </w:r>
      <w:r>
        <w:fldChar w:fldCharType="end"/>
      </w:r>
      <w:r>
        <w:rPr>
          <w:rFonts w:hint="eastAsia" w:ascii="仿宋_GB2312" w:hAnsi="仿宋_GB2312" w:eastAsia="仿宋_GB2312" w:cs="仿宋_GB2312"/>
          <w:sz w:val="32"/>
          <w:szCs w:val="32"/>
        </w:rPr>
        <w:t>，围绕将军石山庄的优质生态资源，强势向外宣传推介，推动域内旅游资源的开发利用。创新旅游业新概念、新思路、新项目、新产品，引导乡村旅游成规模、上档次，保持本色，凸显特色，为“离土不离乡”的近郊农民提供致富道路。</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以实施“以人为核心的新型城镇化”为主攻方向，推动城乡区域协调发展取得新突破。</w:t>
      </w:r>
      <w:r>
        <w:rPr>
          <w:rFonts w:hint="eastAsia" w:ascii="仿宋_GB2312" w:hAnsi="仿宋_GB2312" w:eastAsia="仿宋_GB2312" w:cs="仿宋_GB2312"/>
          <w:sz w:val="32"/>
          <w:szCs w:val="32"/>
        </w:rPr>
        <w:t>优势互补、高质量发展的区域经济布局基本形成，围绕省委提出的建成哈尔滨“两小时经济圈”和“打造以佳木斯为枢纽，四煤城组团发展的东部城市群”要求，主动争当全市区域融合发展排头兵，发挥区位优势、整合要素资源、基础设施全面升级，争取全市支持，倾力打造鹤岗连接佳木斯、伊春的桥头堡。探索开发红旗镇精品旅游路线，用好用足山水林田湖草项目，全力打造兴安金鹤公园，促进旅游市场联合营销，加快“美丽乡村”建设步伐，人口集聚功能不断增强，城乡结合更为紧密，实现区域整体发展，城乡融合发展，全面推进以人为核心的新型城镇化。</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以抓实“政策资金争取”为主攻方向，推动政策引领转型发展取得新突破。</w:t>
      </w:r>
      <w:r>
        <w:rPr>
          <w:rFonts w:hint="eastAsia" w:ascii="仿宋_GB2312" w:hAnsi="仿宋_GB2312" w:eastAsia="仿宋_GB2312" w:cs="仿宋_GB2312"/>
          <w:sz w:val="32"/>
          <w:szCs w:val="32"/>
        </w:rPr>
        <w:t>主动争取政策和资金支持，梳理研究政策扶持方向，融入国家支持东北振兴、煤城转型政策体系，推动高质量转型发展迈出坚定步伐，搭建政策争取平台，使靶向争取思路更加清晰，加大对支持经济转型、民营企业发展、民生福祉改善、城区基础设施维护、生态环境保护等方面的政策争取力度，以政策资金为撬动杠杆，加快实现经济更优、城市更美、人民更富、企业更强、社会更稳的转型发展新格局。</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以繁荣“社会文化事业”为主攻方向，推动社会文明进步取得新突破。</w:t>
      </w:r>
      <w:r>
        <w:rPr>
          <w:rFonts w:hint="eastAsia" w:ascii="仿宋_GB2312" w:hAnsi="仿宋_GB2312" w:eastAsia="仿宋_GB2312" w:cs="仿宋_GB2312"/>
          <w:sz w:val="32"/>
          <w:szCs w:val="32"/>
        </w:rPr>
        <w:t>引导全区主动践行社会主义核心价值观，全面提高全社会人民思想道德素质、科学文化素质和身心健康素质。健全公共文化服务体系，繁荣兴安特色文化，丰富人民精神文化生活。培育文化产业，加快发展新兴文化业态，使文化产业成为经济产业新的增长极。</w:t>
      </w:r>
    </w:p>
    <w:p>
      <w:pPr>
        <w:spacing w:line="600" w:lineRule="exact"/>
        <w:ind w:firstLine="666" w:firstLineChars="200"/>
        <w:rPr>
          <w:rFonts w:ascii="仿宋_GB2312" w:hAnsi="仿宋_GB2312" w:eastAsia="仿宋_GB2312" w:cs="仿宋_GB2312"/>
          <w:sz w:val="32"/>
          <w:szCs w:val="32"/>
        </w:rPr>
      </w:pPr>
      <w:r>
        <w:rPr>
          <w:rFonts w:hint="eastAsia" w:ascii="楷体" w:hAnsi="楷体" w:eastAsia="楷体" w:cs="楷体"/>
          <w:b/>
          <w:bCs/>
          <w:sz w:val="32"/>
          <w:szCs w:val="32"/>
        </w:rPr>
        <w:t>——以增强“人民获得感”为主攻方向，推动民生福祉改善取得新突破。</w:t>
      </w:r>
      <w:r>
        <w:rPr>
          <w:rFonts w:hint="eastAsia" w:ascii="仿宋_GB2312" w:hAnsi="仿宋_GB2312" w:eastAsia="仿宋_GB2312" w:cs="仿宋_GB2312"/>
          <w:sz w:val="32"/>
          <w:szCs w:val="32"/>
        </w:rPr>
        <w:t>脱贫攻坚成果得到夯实，城乡居民收入继续稳步提高，中等收入群体比例明显提高，人民生活更为富裕。基本公共服务设施</w:t>
      </w:r>
      <w:r>
        <w:rPr>
          <w:rFonts w:hint="eastAsia" w:ascii="仿宋_GB2312" w:hAnsi="仿宋_GB2312" w:eastAsia="仿宋_GB2312" w:cs="仿宋_GB2312"/>
          <w:sz w:val="32"/>
          <w:szCs w:val="32"/>
          <w:lang w:eastAsia="zh-CN"/>
        </w:rPr>
        <w:t>品位</w:t>
      </w:r>
      <w:r>
        <w:rPr>
          <w:rFonts w:hint="eastAsia" w:ascii="仿宋_GB2312" w:hAnsi="仿宋_GB2312" w:eastAsia="仿宋_GB2312" w:cs="仿宋_GB2312"/>
          <w:sz w:val="32"/>
          <w:szCs w:val="32"/>
        </w:rPr>
        <w:t>全面提升，就业、教育、医疗、居住、养老等公共服务体系更加健全。人民群众的获得感、幸福感、满意度切实增强，实现脱贫攻坚与乡村振兴有效衔接。</w:t>
      </w:r>
    </w:p>
    <w:p>
      <w:pPr>
        <w:spacing w:line="600" w:lineRule="exact"/>
        <w:ind w:firstLine="666" w:firstLineChars="200"/>
        <w:rPr>
          <w:rFonts w:ascii="仿宋_GB2312" w:hAnsi="仿宋_GB2312" w:eastAsia="仿宋_GB2312" w:cs="仿宋_GB2312"/>
          <w:sz w:val="32"/>
          <w:szCs w:val="32"/>
        </w:rPr>
      </w:pPr>
      <w:r>
        <w:rPr>
          <w:rFonts w:ascii="楷体" w:hAnsi="楷体" w:eastAsia="楷体" w:cs="楷体"/>
          <w:b/>
          <w:bCs/>
          <w:sz w:val="32"/>
          <w:szCs w:val="32"/>
        </w:rPr>
        <w:t>——</w:t>
      </w:r>
      <w:r>
        <w:rPr>
          <w:rFonts w:hint="eastAsia" w:ascii="楷体" w:hAnsi="楷体" w:eastAsia="楷体" w:cs="楷体"/>
          <w:b/>
          <w:bCs/>
          <w:sz w:val="32"/>
          <w:szCs w:val="32"/>
        </w:rPr>
        <w:t>以建设“幸福平安新兴安”为主攻方向，推动社会治理效能取得新突破。</w:t>
      </w:r>
      <w:r>
        <w:rPr>
          <w:rFonts w:hint="eastAsia" w:ascii="仿宋_GB2312" w:hAnsi="仿宋_GB2312" w:eastAsia="仿宋_GB2312" w:cs="仿宋_GB2312"/>
          <w:sz w:val="32"/>
          <w:szCs w:val="32"/>
        </w:rPr>
        <w:t>社会主义民主法治更加健全，社会公平正义进一步彰显，政府行政效率和公信力显著提升，基层治理能力和现代化水平明显提高，防范化解重大风险体制机制不断健全，重大突发公共事件应急能力显著增强，自然灾害防御水平明显提升，发展安全保障更加有力。持续构建法治政府、法治社会、法治兴安。</w:t>
      </w:r>
    </w:p>
    <w:p>
      <w:pPr>
        <w:pStyle w:val="35"/>
      </w:pPr>
      <w:r>
        <w:rPr>
          <w:rFonts w:hint="eastAsia"/>
        </w:rPr>
        <w:t>专栏1</w:t>
      </w:r>
      <w:r>
        <w:t xml:space="preserve"> </w:t>
      </w:r>
      <w:r>
        <w:rPr>
          <w:rFonts w:hint="eastAsia"/>
        </w:rPr>
        <w:t>“十四五”时期经济社会发展主要指标</w:t>
      </w:r>
    </w:p>
    <w:tbl>
      <w:tblPr>
        <w:tblStyle w:val="20"/>
        <w:tblW w:w="851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21"/>
        <w:gridCol w:w="3627"/>
        <w:gridCol w:w="1922"/>
        <w:gridCol w:w="13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6" w:type="dxa"/>
            <w:vAlign w:val="center"/>
          </w:tcPr>
          <w:p>
            <w:pPr>
              <w:spacing w:after="0" w:line="440" w:lineRule="exact"/>
              <w:jc w:val="center"/>
              <w:rPr>
                <w:rFonts w:ascii="宋体" w:hAnsi="宋体" w:eastAsia="宋体"/>
                <w:b/>
                <w:color w:val="000000"/>
                <w:kern w:val="2"/>
                <w:sz w:val="21"/>
                <w:szCs w:val="21"/>
              </w:rPr>
            </w:pPr>
            <w:r>
              <w:rPr>
                <w:rFonts w:hint="eastAsia" w:ascii="宋体" w:hAnsi="宋体" w:eastAsia="宋体"/>
                <w:b/>
                <w:color w:val="000000"/>
                <w:kern w:val="2"/>
                <w:sz w:val="21"/>
                <w:szCs w:val="21"/>
              </w:rPr>
              <w:t>类 别</w:t>
            </w:r>
          </w:p>
        </w:tc>
        <w:tc>
          <w:tcPr>
            <w:tcW w:w="721" w:type="dxa"/>
            <w:vAlign w:val="center"/>
          </w:tcPr>
          <w:p>
            <w:pPr>
              <w:spacing w:after="0" w:line="440" w:lineRule="exact"/>
              <w:jc w:val="center"/>
              <w:rPr>
                <w:rFonts w:ascii="宋体" w:hAnsi="宋体" w:eastAsia="宋体"/>
                <w:b/>
                <w:color w:val="000000"/>
                <w:kern w:val="2"/>
                <w:sz w:val="21"/>
                <w:szCs w:val="21"/>
              </w:rPr>
            </w:pPr>
            <w:r>
              <w:rPr>
                <w:rFonts w:hint="eastAsia" w:ascii="宋体" w:hAnsi="宋体" w:eastAsia="宋体"/>
                <w:b/>
                <w:color w:val="000000"/>
                <w:kern w:val="2"/>
                <w:sz w:val="21"/>
                <w:szCs w:val="21"/>
              </w:rPr>
              <w:t>序号</w:t>
            </w:r>
          </w:p>
        </w:tc>
        <w:tc>
          <w:tcPr>
            <w:tcW w:w="3627" w:type="dxa"/>
            <w:vAlign w:val="center"/>
          </w:tcPr>
          <w:p>
            <w:pPr>
              <w:spacing w:after="0" w:line="440" w:lineRule="exact"/>
              <w:jc w:val="center"/>
              <w:rPr>
                <w:rFonts w:ascii="宋体" w:hAnsi="宋体" w:eastAsia="宋体"/>
                <w:b/>
                <w:color w:val="000000"/>
                <w:kern w:val="2"/>
                <w:sz w:val="21"/>
                <w:szCs w:val="21"/>
              </w:rPr>
            </w:pPr>
            <w:r>
              <w:rPr>
                <w:rFonts w:hint="eastAsia" w:ascii="宋体" w:hAnsi="宋体" w:eastAsia="宋体"/>
                <w:b/>
                <w:color w:val="000000"/>
                <w:kern w:val="2"/>
                <w:sz w:val="21"/>
                <w:szCs w:val="21"/>
              </w:rPr>
              <w:t>指 标 名 称</w:t>
            </w:r>
          </w:p>
        </w:tc>
        <w:tc>
          <w:tcPr>
            <w:tcW w:w="1922" w:type="dxa"/>
            <w:vAlign w:val="top"/>
          </w:tcPr>
          <w:p>
            <w:pPr>
              <w:spacing w:after="0" w:line="440" w:lineRule="exact"/>
              <w:jc w:val="center"/>
              <w:rPr>
                <w:rFonts w:ascii="宋体" w:hAnsi="宋体" w:eastAsia="宋体"/>
                <w:b/>
                <w:color w:val="000000"/>
                <w:kern w:val="2"/>
                <w:sz w:val="21"/>
                <w:szCs w:val="21"/>
              </w:rPr>
            </w:pPr>
            <w:r>
              <w:rPr>
                <w:rFonts w:hint="eastAsia" w:ascii="宋体" w:hAnsi="宋体" w:eastAsia="宋体"/>
                <w:b/>
                <w:color w:val="000000"/>
                <w:kern w:val="2"/>
                <w:sz w:val="21"/>
                <w:szCs w:val="21"/>
              </w:rPr>
              <w:t>2025年目标</w:t>
            </w:r>
          </w:p>
        </w:tc>
        <w:tc>
          <w:tcPr>
            <w:tcW w:w="1370" w:type="dxa"/>
            <w:vAlign w:val="center"/>
          </w:tcPr>
          <w:p>
            <w:pPr>
              <w:spacing w:after="0" w:line="440" w:lineRule="exact"/>
              <w:jc w:val="center"/>
              <w:rPr>
                <w:rFonts w:ascii="宋体" w:hAnsi="宋体" w:eastAsia="宋体"/>
                <w:b/>
                <w:color w:val="000000"/>
                <w:kern w:val="2"/>
                <w:sz w:val="21"/>
                <w:szCs w:val="21"/>
              </w:rPr>
            </w:pPr>
            <w:r>
              <w:rPr>
                <w:rFonts w:hint="eastAsia" w:ascii="宋体" w:hAnsi="宋体" w:eastAsia="宋体"/>
                <w:b/>
                <w:color w:val="000000"/>
                <w:kern w:val="2"/>
                <w:sz w:val="21"/>
                <w:szCs w:val="21"/>
              </w:rPr>
              <w:t>属 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6" w:type="dxa"/>
            <w:vMerge w:val="restart"/>
            <w:textDirection w:val="tbRlV"/>
            <w:vAlign w:val="center"/>
          </w:tcPr>
          <w:p>
            <w:pPr>
              <w:jc w:val="center"/>
              <w:rPr>
                <w:rFonts w:hint="eastAsia" w:eastAsia="宋体"/>
                <w:lang w:eastAsia="zh-CN"/>
              </w:rPr>
            </w:pPr>
            <w:r>
              <w:rPr>
                <w:rFonts w:hint="eastAsia"/>
                <w:lang w:eastAsia="zh-CN"/>
              </w:rPr>
              <w:t>经济发展</w:t>
            </w:r>
          </w:p>
        </w:tc>
        <w:tc>
          <w:tcPr>
            <w:tcW w:w="721" w:type="dxa"/>
            <w:vAlign w:val="center"/>
          </w:tcPr>
          <w:p>
            <w:pPr>
              <w:spacing w:after="0" w:line="420" w:lineRule="exact"/>
              <w:jc w:val="center"/>
              <w:rPr>
                <w:rFonts w:ascii="宋体" w:hAnsi="宋体" w:eastAsia="宋体"/>
                <w:color w:val="000000"/>
                <w:kern w:val="2"/>
                <w:sz w:val="21"/>
                <w:szCs w:val="21"/>
              </w:rPr>
            </w:pPr>
            <w:r>
              <w:rPr>
                <w:rFonts w:hint="eastAsia" w:ascii="宋体" w:hAnsi="宋体" w:eastAsia="宋体"/>
                <w:color w:val="000000"/>
                <w:kern w:val="2"/>
                <w:sz w:val="21"/>
                <w:szCs w:val="21"/>
              </w:rPr>
              <w:t>1</w:t>
            </w:r>
          </w:p>
        </w:tc>
        <w:tc>
          <w:tcPr>
            <w:tcW w:w="3627" w:type="dxa"/>
            <w:vAlign w:val="center"/>
          </w:tcPr>
          <w:p>
            <w:pPr>
              <w:spacing w:after="0"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地区</w:t>
            </w:r>
            <w:r>
              <w:rPr>
                <w:rFonts w:ascii="宋体" w:hAnsi="宋体" w:eastAsia="宋体" w:cs="宋体"/>
                <w:color w:val="000000"/>
                <w:kern w:val="0"/>
                <w:sz w:val="21"/>
                <w:szCs w:val="21"/>
              </w:rPr>
              <w:t>生产总值(GDP)</w:t>
            </w:r>
            <w:r>
              <w:rPr>
                <w:rFonts w:hint="eastAsia" w:ascii="宋体" w:hAnsi="宋体" w:cs="宋体"/>
                <w:color w:val="000000"/>
                <w:kern w:val="0"/>
                <w:sz w:val="21"/>
                <w:szCs w:val="21"/>
                <w:lang w:eastAsia="zh-CN"/>
              </w:rPr>
              <w:t>年均</w:t>
            </w:r>
            <w:r>
              <w:rPr>
                <w:rFonts w:ascii="宋体" w:hAnsi="宋体" w:eastAsia="宋体" w:cs="宋体"/>
                <w:color w:val="000000"/>
                <w:kern w:val="0"/>
                <w:sz w:val="21"/>
                <w:szCs w:val="21"/>
              </w:rPr>
              <w:t>增</w:t>
            </w:r>
            <w:r>
              <w:rPr>
                <w:rFonts w:hint="eastAsia" w:ascii="宋体" w:hAnsi="宋体" w:cs="宋体"/>
                <w:color w:val="000000"/>
                <w:kern w:val="0"/>
                <w:sz w:val="21"/>
                <w:szCs w:val="21"/>
                <w:lang w:eastAsia="zh-CN"/>
              </w:rPr>
              <w:t>速</w:t>
            </w:r>
            <w:r>
              <w:rPr>
                <w:rFonts w:ascii="宋体" w:hAnsi="宋体" w:eastAsia="宋体" w:cs="宋体"/>
                <w:color w:val="000000"/>
                <w:kern w:val="0"/>
                <w:sz w:val="21"/>
                <w:szCs w:val="21"/>
              </w:rPr>
              <w:t>(%)</w:t>
            </w:r>
          </w:p>
        </w:tc>
        <w:tc>
          <w:tcPr>
            <w:tcW w:w="1922" w:type="dxa"/>
            <w:vAlign w:val="top"/>
          </w:tcPr>
          <w:p>
            <w:pPr>
              <w:spacing w:after="0" w:line="460" w:lineRule="exact"/>
              <w:jc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6</w:t>
            </w:r>
            <w:r>
              <w:rPr>
                <w:rFonts w:hint="eastAsia" w:ascii="宋体" w:hAnsi="宋体" w:eastAsia="宋体" w:cs="宋体"/>
                <w:color w:val="000000"/>
                <w:kern w:val="0"/>
                <w:sz w:val="21"/>
                <w:szCs w:val="21"/>
              </w:rPr>
              <w:t>%</w:t>
            </w:r>
          </w:p>
        </w:tc>
        <w:tc>
          <w:tcPr>
            <w:tcW w:w="1370" w:type="dxa"/>
            <w:vAlign w:val="center"/>
          </w:tcPr>
          <w:p>
            <w:pPr>
              <w:spacing w:after="0"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6" w:type="dxa"/>
            <w:vMerge w:val="continue"/>
            <w:vAlign w:val="center"/>
          </w:tcPr>
          <w:p>
            <w:pPr>
              <w:spacing w:after="0" w:line="440" w:lineRule="exact"/>
              <w:jc w:val="center"/>
              <w:rPr>
                <w:rFonts w:ascii="宋体" w:hAnsi="宋体" w:eastAsia="宋体"/>
                <w:b/>
                <w:color w:val="000000"/>
                <w:kern w:val="2"/>
                <w:sz w:val="21"/>
                <w:szCs w:val="21"/>
              </w:rPr>
            </w:pPr>
          </w:p>
        </w:tc>
        <w:tc>
          <w:tcPr>
            <w:tcW w:w="721" w:type="dxa"/>
            <w:vAlign w:val="center"/>
          </w:tcPr>
          <w:p>
            <w:pPr>
              <w:spacing w:after="0" w:line="420" w:lineRule="exact"/>
              <w:jc w:val="center"/>
              <w:rPr>
                <w:rFonts w:ascii="宋体" w:hAnsi="宋体" w:eastAsia="宋体"/>
                <w:color w:val="000000"/>
                <w:kern w:val="2"/>
                <w:sz w:val="21"/>
                <w:szCs w:val="21"/>
              </w:rPr>
            </w:pPr>
            <w:r>
              <w:rPr>
                <w:rFonts w:hint="eastAsia" w:ascii="宋体" w:hAnsi="宋体" w:eastAsia="宋体"/>
                <w:color w:val="000000"/>
                <w:kern w:val="2"/>
                <w:sz w:val="21"/>
                <w:szCs w:val="21"/>
              </w:rPr>
              <w:t>2</w:t>
            </w:r>
          </w:p>
        </w:tc>
        <w:tc>
          <w:tcPr>
            <w:tcW w:w="3627" w:type="dxa"/>
            <w:vAlign w:val="center"/>
          </w:tcPr>
          <w:p>
            <w:pPr>
              <w:spacing w:after="0"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固定资产投资年均增长</w:t>
            </w:r>
            <w:r>
              <w:rPr>
                <w:rFonts w:ascii="宋体" w:hAnsi="宋体" w:eastAsia="宋体" w:cs="宋体"/>
                <w:color w:val="000000"/>
                <w:kern w:val="0"/>
                <w:sz w:val="21"/>
                <w:szCs w:val="21"/>
              </w:rPr>
              <w:t>(%)</w:t>
            </w:r>
          </w:p>
        </w:tc>
        <w:tc>
          <w:tcPr>
            <w:tcW w:w="1922" w:type="dxa"/>
            <w:vAlign w:val="top"/>
          </w:tcPr>
          <w:p>
            <w:pPr>
              <w:spacing w:after="0" w:line="460" w:lineRule="exact"/>
              <w:jc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7</w:t>
            </w:r>
            <w:r>
              <w:rPr>
                <w:rFonts w:hint="eastAsia" w:ascii="宋体" w:hAnsi="宋体" w:eastAsia="宋体" w:cs="宋体"/>
                <w:color w:val="000000"/>
                <w:kern w:val="0"/>
                <w:sz w:val="21"/>
                <w:szCs w:val="21"/>
              </w:rPr>
              <w:t>%</w:t>
            </w:r>
          </w:p>
        </w:tc>
        <w:tc>
          <w:tcPr>
            <w:tcW w:w="1370" w:type="dxa"/>
            <w:vAlign w:val="center"/>
          </w:tcPr>
          <w:p>
            <w:pPr>
              <w:spacing w:after="0"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6" w:type="dxa"/>
            <w:vMerge w:val="continue"/>
            <w:vAlign w:val="center"/>
          </w:tcPr>
          <w:p>
            <w:pPr>
              <w:spacing w:after="0" w:line="440" w:lineRule="exact"/>
              <w:jc w:val="center"/>
              <w:rPr>
                <w:rFonts w:ascii="宋体" w:hAnsi="宋体" w:eastAsia="宋体"/>
                <w:b/>
                <w:color w:val="000000"/>
                <w:kern w:val="2"/>
                <w:sz w:val="21"/>
                <w:szCs w:val="21"/>
              </w:rPr>
            </w:pPr>
          </w:p>
        </w:tc>
        <w:tc>
          <w:tcPr>
            <w:tcW w:w="721" w:type="dxa"/>
            <w:vAlign w:val="center"/>
          </w:tcPr>
          <w:p>
            <w:pPr>
              <w:spacing w:after="0" w:line="420" w:lineRule="exact"/>
              <w:jc w:val="center"/>
              <w:rPr>
                <w:rFonts w:ascii="宋体" w:hAnsi="宋体" w:eastAsia="宋体"/>
                <w:color w:val="000000"/>
                <w:kern w:val="2"/>
                <w:sz w:val="21"/>
                <w:szCs w:val="21"/>
              </w:rPr>
            </w:pPr>
            <w:r>
              <w:rPr>
                <w:rFonts w:hint="eastAsia" w:ascii="宋体" w:hAnsi="宋体" w:eastAsia="宋体"/>
                <w:color w:val="000000"/>
                <w:kern w:val="2"/>
                <w:sz w:val="21"/>
                <w:szCs w:val="21"/>
              </w:rPr>
              <w:t>3</w:t>
            </w:r>
          </w:p>
        </w:tc>
        <w:tc>
          <w:tcPr>
            <w:tcW w:w="3627" w:type="dxa"/>
            <w:vAlign w:val="center"/>
          </w:tcPr>
          <w:p>
            <w:pPr>
              <w:spacing w:after="0"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规上工业年均增加值</w:t>
            </w:r>
            <w:r>
              <w:rPr>
                <w:rFonts w:ascii="宋体" w:hAnsi="宋体" w:eastAsia="宋体" w:cs="宋体"/>
                <w:color w:val="000000"/>
                <w:kern w:val="0"/>
                <w:sz w:val="21"/>
                <w:szCs w:val="21"/>
              </w:rPr>
              <w:t>(%)</w:t>
            </w:r>
          </w:p>
        </w:tc>
        <w:tc>
          <w:tcPr>
            <w:tcW w:w="1922" w:type="dxa"/>
            <w:vAlign w:val="top"/>
          </w:tcPr>
          <w:p>
            <w:pPr>
              <w:spacing w:after="0" w:line="460" w:lineRule="exact"/>
              <w:jc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9</w:t>
            </w:r>
            <w:r>
              <w:rPr>
                <w:rFonts w:hint="eastAsia" w:ascii="宋体" w:hAnsi="宋体" w:eastAsia="宋体" w:cs="宋体"/>
                <w:color w:val="000000"/>
                <w:kern w:val="0"/>
                <w:sz w:val="21"/>
                <w:szCs w:val="21"/>
              </w:rPr>
              <w:t>%</w:t>
            </w:r>
          </w:p>
        </w:tc>
        <w:tc>
          <w:tcPr>
            <w:tcW w:w="1370" w:type="dxa"/>
            <w:vAlign w:val="center"/>
          </w:tcPr>
          <w:p>
            <w:pPr>
              <w:spacing w:after="0"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6" w:type="dxa"/>
            <w:vMerge w:val="continue"/>
            <w:vAlign w:val="center"/>
          </w:tcPr>
          <w:p>
            <w:pPr>
              <w:spacing w:after="0" w:line="440" w:lineRule="exact"/>
              <w:jc w:val="center"/>
              <w:rPr>
                <w:rFonts w:ascii="宋体" w:hAnsi="宋体" w:eastAsia="宋体"/>
                <w:b/>
                <w:color w:val="000000"/>
                <w:kern w:val="2"/>
                <w:sz w:val="21"/>
                <w:szCs w:val="21"/>
              </w:rPr>
            </w:pPr>
          </w:p>
        </w:tc>
        <w:tc>
          <w:tcPr>
            <w:tcW w:w="721" w:type="dxa"/>
            <w:vAlign w:val="center"/>
          </w:tcPr>
          <w:p>
            <w:pPr>
              <w:spacing w:after="0" w:line="420" w:lineRule="exact"/>
              <w:jc w:val="center"/>
              <w:rPr>
                <w:rFonts w:ascii="宋体" w:hAnsi="宋体" w:eastAsia="宋体"/>
                <w:color w:val="000000"/>
                <w:kern w:val="2"/>
                <w:sz w:val="21"/>
                <w:szCs w:val="21"/>
              </w:rPr>
            </w:pPr>
            <w:r>
              <w:rPr>
                <w:rFonts w:hint="eastAsia" w:ascii="宋体" w:hAnsi="宋体" w:eastAsia="宋体"/>
                <w:color w:val="000000"/>
                <w:kern w:val="2"/>
                <w:sz w:val="21"/>
                <w:szCs w:val="21"/>
              </w:rPr>
              <w:t>4</w:t>
            </w:r>
          </w:p>
        </w:tc>
        <w:tc>
          <w:tcPr>
            <w:tcW w:w="3627" w:type="dxa"/>
            <w:vAlign w:val="center"/>
          </w:tcPr>
          <w:p>
            <w:pPr>
              <w:spacing w:after="0"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社会消费品零售总额年均增长</w:t>
            </w:r>
            <w:r>
              <w:rPr>
                <w:rFonts w:ascii="宋体" w:hAnsi="宋体" w:eastAsia="宋体" w:cs="宋体"/>
                <w:color w:val="000000"/>
                <w:kern w:val="0"/>
                <w:sz w:val="21"/>
                <w:szCs w:val="21"/>
              </w:rPr>
              <w:t>(%)</w:t>
            </w:r>
          </w:p>
        </w:tc>
        <w:tc>
          <w:tcPr>
            <w:tcW w:w="1922" w:type="dxa"/>
            <w:vAlign w:val="top"/>
          </w:tcPr>
          <w:p>
            <w:pPr>
              <w:spacing w:after="0" w:line="460" w:lineRule="exact"/>
              <w:jc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rPr>
              <w:t>%</w:t>
            </w:r>
          </w:p>
        </w:tc>
        <w:tc>
          <w:tcPr>
            <w:tcW w:w="1370" w:type="dxa"/>
            <w:vAlign w:val="center"/>
          </w:tcPr>
          <w:p>
            <w:pPr>
              <w:spacing w:after="0" w:line="460" w:lineRule="exact"/>
              <w:jc w:val="center"/>
              <w:rPr>
                <w:rFonts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6" w:type="dxa"/>
            <w:vMerge w:val="continue"/>
            <w:vAlign w:val="center"/>
          </w:tcPr>
          <w:p>
            <w:pPr>
              <w:spacing w:after="0" w:line="440" w:lineRule="exact"/>
              <w:jc w:val="center"/>
              <w:rPr>
                <w:rFonts w:ascii="宋体" w:hAnsi="宋体" w:eastAsia="宋体"/>
                <w:b/>
                <w:color w:val="000000"/>
                <w:kern w:val="2"/>
                <w:sz w:val="21"/>
                <w:szCs w:val="21"/>
              </w:rPr>
            </w:pPr>
          </w:p>
        </w:tc>
        <w:tc>
          <w:tcPr>
            <w:tcW w:w="721" w:type="dxa"/>
            <w:vAlign w:val="center"/>
          </w:tcPr>
          <w:p>
            <w:pPr>
              <w:spacing w:after="0" w:line="440" w:lineRule="exact"/>
              <w:jc w:val="center"/>
              <w:rPr>
                <w:rFonts w:ascii="宋体" w:hAnsi="宋体" w:eastAsia="宋体"/>
                <w:color w:val="000000"/>
                <w:kern w:val="2"/>
                <w:sz w:val="21"/>
                <w:szCs w:val="21"/>
              </w:rPr>
            </w:pPr>
            <w:r>
              <w:rPr>
                <w:rFonts w:hint="eastAsia" w:ascii="宋体" w:hAnsi="宋体" w:eastAsia="宋体"/>
                <w:color w:val="000000"/>
                <w:kern w:val="2"/>
                <w:sz w:val="21"/>
                <w:szCs w:val="21"/>
              </w:rPr>
              <w:t>6</w:t>
            </w:r>
          </w:p>
        </w:tc>
        <w:tc>
          <w:tcPr>
            <w:tcW w:w="3627" w:type="dxa"/>
            <w:vAlign w:val="center"/>
          </w:tcPr>
          <w:p>
            <w:pPr>
              <w:spacing w:after="0"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城镇居民可支配收入年均增长</w:t>
            </w:r>
            <w:r>
              <w:rPr>
                <w:rFonts w:ascii="宋体" w:hAnsi="宋体" w:eastAsia="宋体" w:cs="宋体"/>
                <w:color w:val="000000"/>
                <w:kern w:val="0"/>
                <w:sz w:val="21"/>
                <w:szCs w:val="21"/>
              </w:rPr>
              <w:t>(%)</w:t>
            </w:r>
          </w:p>
        </w:tc>
        <w:tc>
          <w:tcPr>
            <w:tcW w:w="1922" w:type="dxa"/>
            <w:vAlign w:val="top"/>
          </w:tcPr>
          <w:p>
            <w:pPr>
              <w:spacing w:after="0" w:line="460" w:lineRule="exact"/>
              <w:jc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7</w:t>
            </w:r>
            <w:r>
              <w:rPr>
                <w:rFonts w:hint="eastAsia" w:ascii="宋体" w:hAnsi="宋体" w:eastAsia="宋体" w:cs="宋体"/>
                <w:color w:val="000000"/>
                <w:kern w:val="0"/>
                <w:sz w:val="21"/>
                <w:szCs w:val="21"/>
              </w:rPr>
              <w:t>%</w:t>
            </w:r>
          </w:p>
        </w:tc>
        <w:tc>
          <w:tcPr>
            <w:tcW w:w="1370" w:type="dxa"/>
            <w:vAlign w:val="center"/>
          </w:tcPr>
          <w:p>
            <w:pPr>
              <w:spacing w:after="0"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预期性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6" w:type="dxa"/>
            <w:vMerge w:val="continue"/>
            <w:vAlign w:val="center"/>
          </w:tcPr>
          <w:p>
            <w:pPr>
              <w:spacing w:after="0" w:line="440" w:lineRule="exact"/>
              <w:jc w:val="center"/>
              <w:rPr>
                <w:rFonts w:ascii="宋体" w:hAnsi="宋体" w:eastAsia="宋体"/>
                <w:b/>
                <w:color w:val="000000"/>
                <w:kern w:val="2"/>
                <w:sz w:val="21"/>
                <w:szCs w:val="21"/>
              </w:rPr>
            </w:pPr>
          </w:p>
        </w:tc>
        <w:tc>
          <w:tcPr>
            <w:tcW w:w="721" w:type="dxa"/>
            <w:vAlign w:val="center"/>
          </w:tcPr>
          <w:p>
            <w:pPr>
              <w:spacing w:after="0" w:line="440" w:lineRule="exact"/>
              <w:jc w:val="center"/>
              <w:rPr>
                <w:rFonts w:ascii="宋体" w:hAnsi="宋体" w:eastAsia="宋体"/>
                <w:color w:val="000000"/>
                <w:kern w:val="2"/>
                <w:sz w:val="21"/>
                <w:szCs w:val="21"/>
              </w:rPr>
            </w:pPr>
            <w:r>
              <w:rPr>
                <w:rFonts w:hint="eastAsia" w:ascii="宋体" w:hAnsi="宋体" w:eastAsia="宋体"/>
                <w:color w:val="000000"/>
                <w:kern w:val="2"/>
                <w:sz w:val="21"/>
                <w:szCs w:val="21"/>
              </w:rPr>
              <w:t>7</w:t>
            </w:r>
          </w:p>
        </w:tc>
        <w:tc>
          <w:tcPr>
            <w:tcW w:w="3627" w:type="dxa"/>
            <w:vAlign w:val="center"/>
          </w:tcPr>
          <w:p>
            <w:pPr>
              <w:spacing w:after="0"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农村人均纯收入年均增长</w:t>
            </w:r>
            <w:r>
              <w:rPr>
                <w:rFonts w:ascii="宋体" w:hAnsi="宋体" w:eastAsia="宋体" w:cs="宋体"/>
                <w:color w:val="000000"/>
                <w:kern w:val="0"/>
                <w:sz w:val="21"/>
                <w:szCs w:val="21"/>
              </w:rPr>
              <w:t>(%)</w:t>
            </w:r>
          </w:p>
        </w:tc>
        <w:tc>
          <w:tcPr>
            <w:tcW w:w="1922" w:type="dxa"/>
            <w:vAlign w:val="top"/>
          </w:tcPr>
          <w:p>
            <w:pPr>
              <w:spacing w:after="0" w:line="46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6.5</w:t>
            </w:r>
            <w:r>
              <w:rPr>
                <w:rFonts w:hint="eastAsia" w:ascii="宋体" w:hAnsi="宋体" w:eastAsia="宋体" w:cs="宋体"/>
                <w:color w:val="000000"/>
                <w:kern w:val="0"/>
                <w:sz w:val="21"/>
                <w:szCs w:val="21"/>
              </w:rPr>
              <w:t>%</w:t>
            </w:r>
          </w:p>
        </w:tc>
        <w:tc>
          <w:tcPr>
            <w:tcW w:w="1370" w:type="dxa"/>
            <w:vAlign w:val="center"/>
          </w:tcPr>
          <w:p>
            <w:pPr>
              <w:spacing w:after="0" w:line="46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预期性</w:t>
            </w:r>
          </w:p>
        </w:tc>
      </w:tr>
    </w:tbl>
    <w:p>
      <w:pPr>
        <w:widowControl w:val="0"/>
        <w:numPr>
          <w:ilvl w:val="0"/>
          <w:numId w:val="0"/>
        </w:numPr>
        <w:wordWrap/>
        <w:adjustRightInd/>
        <w:snapToGrid/>
        <w:spacing w:beforeLines="100" w:afterLines="100" w:line="600" w:lineRule="exact"/>
        <w:jc w:val="center"/>
        <w:textAlignment w:val="auto"/>
        <w:outlineLvl w:val="0"/>
        <w:rPr>
          <w:rFonts w:hint="eastAsia" w:ascii="黑体" w:hAnsi="黑体" w:eastAsia="黑体" w:cs="黑体"/>
          <w:sz w:val="32"/>
          <w:szCs w:val="32"/>
          <w:lang w:val="en-US" w:eastAsia="zh-CN"/>
        </w:rPr>
      </w:pPr>
      <w:bookmarkStart w:id="56" w:name="_Toc6372"/>
      <w:bookmarkStart w:id="57" w:name="_Toc3341"/>
      <w:bookmarkStart w:id="58" w:name="_Toc29182"/>
      <w:r>
        <w:rPr>
          <w:rFonts w:hint="eastAsia" w:ascii="黑体" w:hAnsi="黑体" w:eastAsia="黑体" w:cs="黑体"/>
          <w:sz w:val="32"/>
          <w:szCs w:val="32"/>
          <w:lang w:val="en-US" w:eastAsia="zh-CN"/>
        </w:rPr>
        <w:t>第六节 到二〇三五年基本实现社会主义</w:t>
      </w:r>
      <w:bookmarkEnd w:id="56"/>
      <w:bookmarkEnd w:id="57"/>
      <w:bookmarkEnd w:id="58"/>
    </w:p>
    <w:p>
      <w:pPr>
        <w:widowControl w:val="0"/>
        <w:numPr>
          <w:ilvl w:val="0"/>
          <w:numId w:val="0"/>
        </w:numPr>
        <w:wordWrap/>
        <w:adjustRightInd/>
        <w:snapToGrid/>
        <w:spacing w:beforeLines="100" w:afterLines="100" w:line="600" w:lineRule="exact"/>
        <w:jc w:val="center"/>
        <w:textAlignment w:val="auto"/>
        <w:outlineLvl w:val="1"/>
        <w:rPr>
          <w:rFonts w:hint="eastAsia" w:ascii="黑体" w:hAnsi="黑体" w:eastAsia="黑体" w:cs="黑体"/>
          <w:sz w:val="32"/>
          <w:szCs w:val="32"/>
          <w:lang w:val="en-US" w:eastAsia="zh-CN"/>
        </w:rPr>
      </w:pPr>
      <w:bookmarkStart w:id="59" w:name="_Toc559"/>
      <w:bookmarkStart w:id="60" w:name="_Toc1106"/>
      <w:bookmarkStart w:id="61" w:name="_Toc18178"/>
      <w:bookmarkStart w:id="62" w:name="_Toc12336"/>
      <w:bookmarkStart w:id="63" w:name="_Toc16392"/>
      <w:r>
        <w:rPr>
          <w:rFonts w:hint="eastAsia" w:ascii="黑体" w:hAnsi="黑体" w:eastAsia="黑体" w:cs="黑体"/>
          <w:sz w:val="32"/>
          <w:szCs w:val="32"/>
          <w:lang w:val="en-US" w:eastAsia="zh-CN"/>
        </w:rPr>
        <w:t>现代化的远景目标</w:t>
      </w:r>
      <w:bookmarkEnd w:id="59"/>
      <w:bookmarkEnd w:id="60"/>
      <w:bookmarkEnd w:id="61"/>
      <w:bookmarkEnd w:id="62"/>
      <w:bookmarkEnd w:id="63"/>
    </w:p>
    <w:p>
      <w:pPr>
        <w:spacing w:line="600" w:lineRule="exact"/>
        <w:ind w:firstLine="666" w:firstLineChars="200"/>
        <w:rPr>
          <w:rFonts w:ascii="仿宋_GB2312" w:hAnsi="仿宋_GB2312" w:eastAsia="仿宋_GB2312" w:cs="仿宋_GB2312"/>
          <w:b/>
          <w:bCs/>
          <w:sz w:val="32"/>
          <w:szCs w:val="32"/>
        </w:rPr>
      </w:pPr>
      <w:bookmarkStart w:id="64" w:name="_Toc5975"/>
      <w:r>
        <w:rPr>
          <w:rFonts w:hint="eastAsia" w:ascii="仿宋_GB2312" w:hAnsi="仿宋_GB2312" w:eastAsia="仿宋_GB2312" w:cs="仿宋_GB2312"/>
          <w:sz w:val="32"/>
          <w:szCs w:val="32"/>
        </w:rPr>
        <w:t>紧紧围绕党的十九大和十九届五中全会战略安排，依据省市第十二次党代会和省市委十二届五次全会描绘的宏伟蓝图，</w:t>
      </w:r>
      <w:r>
        <w:rPr>
          <w:rFonts w:hint="eastAsia" w:ascii="仿宋_GB2312" w:hAnsi="仿宋_GB2312" w:eastAsia="仿宋_GB2312" w:cs="仿宋_GB2312"/>
          <w:b w:val="0"/>
          <w:bCs w:val="0"/>
          <w:sz w:val="32"/>
          <w:szCs w:val="32"/>
        </w:rPr>
        <w:t>到二○三五年，奋力走出建设社会主义现代化新兴安的新路子，实现兴安高质量转型发展，“五型新区”全面建成，奋力实现宜居宜业宜游新兴安的目标，基本实现社会主义现代化。</w:t>
      </w:r>
    </w:p>
    <w:p>
      <w:pPr>
        <w:spacing w:line="600" w:lineRule="exact"/>
        <w:ind w:firstLine="66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2035</w:t>
      </w:r>
      <w:r>
        <w:rPr>
          <w:rFonts w:hint="eastAsia" w:ascii="仿宋_GB2312" w:hAnsi="仿宋_GB2312" w:eastAsia="仿宋_GB2312" w:cs="仿宋_GB2312"/>
          <w:sz w:val="32"/>
          <w:szCs w:val="32"/>
        </w:rPr>
        <w:t>年，兴安成功实现高质量转型，总体分为三个阶段：</w:t>
      </w:r>
    </w:p>
    <w:p>
      <w:pPr>
        <w:spacing w:line="600" w:lineRule="exact"/>
        <w:ind w:firstLine="666"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第一阶段，</w:t>
      </w:r>
      <w:r>
        <w:rPr>
          <w:rFonts w:ascii="仿宋_GB2312" w:hAnsi="仿宋_GB2312" w:eastAsia="仿宋_GB2312" w:cs="仿宋_GB2312"/>
          <w:b/>
          <w:bCs/>
          <w:sz w:val="32"/>
          <w:szCs w:val="32"/>
        </w:rPr>
        <w:t>2021-2025</w:t>
      </w:r>
      <w:r>
        <w:rPr>
          <w:rFonts w:hint="eastAsia" w:ascii="仿宋_GB2312" w:hAnsi="仿宋_GB2312" w:eastAsia="仿宋_GB2312" w:cs="仿宋_GB2312"/>
          <w:b/>
          <w:bCs/>
          <w:sz w:val="32"/>
          <w:szCs w:val="32"/>
        </w:rPr>
        <w:t>年，转型攻坚期：</w:t>
      </w:r>
      <w:r>
        <w:rPr>
          <w:rFonts w:hint="eastAsia" w:ascii="仿宋_GB2312" w:hAnsi="仿宋_GB2312" w:eastAsia="仿宋_GB2312" w:cs="仿宋_GB2312"/>
          <w:sz w:val="32"/>
          <w:szCs w:val="32"/>
        </w:rPr>
        <w:t>主要任务是围绕区委确定的“十一个主攻方向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十一个新突破”，重点抓好后疫情时代经济社会恢复性发展，全力以赴完成“十四五”规划确定的目标任务，兴安转型发展取得决定性成果；</w:t>
      </w:r>
    </w:p>
    <w:p>
      <w:pPr>
        <w:spacing w:line="600" w:lineRule="exact"/>
        <w:ind w:firstLine="666"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第二阶段，</w:t>
      </w:r>
      <w:r>
        <w:rPr>
          <w:rFonts w:ascii="仿宋_GB2312" w:hAnsi="仿宋_GB2312" w:eastAsia="仿宋_GB2312" w:cs="仿宋_GB2312"/>
          <w:b/>
          <w:bCs/>
          <w:sz w:val="32"/>
          <w:szCs w:val="32"/>
        </w:rPr>
        <w:t>2026-2030</w:t>
      </w:r>
      <w:r>
        <w:rPr>
          <w:rFonts w:hint="eastAsia" w:ascii="仿宋_GB2312" w:hAnsi="仿宋_GB2312" w:eastAsia="仿宋_GB2312" w:cs="仿宋_GB2312"/>
          <w:b/>
          <w:bCs/>
          <w:sz w:val="32"/>
          <w:szCs w:val="32"/>
        </w:rPr>
        <w:t>年，转型拓进期：</w:t>
      </w:r>
      <w:r>
        <w:rPr>
          <w:rFonts w:hint="eastAsia" w:ascii="仿宋_GB2312" w:hAnsi="仿宋_GB2312" w:eastAsia="仿宋_GB2312" w:cs="仿宋_GB2312"/>
          <w:sz w:val="32"/>
          <w:szCs w:val="32"/>
        </w:rPr>
        <w:t>主要任务是围绕转型主攻方向，加速推动优势特色产业集聚，提升接续替代产业比重，完善重大基础设施承载，修复生态人居环境，提高人民生活质量；</w:t>
      </w:r>
    </w:p>
    <w:p>
      <w:pPr>
        <w:spacing w:line="600" w:lineRule="exact"/>
        <w:ind w:firstLine="666" w:firstLineChars="200"/>
      </w:pPr>
      <w:r>
        <w:rPr>
          <w:rFonts w:hint="eastAsia" w:ascii="仿宋_GB2312" w:hAnsi="仿宋_GB2312" w:eastAsia="仿宋_GB2312" w:cs="仿宋_GB2312"/>
          <w:b/>
          <w:bCs/>
          <w:sz w:val="32"/>
          <w:szCs w:val="32"/>
        </w:rPr>
        <w:t>第三阶段，</w:t>
      </w:r>
      <w:r>
        <w:rPr>
          <w:rFonts w:ascii="仿宋_GB2312" w:hAnsi="仿宋_GB2312" w:eastAsia="仿宋_GB2312" w:cs="仿宋_GB2312"/>
          <w:b/>
          <w:bCs/>
          <w:sz w:val="32"/>
          <w:szCs w:val="32"/>
        </w:rPr>
        <w:t>2031-2035</w:t>
      </w:r>
      <w:r>
        <w:rPr>
          <w:rFonts w:hint="eastAsia" w:ascii="仿宋_GB2312" w:hAnsi="仿宋_GB2312" w:eastAsia="仿宋_GB2312" w:cs="仿宋_GB2312"/>
          <w:b/>
          <w:bCs/>
          <w:sz w:val="32"/>
          <w:szCs w:val="32"/>
        </w:rPr>
        <w:t>年，转型决胜期：</w:t>
      </w:r>
      <w:r>
        <w:rPr>
          <w:rFonts w:hint="eastAsia" w:ascii="仿宋_GB2312" w:hAnsi="仿宋_GB2312" w:eastAsia="仿宋_GB2312" w:cs="仿宋_GB2312"/>
          <w:sz w:val="32"/>
          <w:szCs w:val="32"/>
        </w:rPr>
        <w:t>主要任务是全面构筑起支撑高质量转型的市场体系、产业体系、城乡区域发展体系、绿色发展体系、全面开放体系、民生保障体系，全面建成“五型新区”，全面实现宜居宜业宜游新兴安的目标。</w:t>
      </w:r>
    </w:p>
    <w:p>
      <w:pPr>
        <w:spacing w:line="600" w:lineRule="exact"/>
        <w:ind w:firstLine="666" w:firstLineChars="200"/>
      </w:pPr>
      <w:r>
        <w:rPr>
          <w:rFonts w:hint="eastAsia" w:ascii="仿宋_GB2312" w:hAnsi="仿宋_GB2312" w:eastAsia="仿宋_GB2312" w:cs="仿宋_GB2312"/>
          <w:sz w:val="32"/>
          <w:szCs w:val="32"/>
        </w:rPr>
        <w:t>届时我区综合实力实现新跨越，自主创新能力和制造业竞争力大幅提升，经济总量和城乡居民收入再迈上新台阶；基本实现新型工业化、农业现代化、信息化、城镇化，建成现代化经济体系；基本实现治理体系和治理能力现代化，建成法治政府、法治社会、法治兴安；新时代文化体系基本建成，文化产业加快发展，文化软实力显著增强，国民素质和社会文明程度达到新高度；努力打造生态文明示范区，生态环境更加优良；基本公共服务实现均等化，平安兴安建设达到更高水平，人民生活更加美好，中等收入群体显著扩大，全区人民共同富裕迈出坚实步伐。到本世纪中叶，确保与全国人民一道，实现“富强民主文明和谐美丽的社会主义现代化”宏伟目标。</w:t>
      </w:r>
    </w:p>
    <w:p>
      <w:pPr>
        <w:pStyle w:val="37"/>
        <w:keepNext/>
        <w:keepLines/>
        <w:widowControl/>
        <w:adjustRightInd w:val="0"/>
        <w:snapToGrid w:val="0"/>
        <w:spacing w:before="240" w:after="240"/>
        <w:ind w:left="0" w:firstLine="0"/>
        <w:rPr>
          <w:rFonts w:hint="eastAsia" w:asciiTheme="majorEastAsia" w:hAnsiTheme="majorEastAsia" w:eastAsiaTheme="majorEastAsia" w:cstheme="minorBidi"/>
          <w:color w:val="000000" w:themeColor="text1"/>
          <w:kern w:val="44"/>
          <w:lang w:val="en-US" w:eastAsia="zh-CN"/>
          <w14:textFill>
            <w14:solidFill>
              <w14:schemeClr w14:val="tx1"/>
            </w14:solidFill>
          </w14:textFill>
        </w:rPr>
      </w:pPr>
      <w:bookmarkStart w:id="65" w:name="_Toc18377"/>
      <w:bookmarkStart w:id="66" w:name="_Toc16587"/>
      <w:r>
        <w:rPr>
          <w:rFonts w:hint="eastAsia" w:asciiTheme="majorEastAsia" w:hAnsiTheme="majorEastAsia" w:eastAsiaTheme="majorEastAsia" w:cstheme="minorBidi"/>
          <w:color w:val="000000" w:themeColor="text1"/>
          <w:kern w:val="44"/>
          <w:lang w:val="en-US" w:eastAsia="zh-CN"/>
          <w14:textFill>
            <w14:solidFill>
              <w14:schemeClr w14:val="tx1"/>
            </w14:solidFill>
          </w14:textFill>
        </w:rPr>
        <w:t xml:space="preserve">第二章 </w:t>
      </w:r>
      <w:bookmarkEnd w:id="64"/>
      <w:r>
        <w:rPr>
          <w:rFonts w:hint="eastAsia" w:asciiTheme="majorEastAsia" w:hAnsiTheme="majorEastAsia" w:eastAsiaTheme="majorEastAsia" w:cstheme="minorBidi"/>
          <w:color w:val="000000" w:themeColor="text1"/>
          <w:kern w:val="44"/>
          <w:lang w:val="en-US" w:eastAsia="zh-CN"/>
          <w14:textFill>
            <w14:solidFill>
              <w14:schemeClr w14:val="tx1"/>
            </w14:solidFill>
          </w14:textFill>
        </w:rPr>
        <w:t xml:space="preserve">加快发展现代产业体系 </w:t>
      </w:r>
      <w:bookmarkEnd w:id="65"/>
      <w:r>
        <w:rPr>
          <w:rFonts w:hint="eastAsia" w:asciiTheme="majorEastAsia" w:hAnsiTheme="majorEastAsia" w:eastAsiaTheme="majorEastAsia" w:cstheme="minorBidi"/>
          <w:color w:val="000000" w:themeColor="text1"/>
          <w:kern w:val="44"/>
          <w:lang w:val="en-US" w:eastAsia="zh-CN"/>
          <w14:textFill>
            <w14:solidFill>
              <w14:schemeClr w14:val="tx1"/>
            </w14:solidFill>
          </w14:textFill>
        </w:rPr>
        <w:t>聚焦转型发展新动能</w:t>
      </w:r>
      <w:bookmarkEnd w:id="66"/>
    </w:p>
    <w:p>
      <w:pPr>
        <w:spacing w:line="600" w:lineRule="exact"/>
        <w:ind w:firstLine="666"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把发展经济着力点放在实体经济上，不断贯彻落实“巩固、增强、提升、畅通”八字方针，围绕市委市政府提出的做好“三篇大文章”，抓好“四头四尾”，强力推动“五大产业”发展方向，聚焦“五型新区”的发展定位，谋划产业园区。围绕石墨、绿色农副产品、煤炭等资源优势，尽快形成多点支撑、多措并举、多元发展的产业发展新格局。</w:t>
      </w:r>
    </w:p>
    <w:p>
      <w:pPr>
        <w:pStyle w:val="36"/>
        <w:spacing w:before="240" w:after="240"/>
        <w:rPr>
          <w:rFonts w:hint="eastAsia" w:eastAsia="黑体"/>
          <w:lang w:eastAsia="zh-CN"/>
        </w:rPr>
      </w:pPr>
      <w:bookmarkStart w:id="67" w:name="_Toc56076238"/>
      <w:bookmarkStart w:id="68" w:name="_Toc26046"/>
      <w:bookmarkStart w:id="69" w:name="_Toc17459"/>
      <w:r>
        <w:rPr>
          <w:rFonts w:hint="eastAsia"/>
        </w:rPr>
        <w:t>第一节 推动产业基础提升和产业链</w:t>
      </w:r>
      <w:bookmarkEnd w:id="67"/>
      <w:bookmarkEnd w:id="68"/>
      <w:r>
        <w:rPr>
          <w:rFonts w:hint="eastAsia"/>
          <w:lang w:eastAsia="zh-CN"/>
        </w:rPr>
        <w:t>现代化</w:t>
      </w:r>
      <w:bookmarkEnd w:id="69"/>
    </w:p>
    <w:p>
      <w:pPr>
        <w:spacing w:after="0" w:line="600" w:lineRule="exact"/>
        <w:ind w:firstLine="666" w:firstLineChars="200"/>
        <w:contextualSpacing/>
        <w:jc w:val="both"/>
      </w:pPr>
      <w:r>
        <w:rPr>
          <w:rFonts w:hint="eastAsia" w:ascii="楷体" w:hAnsi="楷体" w:eastAsia="楷体"/>
          <w:b/>
          <w:color w:val="000000" w:themeColor="text1"/>
          <w:sz w:val="32"/>
          <w:szCs w:val="32"/>
          <w14:textFill>
            <w14:solidFill>
              <w14:schemeClr w14:val="tx1"/>
            </w14:solidFill>
          </w14:textFill>
        </w:rPr>
        <w:t>实施产业强基工程。</w:t>
      </w:r>
      <w:r>
        <w:rPr>
          <w:rFonts w:hint="eastAsia" w:ascii="仿宋" w:hAnsi="仿宋" w:eastAsia="仿宋"/>
          <w:color w:val="000000" w:themeColor="text1"/>
          <w:sz w:val="32"/>
          <w:szCs w:val="32"/>
          <w14:textFill>
            <w14:solidFill>
              <w14:schemeClr w14:val="tx1"/>
            </w14:solidFill>
          </w14:textFill>
        </w:rPr>
        <w:t>综</w:t>
      </w:r>
      <w:r>
        <w:rPr>
          <w:rFonts w:hint="eastAsia" w:ascii="仿宋_GB2312" w:hAnsi="仿宋_GB2312" w:eastAsia="仿宋_GB2312" w:cs="仿宋_GB2312"/>
          <w:color w:val="000000" w:themeColor="text1"/>
          <w:sz w:val="32"/>
          <w:szCs w:val="32"/>
          <w14:textFill>
            <w14:solidFill>
              <w14:schemeClr w14:val="tx1"/>
            </w14:solidFill>
          </w14:textFill>
        </w:rPr>
        <w:t>合运用国家政策，加大科技成果引进和转化力度，用一流的科技成果转化环境，吸引科研机构向</w:t>
      </w:r>
      <w:r>
        <w:rPr>
          <w:rFonts w:hint="eastAsia" w:ascii="仿宋_GB2312" w:hAnsi="仿宋_GB2312" w:eastAsia="仿宋_GB2312" w:cs="仿宋_GB2312"/>
          <w:color w:val="000000" w:themeColor="text1"/>
          <w:sz w:val="32"/>
          <w:szCs w:val="32"/>
          <w:lang w:eastAsia="zh-CN"/>
          <w14:textFill>
            <w14:solidFill>
              <w14:schemeClr w14:val="tx1"/>
            </w14:solidFill>
          </w14:textFill>
        </w:rPr>
        <w:t>兴安</w:t>
      </w:r>
      <w:r>
        <w:rPr>
          <w:rFonts w:hint="eastAsia" w:ascii="仿宋_GB2312" w:hAnsi="仿宋_GB2312" w:eastAsia="仿宋_GB2312" w:cs="仿宋_GB2312"/>
          <w:color w:val="000000" w:themeColor="text1"/>
          <w:sz w:val="32"/>
          <w:szCs w:val="32"/>
          <w14:textFill>
            <w14:solidFill>
              <w14:schemeClr w14:val="tx1"/>
            </w14:solidFill>
          </w14:textFill>
        </w:rPr>
        <w:t>集聚，加速形成多元化的产业发展基础支撑体系。落实好国家重点领域四基“一揽子”突破行动，协同开展核心产品、技术攻关，实现工程化、产业化突破。</w:t>
      </w:r>
      <w:r>
        <w:rPr>
          <w:rFonts w:hint="eastAsia" w:ascii="仿宋_GB2312" w:hAnsi="仿宋_GB2312" w:eastAsia="仿宋_GB2312" w:cs="仿宋_GB2312"/>
          <w:sz w:val="32"/>
          <w:szCs w:val="32"/>
        </w:rPr>
        <w:t>立足绿色矿业、生态农业、文化旅游、外贸物流、战略新兴等“五大产业”，用好上海中产集团委托招商平台，有针对性的招引上下游配套项目，推进稳链、补链、延链、强链、优化区域产业链布局。</w:t>
      </w:r>
    </w:p>
    <w:p>
      <w:pPr>
        <w:spacing w:after="0" w:line="600" w:lineRule="exact"/>
        <w:ind w:firstLine="666" w:firstLineChars="200"/>
        <w:contextualSpacing/>
        <w:jc w:val="both"/>
        <w:rPr>
          <w:rFonts w:ascii="仿宋" w:hAnsi="仿宋" w:eastAsia="仿宋"/>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实施产业链提升工程。</w:t>
      </w:r>
      <w:r>
        <w:rPr>
          <w:rFonts w:hint="eastAsia" w:ascii="仿宋" w:hAnsi="仿宋" w:eastAsia="仿宋"/>
          <w:color w:val="000000" w:themeColor="text1"/>
          <w:sz w:val="32"/>
          <w:szCs w:val="32"/>
          <w14:textFill>
            <w14:solidFill>
              <w14:schemeClr w14:val="tx1"/>
            </w14:solidFill>
          </w14:textFill>
        </w:rPr>
        <w:t>立足绿色矿业、生态农业、文化旅游、外贸物流、战略新兴等“五大产业”，做好产业链供应链战略设计，推动全产业链优化升级</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锻长板、补短板，拉长产业链供应链长度，优化产业链上游供给保障，强化产业链中游集群配套，提升产业链下游产品竞争能力。做强石墨新材料、</w:t>
      </w:r>
      <w:r>
        <w:rPr>
          <w:rFonts w:hint="eastAsia" w:ascii="仿宋" w:hAnsi="仿宋" w:eastAsia="仿宋"/>
          <w:color w:val="000000" w:themeColor="text1"/>
          <w:sz w:val="32"/>
          <w:szCs w:val="32"/>
          <w:lang w:eastAsia="zh-CN"/>
          <w14:textFill>
            <w14:solidFill>
              <w14:schemeClr w14:val="tx1"/>
            </w14:solidFill>
          </w14:textFill>
        </w:rPr>
        <w:t>精细化工、绿色农副产品</w:t>
      </w:r>
      <w:r>
        <w:rPr>
          <w:rFonts w:hint="eastAsia" w:ascii="仿宋" w:hAnsi="仿宋" w:eastAsia="仿宋"/>
          <w:color w:val="000000" w:themeColor="text1"/>
          <w:sz w:val="32"/>
          <w:szCs w:val="32"/>
          <w14:textFill>
            <w14:solidFill>
              <w14:schemeClr w14:val="tx1"/>
            </w14:solidFill>
          </w14:textFill>
        </w:rPr>
        <w:t>等具备规模和配套优势的产业链，发展</w:t>
      </w:r>
      <w:r>
        <w:rPr>
          <w:rFonts w:hint="eastAsia" w:ascii="仿宋" w:hAnsi="仿宋" w:eastAsia="仿宋"/>
          <w:color w:val="000000" w:themeColor="text1"/>
          <w:sz w:val="32"/>
          <w:szCs w:val="32"/>
          <w:lang w:eastAsia="zh-CN"/>
          <w14:textFill>
            <w14:solidFill>
              <w14:schemeClr w14:val="tx1"/>
            </w14:solidFill>
          </w14:textFill>
        </w:rPr>
        <w:t>生态</w:t>
      </w:r>
      <w:r>
        <w:rPr>
          <w:rFonts w:hint="eastAsia" w:ascii="仿宋" w:hAnsi="仿宋" w:eastAsia="仿宋"/>
          <w:color w:val="000000" w:themeColor="text1"/>
          <w:sz w:val="32"/>
          <w:szCs w:val="32"/>
          <w14:textFill>
            <w14:solidFill>
              <w14:schemeClr w14:val="tx1"/>
            </w14:solidFill>
          </w14:textFill>
        </w:rPr>
        <w:t>旅游、现代物流、清洁能源、健康养老等新兴产业链，打造出影响竞争能力强、产出率高、发展后劲足、辐射带动力大的高能级产业链条。</w:t>
      </w:r>
    </w:p>
    <w:p>
      <w:pPr>
        <w:spacing w:after="0" w:line="600" w:lineRule="exact"/>
        <w:ind w:firstLine="666" w:firstLineChars="200"/>
        <w:contextualSpacing/>
        <w:jc w:val="both"/>
        <w:rPr>
          <w:rFonts w:hint="eastAsia" w:cstheme="majorBidi"/>
          <w:color w:val="000000" w:themeColor="text1"/>
          <w:kern w:val="0"/>
          <w:lang w:val="en-US" w:eastAsia="zh-CN"/>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扩大产业技术市场应用。</w:t>
      </w:r>
      <w:r>
        <w:rPr>
          <w:rFonts w:hint="eastAsia" w:ascii="仿宋" w:hAnsi="仿宋" w:eastAsia="仿宋"/>
          <w:color w:val="000000" w:themeColor="text1"/>
          <w:sz w:val="32"/>
          <w:szCs w:val="32"/>
          <w14:textFill>
            <w14:solidFill>
              <w14:schemeClr w14:val="tx1"/>
            </w14:solidFill>
          </w14:textFill>
        </w:rPr>
        <w:t>以扩大省内市场为牵动，对市场急需、从无到有的产品和技术，积极推动首台（套）产品、首批次材料等推广和应用。对从有到优、具备可持续创新能力的产品和技术，实施重点产品“一条龙”应用计划，加大政策引导促进市场应用。</w:t>
      </w:r>
    </w:p>
    <w:p>
      <w:pPr>
        <w:pStyle w:val="36"/>
        <w:widowControl/>
        <w:adjustRightInd w:val="0"/>
        <w:snapToGrid w:val="0"/>
        <w:spacing w:before="240" w:after="240"/>
        <w:rPr>
          <w:rFonts w:hint="eastAsia" w:cstheme="majorBidi"/>
          <w:color w:val="000000" w:themeColor="text1"/>
          <w:kern w:val="0"/>
          <w:lang w:val="en-US" w:eastAsia="zh-CN"/>
          <w14:textFill>
            <w14:solidFill>
              <w14:schemeClr w14:val="tx1"/>
            </w14:solidFill>
          </w14:textFill>
        </w:rPr>
      </w:pPr>
      <w:bookmarkStart w:id="70" w:name="_Toc12340"/>
      <w:bookmarkStart w:id="71" w:name="_Toc3011"/>
      <w:r>
        <w:rPr>
          <w:rFonts w:hint="eastAsia" w:cstheme="majorBidi"/>
          <w:color w:val="000000" w:themeColor="text1"/>
          <w:kern w:val="0"/>
          <w:lang w:val="en-US" w:eastAsia="zh-CN"/>
          <w14:textFill>
            <w14:solidFill>
              <w14:schemeClr w14:val="tx1"/>
            </w14:solidFill>
          </w14:textFill>
        </w:rPr>
        <w:t>第二节 打造优势主导产业集群</w:t>
      </w:r>
      <w:bookmarkEnd w:id="70"/>
      <w:bookmarkEnd w:id="71"/>
    </w:p>
    <w:p>
      <w:pPr>
        <w:spacing w:line="600" w:lineRule="exact"/>
        <w:ind w:firstLine="66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以“十百千”工程为引领，围绕石墨、绿色农副产品、煤炭等资源优势，依托龙头企业集中带动，实现优势产业聚集发展的现代产业体系。</w:t>
      </w:r>
    </w:p>
    <w:p>
      <w:pPr>
        <w:pStyle w:val="13"/>
        <w:pageBreakBefore w:val="0"/>
        <w:widowControl w:val="0"/>
        <w:kinsoku/>
        <w:wordWrap/>
        <w:overflowPunct/>
        <w:topLinePunct w:val="0"/>
        <w:autoSpaceDE/>
        <w:autoSpaceDN/>
        <w:bidi w:val="0"/>
        <w:adjustRightInd/>
        <w:snapToGrid/>
        <w:spacing w:line="600" w:lineRule="exact"/>
        <w:ind w:firstLine="666" w:firstLineChars="200"/>
        <w:textAlignment w:val="auto"/>
        <w:rPr>
          <w:rFonts w:hint="eastAsia" w:ascii="仿宋_GB2312" w:hAnsi="仿宋_GB2312" w:eastAsia="仿宋_GB2312" w:cs="仿宋_GB2312"/>
          <w:color w:val="000000"/>
          <w:sz w:val="32"/>
          <w:szCs w:val="32"/>
          <w:u w:val="none"/>
          <w:shd w:val="clear" w:color="auto" w:fill="FFFFFF"/>
        </w:rPr>
      </w:pPr>
      <w:r>
        <w:rPr>
          <w:rFonts w:hint="eastAsia" w:ascii="楷体" w:hAnsi="楷体" w:eastAsia="楷体" w:cs="楷体"/>
          <w:b/>
          <w:bCs/>
          <w:kern w:val="2"/>
          <w:sz w:val="32"/>
          <w:szCs w:val="32"/>
          <w:lang w:val="en-US" w:eastAsia="zh-CN" w:bidi="ar-SA"/>
        </w:rPr>
        <w:t>依托矿产资源优势，发展绿色矿业产业。</w:t>
      </w:r>
      <w:r>
        <w:rPr>
          <w:rFonts w:hint="eastAsia" w:ascii="仿宋_GB2312" w:hAnsi="仿宋_GB2312" w:eastAsia="仿宋_GB2312" w:cs="仿宋_GB2312"/>
          <w:sz w:val="32"/>
          <w:szCs w:val="32"/>
          <w:u w:val="none"/>
        </w:rPr>
        <w:t>充分依托</w:t>
      </w:r>
      <w:r>
        <w:rPr>
          <w:rFonts w:hint="eastAsia" w:ascii="仿宋_GB2312" w:hAnsi="仿宋_GB2312" w:eastAsia="仿宋_GB2312" w:cs="仿宋_GB2312"/>
          <w:sz w:val="32"/>
          <w:szCs w:val="32"/>
          <w:u w:val="none"/>
          <w:lang w:eastAsia="zh-CN"/>
        </w:rPr>
        <w:t>我区</w:t>
      </w:r>
      <w:r>
        <w:rPr>
          <w:rFonts w:hint="eastAsia" w:ascii="仿宋_GB2312" w:hAnsi="仿宋_GB2312" w:eastAsia="仿宋_GB2312" w:cs="仿宋_GB2312"/>
          <w:sz w:val="32"/>
          <w:szCs w:val="32"/>
        </w:rPr>
        <w:t>煤炭资源、煤矸石、粉煤灰、陶粒岩等资源</w:t>
      </w:r>
      <w:r>
        <w:rPr>
          <w:rFonts w:hint="eastAsia" w:ascii="仿宋_GB2312" w:hAnsi="仿宋_GB2312" w:eastAsia="仿宋_GB2312" w:cs="仿宋_GB2312"/>
          <w:sz w:val="32"/>
          <w:szCs w:val="32"/>
          <w:u w:val="none"/>
        </w:rPr>
        <w:t>，在稳定煤炭产量的同时，</w:t>
      </w:r>
      <w:r>
        <w:rPr>
          <w:rFonts w:hint="eastAsia" w:ascii="仿宋_GB2312" w:hAnsi="仿宋_GB2312" w:eastAsia="仿宋_GB2312" w:cs="仿宋_GB2312"/>
          <w:b w:val="0"/>
          <w:bCs w:val="0"/>
          <w:sz w:val="32"/>
          <w:szCs w:val="32"/>
          <w:u w:val="none"/>
          <w:lang w:val="en-US" w:eastAsia="zh-CN"/>
        </w:rPr>
        <w:t>规范煤炭采选行业，淘汰落后产能，</w:t>
      </w:r>
      <w:r>
        <w:rPr>
          <w:rFonts w:hint="eastAsia" w:ascii="仿宋_GB2312" w:hAnsi="仿宋_GB2312" w:eastAsia="仿宋_GB2312" w:cs="仿宋_GB2312"/>
          <w:sz w:val="32"/>
          <w:szCs w:val="32"/>
          <w:lang w:eastAsia="zh-CN"/>
        </w:rPr>
        <w:t>加快推进本质安全型矿井建设</w:t>
      </w:r>
      <w:r>
        <w:rPr>
          <w:rFonts w:hint="eastAsia" w:ascii="仿宋_GB2312" w:hAnsi="仿宋_GB2312" w:eastAsia="仿宋_GB2312" w:cs="仿宋_GB2312"/>
          <w:color w:val="000000"/>
          <w:spacing w:val="-2"/>
          <w:sz w:val="32"/>
          <w:szCs w:val="32"/>
          <w:u w:val="none"/>
          <w:lang w:eastAsia="zh-CN"/>
        </w:rPr>
        <w:t>，</w:t>
      </w:r>
      <w:r>
        <w:rPr>
          <w:rFonts w:hint="eastAsia" w:ascii="仿宋_GB2312" w:hAnsi="仿宋_GB2312" w:eastAsia="仿宋_GB2312" w:cs="仿宋_GB2312"/>
          <w:color w:val="000000"/>
          <w:spacing w:val="-2"/>
          <w:sz w:val="32"/>
          <w:szCs w:val="32"/>
        </w:rPr>
        <w:t>保持原煤产量稳定，</w:t>
      </w:r>
      <w:r>
        <w:rPr>
          <w:rFonts w:hint="eastAsia" w:ascii="仿宋_GB2312" w:hAnsi="仿宋_GB2312" w:eastAsia="仿宋_GB2312" w:cs="仿宋_GB2312"/>
          <w:sz w:val="32"/>
          <w:szCs w:val="32"/>
        </w:rPr>
        <w:t>瞄准市场需求，利用先进的技术，推动矿产资源加工及关联行业的专业化、市场化运作，全力提升产业竞争力。</w:t>
      </w:r>
      <w:r>
        <w:rPr>
          <w:rFonts w:hint="eastAsia" w:ascii="仿宋_GB2312" w:hAnsi="仿宋_GB2312" w:eastAsia="仿宋_GB2312" w:cs="仿宋_GB2312"/>
          <w:b w:val="0"/>
          <w:bCs w:val="0"/>
          <w:sz w:val="32"/>
          <w:szCs w:val="32"/>
          <w:u w:val="none"/>
          <w:lang w:val="en-US" w:eastAsia="zh-CN"/>
        </w:rPr>
        <w:t>聚焦全市煤电化工基地建设，</w:t>
      </w:r>
      <w:r>
        <w:rPr>
          <w:rFonts w:hint="eastAsia" w:ascii="仿宋_GB2312" w:hAnsi="仿宋_GB2312" w:eastAsia="仿宋_GB2312" w:cs="仿宋_GB2312"/>
          <w:b w:val="0"/>
          <w:bCs w:val="0"/>
          <w:color w:val="auto"/>
          <w:sz w:val="32"/>
          <w:szCs w:val="32"/>
          <w:u w:val="none"/>
          <w:lang w:val="en-US" w:eastAsia="zh-CN"/>
        </w:rPr>
        <w:t>做大做强煤化工产业；拓展延伸煤炭精深加工产业链条，</w:t>
      </w:r>
      <w:r>
        <w:rPr>
          <w:rFonts w:hint="eastAsia" w:ascii="仿宋_GB2312" w:hAnsi="仿宋_GB2312" w:eastAsia="仿宋_GB2312" w:cs="仿宋_GB2312"/>
          <w:b w:val="0"/>
          <w:i w:val="0"/>
          <w:caps w:val="0"/>
          <w:color w:val="auto"/>
          <w:spacing w:val="0"/>
          <w:sz w:val="32"/>
          <w:szCs w:val="32"/>
          <w:u w:val="none"/>
        </w:rPr>
        <w:t>谋划</w:t>
      </w:r>
      <w:r>
        <w:rPr>
          <w:rFonts w:hint="eastAsia" w:ascii="仿宋_GB2312" w:hAnsi="仿宋_GB2312" w:eastAsia="仿宋_GB2312" w:cs="仿宋_GB2312"/>
          <w:b w:val="0"/>
          <w:i w:val="0"/>
          <w:caps w:val="0"/>
          <w:color w:val="auto"/>
          <w:spacing w:val="0"/>
          <w:sz w:val="32"/>
          <w:szCs w:val="32"/>
          <w:u w:val="none"/>
          <w:lang w:eastAsia="zh-CN"/>
        </w:rPr>
        <w:t>煤</w:t>
      </w:r>
      <w:r>
        <w:rPr>
          <w:rFonts w:hint="eastAsia" w:ascii="仿宋_GB2312" w:hAnsi="仿宋_GB2312" w:eastAsia="仿宋_GB2312" w:cs="仿宋_GB2312"/>
          <w:b w:val="0"/>
          <w:i w:val="0"/>
          <w:caps w:val="0"/>
          <w:color w:val="auto"/>
          <w:spacing w:val="0"/>
          <w:sz w:val="32"/>
          <w:szCs w:val="32"/>
          <w:u w:val="none"/>
        </w:rPr>
        <w:t>焦化下游产品，谋划焦油、粗苯及余热、氢气综合利用项目，形成“以化养焦、以焦促化”的循环发展之路</w:t>
      </w:r>
      <w:r>
        <w:rPr>
          <w:rFonts w:hint="eastAsia" w:ascii="仿宋_GB2312" w:hAnsi="仿宋_GB2312" w:eastAsia="仿宋_GB2312" w:cs="仿宋_GB2312"/>
          <w:b w:val="0"/>
          <w:i w:val="0"/>
          <w:caps w:val="0"/>
          <w:color w:val="auto"/>
          <w:spacing w:val="0"/>
          <w:sz w:val="32"/>
          <w:szCs w:val="32"/>
          <w:u w:val="none"/>
          <w:lang w:eastAsia="zh-CN"/>
        </w:rPr>
        <w:t>，加快推进煤制复合肥项目落地，</w:t>
      </w:r>
      <w:r>
        <w:rPr>
          <w:rFonts w:hint="eastAsia" w:ascii="仿宋_GB2312" w:hAnsi="仿宋_GB2312" w:eastAsia="仿宋_GB2312" w:cs="仿宋_GB2312"/>
          <w:b w:val="0"/>
          <w:bCs w:val="0"/>
          <w:color w:val="auto"/>
          <w:sz w:val="32"/>
          <w:szCs w:val="32"/>
          <w:u w:val="none"/>
          <w:lang w:val="en-US" w:eastAsia="zh-CN"/>
        </w:rPr>
        <w:t>与华鹤3052项目合作洽谈新增上下游项目</w:t>
      </w:r>
      <w:r>
        <w:rPr>
          <w:rFonts w:hint="eastAsia" w:ascii="仿宋_GB2312" w:hAnsi="仿宋_GB2312" w:eastAsia="仿宋_GB2312" w:cs="仿宋_GB2312"/>
          <w:b w:val="0"/>
          <w:i w:val="0"/>
          <w:caps w:val="0"/>
          <w:color w:val="auto"/>
          <w:spacing w:val="0"/>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依托现有机械装备制造等传统产业基础，大力发展矿山装备制造业；</w:t>
      </w:r>
      <w:r>
        <w:rPr>
          <w:rFonts w:hint="eastAsia" w:ascii="仿宋_GB2312" w:hAnsi="仿宋_GB2312" w:eastAsia="仿宋_GB2312" w:cs="仿宋_GB2312"/>
          <w:sz w:val="32"/>
          <w:szCs w:val="32"/>
          <w:u w:val="none"/>
          <w:lang w:eastAsia="zh-CN"/>
        </w:rPr>
        <w:t>依托我区</w:t>
      </w:r>
      <w:r>
        <w:rPr>
          <w:rFonts w:hint="eastAsia" w:ascii="仿宋_GB2312" w:hAnsi="仿宋_GB2312" w:eastAsia="仿宋_GB2312" w:cs="仿宋_GB2312"/>
          <w:sz w:val="32"/>
          <w:szCs w:val="32"/>
          <w:u w:val="none"/>
        </w:rPr>
        <w:t>陶粒资源优势</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推进陶粒的高端产品研发</w:t>
      </w:r>
      <w:r>
        <w:rPr>
          <w:rFonts w:hint="eastAsia" w:ascii="仿宋_GB2312" w:hAnsi="仿宋_GB2312" w:eastAsia="仿宋_GB2312" w:cs="仿宋_GB2312"/>
          <w:sz w:val="32"/>
          <w:szCs w:val="32"/>
          <w:u w:val="none"/>
          <w:lang w:eastAsia="zh-CN"/>
        </w:rPr>
        <w:t>，</w:t>
      </w:r>
      <w:r>
        <w:rPr>
          <w:rStyle w:val="39"/>
          <w:rFonts w:hint="eastAsia" w:ascii="仿宋_GB2312" w:hAnsi="仿宋_GB2312" w:eastAsia="仿宋_GB2312" w:cs="仿宋_GB2312"/>
          <w:color w:val="000000"/>
          <w:sz w:val="32"/>
          <w:szCs w:val="32"/>
          <w:u w:val="none"/>
          <w:shd w:val="clear" w:color="auto" w:fill="FFFFFF"/>
        </w:rPr>
        <w:t>在隔音和保温材料产品上寻求信息，寻找合作伙伴</w:t>
      </w:r>
      <w:r>
        <w:rPr>
          <w:rStyle w:val="39"/>
          <w:rFonts w:hint="eastAsia" w:ascii="仿宋_GB2312" w:hAnsi="仿宋_GB2312" w:eastAsia="仿宋_GB2312" w:cs="仿宋_GB2312"/>
          <w:color w:val="000000"/>
          <w:sz w:val="32"/>
          <w:szCs w:val="32"/>
          <w:u w:val="none"/>
          <w:shd w:val="clear" w:color="auto" w:fill="FFFFFF"/>
          <w:lang w:eastAsia="zh-CN"/>
        </w:rPr>
        <w:t>；</w:t>
      </w:r>
      <w:r>
        <w:rPr>
          <w:rFonts w:hint="eastAsia" w:ascii="仿宋_GB2312" w:hAnsi="仿宋_GB2312" w:eastAsia="仿宋_GB2312" w:cs="仿宋_GB2312"/>
          <w:sz w:val="32"/>
          <w:szCs w:val="32"/>
          <w:u w:val="none"/>
        </w:rPr>
        <w:t>抓住国家鼓励地方发展金属材料、无机非金属材料、高分子材料的有利时机，利用</w:t>
      </w:r>
      <w:r>
        <w:rPr>
          <w:rFonts w:hint="eastAsia" w:ascii="仿宋_GB2312" w:hAnsi="仿宋_GB2312" w:eastAsia="仿宋_GB2312" w:cs="仿宋_GB2312"/>
          <w:sz w:val="32"/>
          <w:szCs w:val="32"/>
          <w:u w:val="none"/>
          <w:lang w:eastAsia="zh-CN"/>
        </w:rPr>
        <w:t>富含有</w:t>
      </w:r>
      <w:r>
        <w:rPr>
          <w:rFonts w:hint="eastAsia" w:ascii="仿宋_GB2312" w:hAnsi="宋体" w:eastAsia="仿宋_GB2312"/>
          <w:sz w:val="32"/>
          <w:szCs w:val="32"/>
        </w:rPr>
        <w:t>色</w:t>
      </w:r>
      <w:r>
        <w:rPr>
          <w:rFonts w:hint="eastAsia" w:ascii="仿宋_GB2312" w:hAnsi="宋体" w:eastAsia="仿宋_GB2312"/>
          <w:sz w:val="32"/>
          <w:szCs w:val="32"/>
          <w:lang w:eastAsia="zh-CN"/>
        </w:rPr>
        <w:t>金属</w:t>
      </w:r>
      <w:r>
        <w:rPr>
          <w:rFonts w:hint="eastAsia" w:ascii="仿宋_GB2312" w:hAnsi="宋体" w:eastAsia="仿宋_GB2312"/>
          <w:sz w:val="32"/>
          <w:szCs w:val="32"/>
        </w:rPr>
        <w:t>、稀土、非金属矿物</w:t>
      </w:r>
      <w:r>
        <w:rPr>
          <w:rFonts w:hint="eastAsia" w:ascii="仿宋_GB2312" w:hAnsi="宋体" w:eastAsia="仿宋_GB2312"/>
          <w:sz w:val="32"/>
          <w:szCs w:val="32"/>
          <w:lang w:eastAsia="zh-CN"/>
        </w:rPr>
        <w:t>的</w:t>
      </w:r>
      <w:r>
        <w:rPr>
          <w:rFonts w:hint="eastAsia" w:ascii="仿宋_GB2312" w:hAnsi="仿宋_GB2312" w:eastAsia="仿宋_GB2312" w:cs="仿宋_GB2312"/>
          <w:sz w:val="32"/>
          <w:szCs w:val="32"/>
          <w:u w:val="none"/>
        </w:rPr>
        <w:t>我市充足的煤矸石、粉煤灰、石墨尾矿</w:t>
      </w:r>
      <w:r>
        <w:rPr>
          <w:rFonts w:hint="eastAsia" w:ascii="仿宋_GB2312" w:hAnsi="仿宋_GB2312" w:eastAsia="仿宋_GB2312" w:cs="仿宋_GB2312"/>
          <w:sz w:val="32"/>
          <w:szCs w:val="32"/>
          <w:u w:val="none"/>
          <w:lang w:eastAsia="zh-CN"/>
        </w:rPr>
        <w:t>、陶粒岩矿</w:t>
      </w:r>
      <w:r>
        <w:rPr>
          <w:rFonts w:hint="eastAsia" w:ascii="仿宋_GB2312" w:hAnsi="仿宋_GB2312" w:eastAsia="仿宋_GB2312" w:cs="仿宋_GB2312"/>
          <w:sz w:val="32"/>
          <w:szCs w:val="32"/>
          <w:u w:val="none"/>
        </w:rPr>
        <w:t>等废弃物资源</w:t>
      </w:r>
      <w:r>
        <w:rPr>
          <w:rFonts w:hint="eastAsia" w:ascii="仿宋_GB2312" w:hAnsi="宋体" w:eastAsia="仿宋_GB2312"/>
          <w:sz w:val="32"/>
          <w:szCs w:val="32"/>
        </w:rPr>
        <w:t>，</w:t>
      </w:r>
      <w:r>
        <w:rPr>
          <w:rFonts w:hint="eastAsia" w:ascii="仿宋_GB2312" w:hAnsi="仿宋_GB2312" w:eastAsia="仿宋_GB2312" w:cs="仿宋_GB2312"/>
          <w:sz w:val="32"/>
          <w:szCs w:val="32"/>
          <w:u w:val="none"/>
        </w:rPr>
        <w:t>大力发展环保建材产业。开发高性能外墙自保温材料、高效外墙和屋面保温材料</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高性能节能玻璃及节能门窗等新型建筑节能材料技术</w:t>
      </w:r>
      <w:r>
        <w:rPr>
          <w:rFonts w:hint="eastAsia" w:ascii="仿宋_GB2312" w:hAnsi="仿宋_GB2312" w:eastAsia="仿宋_GB2312" w:cs="仿宋_GB2312"/>
          <w:sz w:val="32"/>
          <w:szCs w:val="32"/>
          <w:u w:val="none"/>
          <w:lang w:eastAsia="zh-CN"/>
        </w:rPr>
        <w:t>。</w:t>
      </w:r>
    </w:p>
    <w:p>
      <w:pPr>
        <w:pStyle w:val="13"/>
        <w:pageBreakBefore w:val="0"/>
        <w:widowControl w:val="0"/>
        <w:kinsoku/>
        <w:wordWrap/>
        <w:overflowPunct/>
        <w:topLinePunct w:val="0"/>
        <w:autoSpaceDE/>
        <w:autoSpaceDN/>
        <w:bidi w:val="0"/>
        <w:adjustRightInd/>
        <w:snapToGrid/>
        <w:spacing w:line="600" w:lineRule="exact"/>
        <w:ind w:firstLine="666" w:firstLineChars="200"/>
        <w:textAlignment w:val="auto"/>
        <w:rPr>
          <w:rFonts w:hint="eastAsia" w:ascii="仿宋_GB2312" w:hAnsi="仿宋_GB2312" w:eastAsia="仿宋_GB2312" w:cs="仿宋_GB2312"/>
          <w:sz w:val="32"/>
          <w:szCs w:val="32"/>
          <w:u w:val="none"/>
        </w:rPr>
      </w:pPr>
      <w:r>
        <w:rPr>
          <w:rFonts w:hint="eastAsia" w:ascii="楷体" w:hAnsi="楷体" w:eastAsia="楷体" w:cs="楷体"/>
          <w:b/>
          <w:bCs/>
          <w:kern w:val="2"/>
          <w:sz w:val="32"/>
          <w:szCs w:val="32"/>
          <w:lang w:val="en-US" w:eastAsia="zh-CN" w:bidi="ar-SA"/>
        </w:rPr>
        <w:t>加快种植结构调整，发展生态农业产业。</w:t>
      </w:r>
      <w:r>
        <w:rPr>
          <w:rFonts w:hint="eastAsia" w:ascii="仿宋_GB2312" w:hAnsi="仿宋_GB2312" w:eastAsia="仿宋_GB2312" w:cs="仿宋_GB2312"/>
          <w:sz w:val="32"/>
          <w:szCs w:val="32"/>
          <w:u w:val="none"/>
        </w:rPr>
        <w:t>围绕种植结构调整，结合城市“菜篮子”工程，进一步利用好现有的设施农业生产区，不断扩大蔬菜种植面积。大力推广鲜食玉米、汉麻种植，重点发展等平贝、五味子、芍药等北药种植，建立北药种植示范基地；利用现有的农业观光采摘园，整合葡萄、花卉等资源，培育乡村特色，大力发展观光农业；以东方希望集团现有生猪养殖项目为龙头，大力发展规模化、标准化养殖业，并积极协调筹划建设屠宰加工项目，发展上下游产业链条，长远谋划一批饲料、肉制品深加工项目；依托人和米业，推进稻米精深加工技术研发。扶持农民专业合作社、家庭农场等新型经营主体壮大发展，大力推进“互联网+农业”建设。提高南翔农副产批发市场承载功能，不断带动我市农副产品批发行业及物流发展；推行农作物秸秆还田、畜禽粪便还田，促进农牧业良性循环；围绕农业现代化，加快提升机械装备水平，努力提高农业现代化服务水平，推行“订单式”“全程式”生产托管服务。</w:t>
      </w:r>
    </w:p>
    <w:p>
      <w:pPr>
        <w:pStyle w:val="13"/>
        <w:pageBreakBefore w:val="0"/>
        <w:widowControl w:val="0"/>
        <w:kinsoku/>
        <w:wordWrap/>
        <w:overflowPunct/>
        <w:topLinePunct w:val="0"/>
        <w:autoSpaceDE/>
        <w:autoSpaceDN/>
        <w:bidi w:val="0"/>
        <w:adjustRightInd/>
        <w:snapToGrid/>
        <w:spacing w:line="600" w:lineRule="exact"/>
        <w:ind w:firstLine="666" w:firstLineChars="200"/>
        <w:textAlignment w:val="auto"/>
        <w:rPr>
          <w:rFonts w:hint="eastAsia" w:ascii="仿宋_GB2312" w:hAnsi="仿宋_GB2312" w:eastAsia="仿宋_GB2312" w:cs="仿宋_GB2312"/>
          <w:sz w:val="32"/>
          <w:szCs w:val="32"/>
          <w:u w:val="none"/>
          <w:lang w:eastAsia="zh-CN"/>
        </w:rPr>
      </w:pPr>
      <w:r>
        <w:rPr>
          <w:rFonts w:hint="eastAsia" w:ascii="楷体" w:hAnsi="楷体" w:eastAsia="楷体" w:cs="楷体"/>
          <w:b/>
          <w:bCs/>
          <w:kern w:val="2"/>
          <w:sz w:val="32"/>
          <w:szCs w:val="32"/>
          <w:lang w:val="en-US" w:eastAsia="zh-CN" w:bidi="ar-SA"/>
        </w:rPr>
        <w:t>利用自然生态资源，发展文化旅游产业。</w:t>
      </w:r>
      <w:r>
        <w:rPr>
          <w:rFonts w:hint="eastAsia" w:ascii="仿宋_GB2312" w:hAnsi="仿宋_GB2312" w:eastAsia="仿宋_GB2312" w:cs="仿宋_GB2312"/>
          <w:sz w:val="32"/>
          <w:szCs w:val="32"/>
          <w:u w:val="none"/>
        </w:rPr>
        <w:t>深入贯彻落实习近平总书记关于</w:t>
      </w:r>
      <w:r>
        <w:rPr>
          <w:rFonts w:hint="eastAsia" w:ascii="仿宋_GB2312" w:hAnsi="仿宋_GB2312" w:eastAsia="仿宋_GB2312" w:cs="仿宋_GB2312"/>
          <w:sz w:val="32"/>
          <w:szCs w:val="32"/>
          <w:u w:val="none"/>
          <w:lang w:eastAsia="zh-CN"/>
        </w:rPr>
        <w:t>“绿水青山就是金山银山”和</w:t>
      </w:r>
      <w:r>
        <w:rPr>
          <w:rFonts w:hint="eastAsia" w:ascii="仿宋_GB2312" w:hAnsi="仿宋_GB2312" w:eastAsia="仿宋_GB2312" w:cs="仿宋_GB2312"/>
          <w:sz w:val="32"/>
          <w:szCs w:val="32"/>
          <w:u w:val="none"/>
        </w:rPr>
        <w:t>“冰天雪地也是金山银山”的重要讲话精神，按照全省“赏冰乐雪”活动的要求，把</w:t>
      </w:r>
      <w:r>
        <w:rPr>
          <w:rFonts w:hint="eastAsia" w:ascii="仿宋_GB2312" w:hAnsi="仿宋_GB2312" w:eastAsia="仿宋_GB2312" w:cs="仿宋_GB2312"/>
          <w:sz w:val="32"/>
          <w:szCs w:val="32"/>
          <w:u w:val="none"/>
          <w:lang w:eastAsia="zh-CN"/>
        </w:rPr>
        <w:t>夏季旅游休闲娱乐景区和</w:t>
      </w:r>
      <w:r>
        <w:rPr>
          <w:rFonts w:hint="eastAsia" w:ascii="仿宋_GB2312" w:hAnsi="仿宋_GB2312" w:eastAsia="仿宋_GB2312" w:cs="仿宋_GB2312"/>
          <w:sz w:val="32"/>
          <w:szCs w:val="32"/>
          <w:u w:val="none"/>
        </w:rPr>
        <w:t>冬季全民参与冰雪活动作为旅游景区</w:t>
      </w:r>
      <w:r>
        <w:rPr>
          <w:rFonts w:hint="eastAsia" w:ascii="仿宋_GB2312" w:hAnsi="仿宋_GB2312" w:eastAsia="仿宋_GB2312" w:cs="仿宋_GB2312"/>
          <w:sz w:val="32"/>
          <w:szCs w:val="32"/>
          <w:u w:val="none"/>
          <w:lang w:eastAsia="zh-CN"/>
        </w:rPr>
        <w:t>主要</w:t>
      </w:r>
      <w:r>
        <w:rPr>
          <w:rFonts w:hint="eastAsia" w:ascii="仿宋_GB2312" w:hAnsi="仿宋_GB2312" w:eastAsia="仿宋_GB2312" w:cs="仿宋_GB2312"/>
          <w:sz w:val="32"/>
          <w:szCs w:val="32"/>
          <w:u w:val="none"/>
        </w:rPr>
        <w:t>功能来抓，把“冷资源”打造成“热经济”</w:t>
      </w:r>
      <w:r>
        <w:rPr>
          <w:rFonts w:hint="eastAsia" w:ascii="仿宋_GB2312" w:hAnsi="仿宋_GB2312" w:eastAsia="仿宋_GB2312" w:cs="仿宋_GB2312"/>
          <w:sz w:val="32"/>
          <w:szCs w:val="32"/>
          <w:u w:val="none"/>
          <w:lang w:eastAsia="zh-CN"/>
        </w:rPr>
        <w:t>；发挥旅游自然资源特有</w:t>
      </w:r>
      <w:r>
        <w:rPr>
          <w:rFonts w:hint="eastAsia" w:ascii="仿宋_GB2312" w:hAnsi="仿宋_GB2312" w:eastAsia="仿宋_GB2312" w:cs="仿宋_GB2312"/>
          <w:sz w:val="32"/>
          <w:szCs w:val="32"/>
          <w:u w:val="none"/>
        </w:rPr>
        <w:t>优势</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依托鹤岗市将军石山庄，</w:t>
      </w:r>
      <w:r>
        <w:rPr>
          <w:rFonts w:hint="eastAsia" w:ascii="仿宋_GB2312" w:hAnsi="仿宋_GB2312" w:eastAsia="仿宋_GB2312" w:cs="仿宋_GB2312"/>
          <w:sz w:val="32"/>
          <w:szCs w:val="32"/>
          <w:u w:val="none"/>
          <w:lang w:eastAsia="zh-CN"/>
        </w:rPr>
        <w:t>谋划</w:t>
      </w:r>
      <w:r>
        <w:rPr>
          <w:rFonts w:hint="eastAsia" w:ascii="仿宋_GB2312" w:hAnsi="仿宋_GB2312" w:eastAsia="仿宋_GB2312" w:cs="仿宋_GB2312"/>
          <w:sz w:val="32"/>
          <w:szCs w:val="32"/>
          <w:u w:val="none"/>
        </w:rPr>
        <w:t>建设</w:t>
      </w:r>
      <w:r>
        <w:rPr>
          <w:rFonts w:hint="eastAsia" w:ascii="仿宋_GB2312" w:hAnsi="仿宋_GB2312" w:eastAsia="仿宋_GB2312" w:cs="仿宋_GB2312"/>
          <w:sz w:val="32"/>
          <w:szCs w:val="32"/>
          <w:u w:val="none"/>
          <w:lang w:eastAsia="zh-CN"/>
        </w:rPr>
        <w:t>鹤岗市</w:t>
      </w:r>
      <w:r>
        <w:rPr>
          <w:rFonts w:hint="eastAsia" w:ascii="仿宋_GB2312" w:hAnsi="仿宋_GB2312" w:eastAsia="仿宋_GB2312" w:cs="仿宋_GB2312"/>
          <w:sz w:val="32"/>
          <w:szCs w:val="32"/>
          <w:u w:val="none"/>
        </w:rPr>
        <w:t>风景最美、设施最全、可游玩性最高的旅游生态风景区，填补我区旅游景区娱乐项目空白</w:t>
      </w:r>
      <w:r>
        <w:rPr>
          <w:rFonts w:hint="eastAsia" w:ascii="仿宋_GB2312" w:hAnsi="仿宋_GB2312" w:eastAsia="仿宋_GB2312" w:cs="仿宋_GB2312"/>
          <w:sz w:val="32"/>
          <w:szCs w:val="32"/>
          <w:u w:val="none"/>
          <w:lang w:eastAsia="zh-CN"/>
        </w:rPr>
        <w:t>；依托兴安区金鹤公园现有规划设施，积极引入大型商业策划集团入驻，以“商旅文娱”为中心主题，在主城区内构建适合普通大众休闲娱乐的旅游微景区；依托现有葡萄、蔬菜采摘园、普通农家院饭庄、垂钓鱼池，打造观光旅游精品线路；孵化引进文化创意产业(网游开发、创意设计、计算机软件、动漫类)，以引入微电影制作团队为“种子”，孵化视频工作室，大力扶持文艺培训事业发展，提升百姓文化素养，借助电商平台，快手、抖音短视频，向外推介兴安区文化旅游资源；与省内大型旅游集团合作，打造鹤伊、佳鹤风景旅游线路，对接中俄边境游客；整合现有域内宾馆、特色饭店，推进旅游服务行业发展。</w:t>
      </w:r>
    </w:p>
    <w:p>
      <w:pPr>
        <w:pageBreakBefore w:val="0"/>
        <w:widowControl w:val="0"/>
        <w:kinsoku/>
        <w:wordWrap/>
        <w:overflowPunct/>
        <w:topLinePunct w:val="0"/>
        <w:autoSpaceDE/>
        <w:autoSpaceDN/>
        <w:bidi w:val="0"/>
        <w:adjustRightInd/>
        <w:snapToGrid/>
        <w:spacing w:line="600" w:lineRule="exact"/>
        <w:ind w:firstLine="666" w:firstLineChars="200"/>
        <w:textAlignment w:val="auto"/>
        <w:rPr>
          <w:rFonts w:hint="eastAsia" w:ascii="仿宋_GB2312" w:hAnsi="仿宋_GB2312" w:eastAsia="仿宋_GB2312" w:cs="仿宋_GB2312"/>
          <w:color w:val="auto"/>
          <w:sz w:val="32"/>
          <w:szCs w:val="32"/>
          <w:u w:val="none"/>
        </w:rPr>
      </w:pPr>
      <w:r>
        <w:rPr>
          <w:rFonts w:hint="eastAsia" w:ascii="楷体" w:hAnsi="楷体" w:eastAsia="楷体" w:cs="楷体"/>
          <w:b/>
          <w:bCs/>
          <w:kern w:val="2"/>
          <w:sz w:val="32"/>
          <w:szCs w:val="32"/>
          <w:lang w:val="en-US" w:eastAsia="zh-CN" w:bidi="ar-SA"/>
        </w:rPr>
        <w:t>发挥区位交通优势，发展外贸物流产业。</w:t>
      </w:r>
      <w:r>
        <w:rPr>
          <w:rFonts w:hint="eastAsia" w:ascii="仿宋_GB2312" w:hAnsi="仿宋_GB2312" w:eastAsia="仿宋_GB2312" w:cs="仿宋_GB2312"/>
          <w:sz w:val="32"/>
          <w:szCs w:val="32"/>
          <w:u w:val="none"/>
        </w:rPr>
        <w:t>利用地域优势，积极推进商贸物流产业发展。兴安区地处鹤岗市南出口，毗邻鹤伊、鹤大公路，作为伊春、佳木斯的交汇点，是</w:t>
      </w:r>
      <w:r>
        <w:rPr>
          <w:rFonts w:hint="eastAsia" w:ascii="仿宋_GB2312" w:hAnsi="仿宋_GB2312" w:eastAsia="仿宋_GB2312" w:cs="仿宋_GB2312"/>
          <w:sz w:val="32"/>
          <w:szCs w:val="32"/>
          <w:u w:val="none"/>
          <w:lang w:eastAsia="zh-CN"/>
        </w:rPr>
        <w:t>物流贸易、</w:t>
      </w:r>
      <w:r>
        <w:rPr>
          <w:rFonts w:hint="eastAsia" w:ascii="仿宋_GB2312" w:hAnsi="仿宋_GB2312" w:eastAsia="仿宋_GB2312" w:cs="仿宋_GB2312"/>
          <w:sz w:val="32"/>
          <w:szCs w:val="32"/>
          <w:u w:val="none"/>
        </w:rPr>
        <w:t>农副产品集散的重要通道</w:t>
      </w:r>
      <w:r>
        <w:rPr>
          <w:rFonts w:hint="eastAsia" w:ascii="仿宋_GB2312" w:hAnsi="仿宋_GB2312" w:eastAsia="仿宋_GB2312" w:cs="仿宋_GB2312"/>
          <w:sz w:val="32"/>
          <w:szCs w:val="32"/>
          <w:u w:val="none"/>
          <w:lang w:eastAsia="zh-CN"/>
        </w:rPr>
        <w:t>。以南翔国际物流、峻德铁路物流为龙头，大力发展商贸物流业；积极支持南翔物流园区国检试验区和海关监管仓建设，带动跨境物流业发展；</w:t>
      </w:r>
      <w:r>
        <w:rPr>
          <w:rFonts w:hint="eastAsia" w:ascii="仿宋_GB2312" w:hAnsi="仿宋_GB2312" w:eastAsia="仿宋_GB2312" w:cs="仿宋_GB2312"/>
          <w:sz w:val="32"/>
          <w:szCs w:val="32"/>
          <w:u w:val="none"/>
        </w:rPr>
        <w:t>要在地区特色产品网上销售上拓展思路</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谋求发展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将电子商务应用扩</w:t>
      </w:r>
      <w:r>
        <w:rPr>
          <w:rFonts w:hint="eastAsia" w:ascii="仿宋_GB2312" w:hAnsi="仿宋_GB2312" w:eastAsia="仿宋_GB2312" w:cs="仿宋_GB2312"/>
          <w:sz w:val="32"/>
          <w:szCs w:val="32"/>
          <w:u w:val="none"/>
          <w:lang w:eastAsia="zh-CN"/>
        </w:rPr>
        <w:t>展提升</w:t>
      </w:r>
      <w:r>
        <w:rPr>
          <w:rFonts w:hint="eastAsia" w:ascii="仿宋_GB2312" w:hAnsi="仿宋_GB2312" w:eastAsia="仿宋_GB2312" w:cs="仿宋_GB2312"/>
          <w:sz w:val="32"/>
          <w:szCs w:val="32"/>
          <w:u w:val="none"/>
        </w:rPr>
        <w:t>新的广度和深度，加速形成经济竞争新态势</w:t>
      </w:r>
      <w:r>
        <w:rPr>
          <w:rFonts w:hint="eastAsia" w:ascii="仿宋_GB2312" w:hAnsi="仿宋_GB2312" w:eastAsia="仿宋_GB2312" w:cs="仿宋_GB2312"/>
          <w:sz w:val="32"/>
          <w:szCs w:val="32"/>
          <w:u w:val="none"/>
          <w:lang w:eastAsia="zh-CN"/>
        </w:rPr>
        <w:t>；引入电商培训孵化团队，借力快捷的网络渠道，打通产品销售通道；</w:t>
      </w:r>
      <w:r>
        <w:rPr>
          <w:rFonts w:hint="eastAsia" w:ascii="仿宋_GB2312" w:hAnsi="微软雅黑" w:eastAsia="仿宋_GB2312"/>
          <w:color w:val="auto"/>
          <w:sz w:val="32"/>
          <w:szCs w:val="32"/>
          <w:lang w:eastAsia="zh-CN"/>
        </w:rPr>
        <w:t>充分发挥双创和电商孵化基地作用</w:t>
      </w:r>
      <w:r>
        <w:rPr>
          <w:rFonts w:hint="eastAsia" w:ascii="仿宋_GB2312" w:hAnsi="微软雅黑" w:eastAsia="仿宋_GB2312"/>
          <w:color w:val="auto"/>
          <w:sz w:val="32"/>
          <w:szCs w:val="32"/>
          <w:lang w:val="en-US" w:eastAsia="zh-CN"/>
        </w:rPr>
        <w:t>,</w:t>
      </w:r>
      <w:r>
        <w:rPr>
          <w:rFonts w:hint="eastAsia" w:ascii="仿宋_GB2312" w:hAnsi="微软雅黑" w:eastAsia="仿宋_GB2312"/>
          <w:color w:val="auto"/>
          <w:sz w:val="32"/>
          <w:szCs w:val="32"/>
        </w:rPr>
        <w:t>采取“政府引导、市场化运作”的经营机制和“行政化管理、企业化经营”的运营模式</w:t>
      </w:r>
      <w:r>
        <w:rPr>
          <w:rFonts w:hint="eastAsia" w:ascii="仿宋_GB2312" w:hAnsi="微软雅黑" w:eastAsia="仿宋_GB2312"/>
          <w:color w:val="auto"/>
          <w:sz w:val="32"/>
          <w:szCs w:val="32"/>
          <w:lang w:eastAsia="zh-CN"/>
        </w:rPr>
        <w:t>，</w:t>
      </w:r>
      <w:r>
        <w:rPr>
          <w:rFonts w:hint="eastAsia" w:ascii="仿宋_GB2312" w:hAnsi="微软雅黑" w:eastAsia="仿宋_GB2312"/>
          <w:color w:val="auto"/>
          <w:sz w:val="32"/>
          <w:szCs w:val="32"/>
          <w:lang w:val="en-US" w:eastAsia="zh-CN"/>
        </w:rPr>
        <w:t>推进科技型孵化企业的发展</w:t>
      </w:r>
      <w:r>
        <w:rPr>
          <w:rFonts w:hint="eastAsia" w:ascii="仿宋_GB2312" w:hAnsi="微软雅黑" w:eastAsia="仿宋_GB2312"/>
          <w:color w:val="auto"/>
          <w:sz w:val="32"/>
          <w:szCs w:val="32"/>
        </w:rPr>
        <w:t>。</w:t>
      </w:r>
    </w:p>
    <w:p>
      <w:pPr>
        <w:pageBreakBefore w:val="0"/>
        <w:widowControl w:val="0"/>
        <w:kinsoku/>
        <w:wordWrap/>
        <w:overflowPunct/>
        <w:topLinePunct w:val="0"/>
        <w:autoSpaceDE/>
        <w:autoSpaceDN/>
        <w:bidi w:val="0"/>
        <w:adjustRightInd/>
        <w:snapToGrid/>
        <w:spacing w:line="600" w:lineRule="exact"/>
        <w:ind w:firstLine="666" w:firstLineChars="200"/>
        <w:textAlignment w:val="auto"/>
        <w:rPr>
          <w:rFonts w:hint="eastAsia" w:ascii="仿宋_GB2312" w:hAnsi="仿宋_GB2312" w:eastAsia="仿宋_GB2312" w:cs="仿宋_GB2312"/>
          <w:sz w:val="32"/>
          <w:szCs w:val="32"/>
          <w:u w:val="none"/>
          <w:lang w:eastAsia="zh-CN"/>
        </w:rPr>
      </w:pPr>
      <w:r>
        <w:rPr>
          <w:rFonts w:hint="eastAsia" w:ascii="楷体" w:hAnsi="楷体" w:eastAsia="楷体" w:cs="楷体"/>
          <w:b/>
          <w:bCs/>
          <w:kern w:val="2"/>
          <w:sz w:val="32"/>
          <w:szCs w:val="32"/>
          <w:lang w:val="en-US" w:eastAsia="zh-CN" w:bidi="ar-SA"/>
        </w:rPr>
        <w:t>以高新技术为引领，发展战略新兴产业。</w:t>
      </w:r>
      <w:r>
        <w:rPr>
          <w:rFonts w:hint="eastAsia" w:ascii="仿宋_GB2312" w:hAnsi="仿宋_GB2312" w:eastAsia="仿宋_GB2312" w:cs="仿宋_GB2312"/>
          <w:sz w:val="32"/>
          <w:szCs w:val="32"/>
          <w:u w:val="none"/>
          <w:lang w:eastAsia="zh-CN"/>
        </w:rPr>
        <w:t>战略</w:t>
      </w:r>
      <w:r>
        <w:rPr>
          <w:rFonts w:hint="eastAsia" w:ascii="仿宋_GB2312" w:hAnsi="仿宋_GB2312" w:eastAsia="仿宋_GB2312" w:cs="仿宋_GB2312"/>
          <w:sz w:val="32"/>
          <w:szCs w:val="32"/>
          <w:u w:val="none"/>
        </w:rPr>
        <w:t>新兴产业是振兴实体经济的希望所在，是培育发展动能的“重头戏”。未来兴安区将重点扶持培育新材料</w:t>
      </w:r>
      <w:r>
        <w:rPr>
          <w:rFonts w:hint="eastAsia" w:ascii="仿宋_GB2312" w:hAnsi="仿宋_GB2312" w:eastAsia="仿宋_GB2312" w:cs="仿宋_GB2312"/>
          <w:sz w:val="32"/>
          <w:szCs w:val="32"/>
          <w:u w:val="none"/>
          <w:lang w:eastAsia="zh-CN"/>
        </w:rPr>
        <w:t>、新能源、数字技术、资源综合利用</w:t>
      </w:r>
      <w:r>
        <w:rPr>
          <w:rFonts w:hint="eastAsia" w:ascii="仿宋_GB2312" w:hAnsi="仿宋_GB2312" w:eastAsia="仿宋_GB2312" w:cs="仿宋_GB2312"/>
          <w:sz w:val="32"/>
          <w:szCs w:val="32"/>
          <w:u w:val="none"/>
        </w:rPr>
        <w:t>等</w:t>
      </w:r>
      <w:r>
        <w:rPr>
          <w:rFonts w:hint="eastAsia" w:ascii="仿宋_GB2312" w:hAnsi="仿宋_GB2312" w:eastAsia="仿宋_GB2312" w:cs="仿宋_GB2312"/>
          <w:sz w:val="32"/>
          <w:szCs w:val="32"/>
          <w:u w:val="none"/>
          <w:lang w:eastAsia="zh-CN"/>
        </w:rPr>
        <w:t>产业发展，逐步</w:t>
      </w:r>
      <w:r>
        <w:rPr>
          <w:rFonts w:hint="eastAsia" w:ascii="仿宋_GB2312" w:hAnsi="仿宋_GB2312" w:eastAsia="仿宋_GB2312" w:cs="仿宋_GB2312"/>
          <w:sz w:val="32"/>
          <w:szCs w:val="32"/>
          <w:u w:val="none"/>
        </w:rPr>
        <w:t>提高经济发展质量、效益和长远竞争力</w:t>
      </w:r>
      <w:r>
        <w:rPr>
          <w:rFonts w:hint="eastAsia" w:ascii="仿宋_GB2312" w:hAnsi="仿宋_GB2312" w:eastAsia="仿宋_GB2312" w:cs="仿宋_GB2312"/>
          <w:sz w:val="32"/>
          <w:szCs w:val="32"/>
          <w:u w:val="none"/>
          <w:lang w:eastAsia="zh-CN"/>
        </w:rPr>
        <w:t>；引进高</w:t>
      </w:r>
      <w:r>
        <w:rPr>
          <w:rFonts w:hint="eastAsia" w:ascii="仿宋_GB2312" w:hAnsi="仿宋_GB2312" w:eastAsia="仿宋_GB2312" w:cs="仿宋_GB2312"/>
          <w:sz w:val="32"/>
          <w:szCs w:val="32"/>
          <w:u w:val="none"/>
        </w:rPr>
        <w:t>智力、</w:t>
      </w:r>
      <w:r>
        <w:rPr>
          <w:rFonts w:hint="eastAsia" w:ascii="仿宋_GB2312" w:hAnsi="仿宋_GB2312" w:eastAsia="仿宋_GB2312" w:cs="仿宋_GB2312"/>
          <w:sz w:val="32"/>
          <w:szCs w:val="32"/>
          <w:u w:val="none"/>
          <w:lang w:eastAsia="zh-CN"/>
        </w:rPr>
        <w:t>新</w:t>
      </w:r>
      <w:r>
        <w:rPr>
          <w:rFonts w:hint="eastAsia" w:ascii="仿宋_GB2312" w:hAnsi="仿宋_GB2312" w:eastAsia="仿宋_GB2312" w:cs="仿宋_GB2312"/>
          <w:sz w:val="32"/>
          <w:szCs w:val="32"/>
          <w:u w:val="none"/>
        </w:rPr>
        <w:t>专利和新技术企业，与科研院所、高校建立合作关系</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加快科技创新和成果转化，推进高新技术产业加快发展</w:t>
      </w:r>
      <w:r>
        <w:rPr>
          <w:rFonts w:hint="eastAsia" w:ascii="仿宋_GB2312" w:hAnsi="仿宋_GB2312" w:eastAsia="仿宋_GB2312" w:cs="仿宋_GB2312"/>
          <w:sz w:val="32"/>
          <w:szCs w:val="32"/>
          <w:u w:val="none"/>
          <w:lang w:eastAsia="zh-CN"/>
        </w:rPr>
        <w:t>；</w:t>
      </w:r>
      <w:r>
        <w:rPr>
          <w:rFonts w:hint="eastAsia" w:ascii="仿宋_GB2312" w:hAnsi="微软雅黑" w:eastAsia="仿宋_GB2312"/>
          <w:color w:val="auto"/>
          <w:sz w:val="32"/>
          <w:szCs w:val="32"/>
        </w:rPr>
        <w:t>以扶持高新技术企业的创新与创业、促进中小科技企业的交流与合作，加速高新技术产业的市场化为宗旨，以创业创新资源整合及服务创新为发展战略，</w:t>
      </w:r>
      <w:r>
        <w:rPr>
          <w:rFonts w:hint="eastAsia" w:ascii="仿宋_GB2312" w:hAnsi="微软雅黑" w:eastAsia="仿宋_GB2312"/>
          <w:color w:val="auto"/>
          <w:sz w:val="32"/>
          <w:szCs w:val="32"/>
          <w:lang w:eastAsia="zh-CN"/>
        </w:rPr>
        <w:t>建立</w:t>
      </w:r>
      <w:r>
        <w:rPr>
          <w:rFonts w:hint="eastAsia" w:ascii="仿宋_GB2312" w:hAnsi="微软雅黑" w:eastAsia="仿宋_GB2312"/>
          <w:color w:val="auto"/>
          <w:sz w:val="32"/>
          <w:szCs w:val="32"/>
        </w:rPr>
        <w:t>集研发设计、知识产权、技术转移、风险投资、创业孵化、信息服务、软件开发、教育培训、展</w:t>
      </w:r>
      <w:r>
        <w:rPr>
          <w:rFonts w:hint="eastAsia" w:ascii="仿宋_GB2312" w:hAnsi="仿宋_GB2312" w:eastAsia="仿宋_GB2312" w:cs="仿宋_GB2312"/>
          <w:sz w:val="32"/>
          <w:szCs w:val="32"/>
          <w:u w:val="none"/>
        </w:rPr>
        <w:t>览展示等功能于一体的企业孵化器</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发展新能源产业，</w:t>
      </w:r>
      <w:r>
        <w:rPr>
          <w:rFonts w:hint="eastAsia" w:ascii="仿宋_GB2312" w:hAnsi="仿宋_GB2312" w:eastAsia="仿宋_GB2312" w:cs="仿宋_GB2312"/>
          <w:sz w:val="32"/>
          <w:szCs w:val="32"/>
          <w:u w:val="none"/>
        </w:rPr>
        <w:t>以促进采煤沉陷区的生态治理为目标，重点推进光伏发电</w:t>
      </w:r>
      <w:r>
        <w:rPr>
          <w:rFonts w:hint="eastAsia" w:ascii="仿宋_GB2312" w:hAnsi="仿宋_GB2312" w:eastAsia="仿宋_GB2312" w:cs="仿宋_GB2312"/>
          <w:sz w:val="32"/>
          <w:szCs w:val="32"/>
          <w:u w:val="none"/>
          <w:lang w:eastAsia="zh-CN"/>
        </w:rPr>
        <w:t>、风力发电</w:t>
      </w:r>
      <w:r>
        <w:rPr>
          <w:rFonts w:hint="eastAsia" w:ascii="仿宋_GB2312" w:hAnsi="仿宋_GB2312" w:eastAsia="仿宋_GB2312" w:cs="仿宋_GB2312"/>
          <w:sz w:val="32"/>
          <w:szCs w:val="32"/>
          <w:u w:val="none"/>
        </w:rPr>
        <w:t>项目</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eastAsia="zh-CN"/>
        </w:rPr>
        <w:t>利用鹤岗市石墨资源储量大、品位高、易采选、应用领域广等优势，积极对接重点高校和科研院所，以</w:t>
      </w:r>
      <w:r>
        <w:rPr>
          <w:rFonts w:hint="eastAsia" w:ascii="仿宋_GB2312" w:hAnsi="仿宋_GB2312" w:eastAsia="仿宋_GB2312" w:cs="仿宋_GB2312"/>
          <w:sz w:val="32"/>
          <w:szCs w:val="32"/>
          <w:u w:val="none"/>
        </w:rPr>
        <w:t>引进</w:t>
      </w:r>
      <w:r>
        <w:rPr>
          <w:rFonts w:hint="eastAsia" w:ascii="仿宋_GB2312" w:hAnsi="仿宋_GB2312" w:eastAsia="仿宋_GB2312" w:cs="仿宋_GB2312"/>
          <w:sz w:val="32"/>
          <w:szCs w:val="32"/>
          <w:u w:val="none"/>
          <w:lang w:eastAsia="zh-CN"/>
        </w:rPr>
        <w:t>石墨产业</w:t>
      </w:r>
      <w:r>
        <w:rPr>
          <w:rFonts w:hint="eastAsia" w:ascii="仿宋_GB2312" w:hAnsi="仿宋_GB2312" w:eastAsia="仿宋_GB2312" w:cs="仿宋_GB2312"/>
          <w:sz w:val="32"/>
          <w:szCs w:val="32"/>
          <w:u w:val="none"/>
        </w:rPr>
        <w:t>重大战略投资者</w:t>
      </w:r>
      <w:r>
        <w:rPr>
          <w:rFonts w:hint="eastAsia" w:ascii="仿宋_GB2312" w:hAnsi="仿宋_GB2312" w:eastAsia="仿宋_GB2312" w:cs="仿宋_GB2312"/>
          <w:sz w:val="32"/>
          <w:szCs w:val="32"/>
          <w:u w:val="none"/>
          <w:lang w:eastAsia="zh-CN"/>
        </w:rPr>
        <w:t>为目标，发展石墨初级及精深加工产业项目，</w:t>
      </w:r>
      <w:r>
        <w:rPr>
          <w:rFonts w:hint="eastAsia" w:ascii="仿宋_GB2312" w:hAnsi="仿宋_GB2312" w:eastAsia="仿宋_GB2312" w:cs="仿宋_GB2312"/>
          <w:sz w:val="32"/>
          <w:szCs w:val="32"/>
          <w:u w:val="none"/>
        </w:rPr>
        <w:t>开发以石墨为原料的</w:t>
      </w:r>
      <w:r>
        <w:rPr>
          <w:rFonts w:hint="eastAsia" w:ascii="仿宋_GB2312" w:hAnsi="仿宋_GB2312" w:eastAsia="仿宋_GB2312" w:cs="仿宋_GB2312"/>
          <w:sz w:val="32"/>
          <w:szCs w:val="32"/>
          <w:u w:val="none"/>
          <w:lang w:eastAsia="zh-CN"/>
        </w:rPr>
        <w:t>储能</w:t>
      </w:r>
      <w:r>
        <w:rPr>
          <w:rFonts w:hint="eastAsia" w:ascii="仿宋_GB2312" w:hAnsi="仿宋_GB2312" w:eastAsia="仿宋_GB2312" w:cs="仿宋_GB2312"/>
          <w:sz w:val="32"/>
          <w:szCs w:val="32"/>
          <w:u w:val="none"/>
        </w:rPr>
        <w:t>材料、锂离子电池负极材料</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石墨密封材料</w:t>
      </w:r>
      <w:r>
        <w:rPr>
          <w:rFonts w:hint="eastAsia" w:ascii="仿宋_GB2312" w:hAnsi="仿宋_GB2312" w:eastAsia="仿宋_GB2312" w:cs="仿宋_GB2312"/>
          <w:sz w:val="32"/>
          <w:szCs w:val="32"/>
          <w:u w:val="none"/>
          <w:lang w:eastAsia="zh-CN"/>
        </w:rPr>
        <w:t>、石墨烯防腐涂料、氧化石墨烯、石墨烯散热膜、石墨烯复合材料等项目</w:t>
      </w:r>
      <w:r>
        <w:rPr>
          <w:rFonts w:hint="eastAsia" w:ascii="仿宋_GB2312" w:hAnsi="仿宋_GB2312" w:eastAsia="仿宋_GB2312" w:cs="仿宋_GB2312"/>
          <w:color w:val="000000"/>
          <w:sz w:val="32"/>
          <w:szCs w:val="32"/>
          <w:u w:val="none"/>
          <w:lang w:eastAsia="zh-CN"/>
        </w:rPr>
        <w:t>；引入药材深加工及下游企业，发展以大麻二酚、北药提取为主的生物制药产业；发展高端装备制造业，引入</w:t>
      </w:r>
      <w:r>
        <w:rPr>
          <w:rFonts w:hint="eastAsia" w:ascii="仿宋_GB2312" w:hAnsi="仿宋_GB2312" w:eastAsia="仿宋_GB2312" w:cs="仿宋_GB2312"/>
          <w:color w:val="000000"/>
          <w:sz w:val="32"/>
          <w:szCs w:val="32"/>
          <w:u w:val="none"/>
          <w:lang w:val="en-US" w:eastAsia="zh-CN"/>
        </w:rPr>
        <w:t>3D打印、智能数控、数字创意、云端服务器等企业；发展节能环保产业，</w:t>
      </w:r>
      <w:r>
        <w:rPr>
          <w:rFonts w:hint="eastAsia" w:ascii="仿宋_GB2312" w:hAnsi="仿宋_GB2312" w:eastAsia="仿宋_GB2312" w:cs="仿宋_GB2312"/>
          <w:sz w:val="32"/>
          <w:szCs w:val="32"/>
          <w:u w:val="none"/>
          <w:lang w:eastAsia="zh-CN"/>
        </w:rPr>
        <w:t>热反射涂料、相变储能材料等利用陶粒页岩开发利用技术，开发晶体硅材料、高分子复合材料、新型化工材料、新型无机非金属材料技术，推广纳米技术在新材料中的应用。</w:t>
      </w:r>
    </w:p>
    <w:p>
      <w:pPr>
        <w:pageBreakBefore w:val="0"/>
        <w:widowControl w:val="0"/>
        <w:kinsoku/>
        <w:wordWrap/>
        <w:overflowPunct/>
        <w:topLinePunct w:val="0"/>
        <w:autoSpaceDE/>
        <w:autoSpaceDN/>
        <w:bidi w:val="0"/>
        <w:adjustRightInd/>
        <w:snapToGrid/>
        <w:spacing w:line="600" w:lineRule="exact"/>
        <w:ind w:firstLine="666"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通过重点发展“五大产业”，全力以赴抓好产业项目建设，带动我区规模以上工业企业持续增长。到2025年，实现每年新增规模以上工业企业2</w:t>
      </w:r>
      <w:r>
        <w:rPr>
          <w:rFonts w:hint="eastAsia" w:ascii="仿宋_GB2312" w:hAnsi="仿宋_GB2312" w:eastAsia="仿宋_GB2312" w:cs="仿宋_GB2312"/>
          <w:b w:val="0"/>
          <w:bCs w:val="0"/>
          <w:sz w:val="32"/>
          <w:szCs w:val="32"/>
          <w:highlight w:val="none"/>
          <w:lang w:val="en-US" w:eastAsia="zh-CN"/>
        </w:rPr>
        <w:t>户，工业企业实现跨越式发展，逐步形成规模梯次合理、行业分布优化、经营管理科学、竞争优势明显、发展前景广阔的工业企业发展态势。</w:t>
      </w:r>
    </w:p>
    <w:p>
      <w:pPr>
        <w:ind w:firstLine="666" w:firstLineChars="200"/>
        <w:jc w:val="center"/>
        <w:outlineLvl w:val="0"/>
        <w:rPr>
          <w:rFonts w:hint="default" w:ascii="仿宋_GB2312" w:hAnsi="仿宋_GB2312" w:eastAsia="仿宋_GB2312" w:cs="仿宋_GB2312"/>
          <w:b/>
          <w:bCs/>
          <w:sz w:val="32"/>
          <w:szCs w:val="32"/>
          <w:highlight w:val="none"/>
          <w:lang w:val="en-US" w:eastAsia="zh-CN"/>
        </w:rPr>
      </w:pPr>
      <w:bookmarkStart w:id="72" w:name="_Toc30658"/>
      <w:bookmarkStart w:id="73" w:name="_Toc610"/>
      <w:bookmarkStart w:id="74" w:name="_Toc12088"/>
      <w:bookmarkStart w:id="75" w:name="_Toc11696"/>
      <w:r>
        <w:rPr>
          <w:rFonts w:hint="default" w:ascii="仿宋_GB2312" w:hAnsi="仿宋_GB2312" w:eastAsia="仿宋_GB2312" w:cs="仿宋_GB2312"/>
          <w:b/>
          <w:bCs/>
          <w:sz w:val="32"/>
          <w:szCs w:val="32"/>
          <w:highlight w:val="none"/>
          <w:lang w:val="en-US" w:eastAsia="zh-CN"/>
        </w:rPr>
        <w:t>专栏</w:t>
      </w:r>
      <w:r>
        <w:rPr>
          <w:rFonts w:hint="eastAsia" w:ascii="仿宋_GB2312" w:hAnsi="仿宋_GB2312" w:eastAsia="仿宋_GB2312" w:cs="仿宋_GB2312"/>
          <w:b/>
          <w:bCs/>
          <w:sz w:val="32"/>
          <w:szCs w:val="32"/>
          <w:highlight w:val="none"/>
          <w:lang w:val="en-US" w:eastAsia="zh-CN"/>
        </w:rPr>
        <w:t>2 兴安区“十四五”重点项目</w:t>
      </w:r>
      <w:r>
        <w:rPr>
          <w:rFonts w:hint="default" w:ascii="仿宋_GB2312" w:hAnsi="仿宋_GB2312" w:eastAsia="仿宋_GB2312" w:cs="仿宋_GB2312"/>
          <w:b/>
          <w:bCs/>
          <w:sz w:val="32"/>
          <w:szCs w:val="32"/>
          <w:highlight w:val="none"/>
          <w:lang w:val="en-US" w:eastAsia="zh-CN"/>
        </w:rPr>
        <w:t>成长计划</w:t>
      </w:r>
      <w:bookmarkEnd w:id="72"/>
      <w:bookmarkEnd w:id="73"/>
      <w:bookmarkEnd w:id="74"/>
      <w:bookmarkEnd w:id="75"/>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138"/>
        <w:gridCol w:w="4364"/>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1" w:type="pct"/>
            <w:vAlign w:val="center"/>
          </w:tcPr>
          <w:p>
            <w:pPr>
              <w:jc w:val="center"/>
              <w:rPr>
                <w:rFonts w:hint="default"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序号</w:t>
            </w:r>
          </w:p>
        </w:tc>
        <w:tc>
          <w:tcPr>
            <w:tcW w:w="1256" w:type="pct"/>
            <w:vAlign w:val="center"/>
          </w:tcPr>
          <w:p>
            <w:pPr>
              <w:jc w:val="center"/>
              <w:rPr>
                <w:rFonts w:hint="default"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项目名称</w:t>
            </w:r>
          </w:p>
        </w:tc>
        <w:tc>
          <w:tcPr>
            <w:tcW w:w="2564" w:type="pct"/>
            <w:vAlign w:val="center"/>
          </w:tcPr>
          <w:p>
            <w:pPr>
              <w:jc w:val="center"/>
              <w:rPr>
                <w:rFonts w:hint="default"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建设内容</w:t>
            </w:r>
          </w:p>
        </w:tc>
        <w:tc>
          <w:tcPr>
            <w:tcW w:w="707" w:type="pct"/>
            <w:vAlign w:val="center"/>
          </w:tcPr>
          <w:p>
            <w:pPr>
              <w:jc w:val="center"/>
              <w:rPr>
                <w:rFonts w:hint="default"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计划投资（万元）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default"/>
                <w:sz w:val="16"/>
                <w:szCs w:val="16"/>
                <w:lang w:val="en-US" w:eastAsia="zh-CN"/>
              </w:rPr>
            </w:pPr>
            <w:r>
              <w:rPr>
                <w:rFonts w:hint="eastAsia"/>
                <w:sz w:val="16"/>
                <w:szCs w:val="16"/>
                <w:lang w:val="en-US" w:eastAsia="zh-CN"/>
              </w:rPr>
              <w:t>1</w:t>
            </w:r>
          </w:p>
        </w:tc>
        <w:tc>
          <w:tcPr>
            <w:tcW w:w="1256" w:type="pct"/>
            <w:vAlign w:val="center"/>
          </w:tcPr>
          <w:p>
            <w:pPr>
              <w:jc w:val="both"/>
              <w:rPr>
                <w:rFonts w:hint="eastAsia"/>
                <w:sz w:val="16"/>
                <w:szCs w:val="16"/>
                <w:lang w:val="en-US" w:eastAsia="zh-CN"/>
              </w:rPr>
            </w:pPr>
            <w:r>
              <w:rPr>
                <w:rFonts w:hint="eastAsia"/>
                <w:sz w:val="16"/>
                <w:szCs w:val="16"/>
                <w:lang w:val="en-US" w:eastAsia="zh-CN"/>
              </w:rPr>
              <w:t>鹤岗市峻昌社区医疗和卫生防疫中心建设项目</w:t>
            </w:r>
          </w:p>
        </w:tc>
        <w:tc>
          <w:tcPr>
            <w:tcW w:w="2564" w:type="pct"/>
            <w:vAlign w:val="top"/>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rPr>
              <w:t>组建以社区医疗为中心的六大诊治中心，基层防疫及健康体检、发热门诊、隔离病房、物资储备库、120急救站、体检中心。</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p>
          <w:p>
            <w:pPr>
              <w:jc w:val="center"/>
              <w:rPr>
                <w:rFonts w:hint="eastAsia"/>
                <w:sz w:val="16"/>
                <w:szCs w:val="16"/>
                <w:lang w:val="en-US" w:eastAsia="zh-CN"/>
              </w:rPr>
            </w:pPr>
            <w:r>
              <w:rPr>
                <w:rFonts w:hint="eastAsia"/>
                <w:sz w:val="16"/>
                <w:szCs w:val="16"/>
                <w:lang w:val="en-US" w:eastAsia="zh-CN"/>
              </w:rPr>
              <w:t>2</w:t>
            </w:r>
          </w:p>
        </w:tc>
        <w:tc>
          <w:tcPr>
            <w:tcW w:w="1256" w:type="pct"/>
            <w:vAlign w:val="center"/>
          </w:tcPr>
          <w:p>
            <w:pPr>
              <w:jc w:val="both"/>
              <w:rPr>
                <w:rFonts w:hint="eastAsia"/>
                <w:sz w:val="16"/>
                <w:szCs w:val="16"/>
                <w:lang w:val="en-US" w:eastAsia="zh-CN"/>
              </w:rPr>
            </w:pPr>
            <w:r>
              <w:rPr>
                <w:rFonts w:hint="eastAsia"/>
                <w:sz w:val="16"/>
                <w:szCs w:val="16"/>
                <w:lang w:val="en-US" w:eastAsia="zh-CN"/>
              </w:rPr>
              <w:t>鹤岗市兴安区红旗镇基础设施改建工程项目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主要建设内容包括：通村公路23.62公里、沥青路1.5公里、农田砂石路10公里、路边沟硬化15400延长米、桥涵2座、休闲文化广场4个，对镇政府供暖设施进行并网改造、对长胜村自来水及污水进行改造，并实施绿化、亮化、美化等附属工程。</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p>
          <w:p>
            <w:pPr>
              <w:jc w:val="center"/>
              <w:rPr>
                <w:rFonts w:hint="eastAsia"/>
                <w:sz w:val="16"/>
                <w:szCs w:val="16"/>
                <w:lang w:val="en-US" w:eastAsia="zh-CN"/>
              </w:rPr>
            </w:pPr>
            <w:r>
              <w:rPr>
                <w:rFonts w:hint="eastAsia"/>
                <w:sz w:val="16"/>
                <w:szCs w:val="16"/>
                <w:lang w:val="en-US" w:eastAsia="zh-CN"/>
              </w:rPr>
              <w:t>3</w:t>
            </w:r>
          </w:p>
        </w:tc>
        <w:tc>
          <w:tcPr>
            <w:tcW w:w="1256" w:type="pct"/>
            <w:vAlign w:val="center"/>
          </w:tcPr>
          <w:p>
            <w:pPr>
              <w:jc w:val="both"/>
              <w:rPr>
                <w:rFonts w:hint="eastAsia"/>
                <w:sz w:val="16"/>
                <w:szCs w:val="16"/>
                <w:lang w:val="en-US" w:eastAsia="zh-CN"/>
              </w:rPr>
            </w:pPr>
            <w:r>
              <w:rPr>
                <w:rFonts w:hint="eastAsia"/>
                <w:sz w:val="16"/>
                <w:szCs w:val="16"/>
                <w:lang w:val="en-US" w:eastAsia="zh-CN"/>
              </w:rPr>
              <w:t>鹤岗市兴安区城区基础设施升级改造工程项目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维修升级兴东路、兴安路、兴建路、兴长路、峻德路5条城区主要道路，维修改造南群楼芳林街1条街巷道路和兴东路、兴安路人行道路；更换兴安路、兴东路等主要街道的路灯；对全区下水井、雨水井进行维修、改造。</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r>
              <w:rPr>
                <w:rFonts w:hint="eastAsia"/>
                <w:sz w:val="16"/>
                <w:szCs w:val="16"/>
                <w:lang w:val="en-US" w:eastAsia="zh-CN"/>
              </w:rPr>
              <w:t>4</w:t>
            </w:r>
          </w:p>
        </w:tc>
        <w:tc>
          <w:tcPr>
            <w:tcW w:w="1256" w:type="pct"/>
            <w:vAlign w:val="center"/>
          </w:tcPr>
          <w:p>
            <w:pPr>
              <w:jc w:val="both"/>
              <w:rPr>
                <w:rFonts w:hint="eastAsia"/>
                <w:sz w:val="16"/>
                <w:szCs w:val="16"/>
                <w:lang w:val="en-US" w:eastAsia="zh-CN"/>
              </w:rPr>
            </w:pPr>
            <w:r>
              <w:rPr>
                <w:rFonts w:hint="eastAsia"/>
                <w:sz w:val="16"/>
                <w:szCs w:val="16"/>
                <w:lang w:val="en-US" w:eastAsia="zh-CN"/>
              </w:rPr>
              <w:t>鹤岗市兴安区工业园区建设项目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项目选址位于兴安区老峻德地区，市煤化工园区A区北侧区域。项目总占地面积205公顷，计划分两期进行建设，主要包括园区道路、供水、供电等基础工程建设。</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r>
              <w:rPr>
                <w:rFonts w:hint="eastAsia"/>
                <w:sz w:val="16"/>
                <w:szCs w:val="16"/>
                <w:lang w:val="en-US" w:eastAsia="zh-CN"/>
              </w:rPr>
              <w:t>5</w:t>
            </w:r>
          </w:p>
        </w:tc>
        <w:tc>
          <w:tcPr>
            <w:tcW w:w="1256" w:type="pct"/>
            <w:vAlign w:val="center"/>
          </w:tcPr>
          <w:p>
            <w:pPr>
              <w:jc w:val="both"/>
              <w:rPr>
                <w:rFonts w:hint="eastAsia"/>
                <w:sz w:val="16"/>
                <w:szCs w:val="16"/>
                <w:lang w:val="en-US" w:eastAsia="zh-CN"/>
              </w:rPr>
            </w:pPr>
            <w:r>
              <w:rPr>
                <w:rFonts w:hint="eastAsia"/>
                <w:sz w:val="16"/>
                <w:szCs w:val="16"/>
                <w:lang w:val="en-US" w:eastAsia="zh-CN"/>
              </w:rPr>
              <w:t>跨境电商孵化培训基地项目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项目拟在鹤岗市建立跨境电子商务培训基地，利用亚马逊电子商务平台，为希望从事电商的爱好者提供培训服务，并扶持从业者开办企业，共同合作发展跨境电商。</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r>
              <w:rPr>
                <w:rFonts w:hint="eastAsia"/>
                <w:sz w:val="16"/>
                <w:szCs w:val="16"/>
                <w:lang w:val="en-US" w:eastAsia="zh-CN"/>
              </w:rPr>
              <w:t>6</w:t>
            </w:r>
          </w:p>
        </w:tc>
        <w:tc>
          <w:tcPr>
            <w:tcW w:w="1256" w:type="pct"/>
            <w:vAlign w:val="center"/>
          </w:tcPr>
          <w:p>
            <w:pPr>
              <w:jc w:val="both"/>
              <w:rPr>
                <w:rFonts w:hint="eastAsia"/>
                <w:sz w:val="16"/>
                <w:szCs w:val="16"/>
                <w:lang w:val="en-US" w:eastAsia="zh-CN"/>
              </w:rPr>
            </w:pPr>
            <w:r>
              <w:rPr>
                <w:rFonts w:hint="eastAsia"/>
                <w:sz w:val="16"/>
                <w:szCs w:val="16"/>
                <w:lang w:val="en-US" w:eastAsia="zh-CN"/>
              </w:rPr>
              <w:t>鹤岗柏安燃气供应有限公司、中海石油华鹤煤化有限公司煤炭地下气化项目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项目共分为三期，一期预计投资2200万元，气化生产能力达到日产燃气10万立方米，日发电3.8万千瓦时；二期预计投资3.5亿元，气化生产能力达到日产燃气100万立方米，日发电6.2万千瓦时；三期预计投资10亿元，生产能力达到日产燃气300万立方米。</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137200.00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r>
              <w:rPr>
                <w:rFonts w:hint="eastAsia"/>
                <w:sz w:val="16"/>
                <w:szCs w:val="16"/>
                <w:lang w:val="en-US" w:eastAsia="zh-CN"/>
              </w:rPr>
              <w:t>7</w:t>
            </w:r>
          </w:p>
        </w:tc>
        <w:tc>
          <w:tcPr>
            <w:tcW w:w="1256" w:type="pct"/>
            <w:vAlign w:val="center"/>
          </w:tcPr>
          <w:p>
            <w:pPr>
              <w:jc w:val="both"/>
              <w:rPr>
                <w:rFonts w:hint="eastAsia"/>
                <w:sz w:val="16"/>
                <w:szCs w:val="16"/>
                <w:lang w:val="en-US" w:eastAsia="zh-CN"/>
              </w:rPr>
            </w:pPr>
            <w:r>
              <w:rPr>
                <w:rFonts w:hint="eastAsia"/>
                <w:sz w:val="16"/>
                <w:szCs w:val="16"/>
                <w:lang w:val="en-US" w:eastAsia="zh-CN"/>
              </w:rPr>
              <w:t>鹤岗市合发、中海石油华鹤、黑龙江省佳禾腐植酸有限责任公司年产20万吨腐植酸生产项目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用地占地面积6.44公顷，计划分两期建设，每期10万吨。一期建设3条自动化腐植酸系列产品生产线，包括1条初级腐植酸产品生产线、1条中级腐植酸产品生产线及1条高级腐植酸产品线。</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default"/>
                <w:sz w:val="16"/>
                <w:szCs w:val="16"/>
                <w:lang w:val="en-US" w:eastAsia="zh-CN"/>
              </w:rPr>
            </w:pPr>
            <w:r>
              <w:rPr>
                <w:rFonts w:hint="eastAsia"/>
                <w:sz w:val="16"/>
                <w:szCs w:val="16"/>
                <w:lang w:val="en-US" w:eastAsia="zh-CN"/>
              </w:rPr>
              <w:t>8</w:t>
            </w:r>
          </w:p>
        </w:tc>
        <w:tc>
          <w:tcPr>
            <w:tcW w:w="1256" w:type="pct"/>
            <w:vAlign w:val="center"/>
          </w:tcPr>
          <w:p>
            <w:pPr>
              <w:jc w:val="both"/>
              <w:rPr>
                <w:rFonts w:hint="eastAsia"/>
                <w:sz w:val="16"/>
                <w:szCs w:val="16"/>
                <w:lang w:val="en-US" w:eastAsia="zh-CN"/>
              </w:rPr>
            </w:pPr>
            <w:r>
              <w:rPr>
                <w:rFonts w:hint="eastAsia"/>
                <w:sz w:val="16"/>
                <w:szCs w:val="16"/>
                <w:lang w:val="en-US" w:eastAsia="zh-CN"/>
              </w:rPr>
              <w:t>黑龙江省互沐思生物科技有限公司腐殖酸钾生产与研发项目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公司预计厂地面积30000平方米，建构筑物占地面积为18000平方米，主要建构筑物包括：生产厂房1座、仓库1座、办公室1座及其它配套设施</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default"/>
                <w:sz w:val="16"/>
                <w:szCs w:val="16"/>
                <w:lang w:val="en-US" w:eastAsia="zh-CN"/>
              </w:rPr>
            </w:pPr>
            <w:r>
              <w:rPr>
                <w:rFonts w:hint="eastAsia"/>
                <w:sz w:val="16"/>
                <w:szCs w:val="16"/>
                <w:lang w:val="en-US" w:eastAsia="zh-CN"/>
              </w:rPr>
              <w:t>9</w:t>
            </w:r>
          </w:p>
        </w:tc>
        <w:tc>
          <w:tcPr>
            <w:tcW w:w="1256" w:type="pct"/>
            <w:vAlign w:val="center"/>
          </w:tcPr>
          <w:p>
            <w:pPr>
              <w:jc w:val="both"/>
              <w:rPr>
                <w:rFonts w:hint="eastAsia"/>
                <w:sz w:val="16"/>
                <w:szCs w:val="16"/>
                <w:lang w:val="en-US" w:eastAsia="zh-CN"/>
              </w:rPr>
            </w:pPr>
            <w:r>
              <w:rPr>
                <w:rFonts w:hint="eastAsia"/>
                <w:sz w:val="16"/>
                <w:szCs w:val="16"/>
                <w:lang w:val="en-US" w:eastAsia="zh-CN"/>
              </w:rPr>
              <w:t>鹤岗市丰农肥业有限公司腐植酸生产项目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计划选址用地面积3-5万平方米土地，建设年产30万吨腐植酸有机复合肥生产线、厂房、配套设备设施及办公管理配套设备设施。项目分为三期建设，每期建设复合肥10万吨生产线及附属设施。一期主要建设2栋2100平方米成品库房、1栋2100平方米生产车间、1栋2000平方米腐植酸原料库、1栋2100平方米原料库。</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r>
              <w:rPr>
                <w:rFonts w:hint="eastAsia"/>
                <w:sz w:val="16"/>
                <w:szCs w:val="16"/>
                <w:lang w:val="en-US" w:eastAsia="zh-CN"/>
              </w:rPr>
              <w:t>10</w:t>
            </w:r>
          </w:p>
        </w:tc>
        <w:tc>
          <w:tcPr>
            <w:tcW w:w="1256" w:type="pct"/>
            <w:vAlign w:val="center"/>
          </w:tcPr>
          <w:p>
            <w:pPr>
              <w:jc w:val="both"/>
              <w:rPr>
                <w:rFonts w:hint="eastAsia"/>
                <w:sz w:val="16"/>
                <w:szCs w:val="16"/>
                <w:lang w:val="en-US" w:eastAsia="zh-CN"/>
              </w:rPr>
            </w:pPr>
            <w:r>
              <w:rPr>
                <w:rFonts w:hint="eastAsia"/>
                <w:sz w:val="16"/>
                <w:szCs w:val="16"/>
                <w:lang w:val="en-US" w:eastAsia="zh-CN"/>
              </w:rPr>
              <w:t>鹤岗市旭祥禾友化工有限公司、连云港华中化工有限公司年产6800吨精细化学品项目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公司立足原有产品的基础上，在原厂区内投资建设农药中间体生产项目，建设年产4-甲基-2-肼基苯并噻唑3000吨、2，3,5-三氯吡啶500吨、1,2,4-三氮唑500吨、4-三氟甲基烟酸300吨、三嗪酮1500吨、吡嘧磺胺500吨、解草啶500吨项目生产线。</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r>
              <w:rPr>
                <w:rFonts w:hint="eastAsia"/>
                <w:sz w:val="16"/>
                <w:szCs w:val="16"/>
                <w:lang w:val="en-US" w:eastAsia="zh-CN"/>
              </w:rPr>
              <w:t>11</w:t>
            </w:r>
          </w:p>
        </w:tc>
        <w:tc>
          <w:tcPr>
            <w:tcW w:w="1256" w:type="pct"/>
            <w:vAlign w:val="center"/>
          </w:tcPr>
          <w:p>
            <w:pPr>
              <w:jc w:val="both"/>
              <w:rPr>
                <w:rFonts w:hint="eastAsia"/>
                <w:sz w:val="16"/>
                <w:szCs w:val="16"/>
                <w:lang w:val="en-US" w:eastAsia="zh-CN"/>
              </w:rPr>
            </w:pPr>
            <w:r>
              <w:rPr>
                <w:rFonts w:hint="eastAsia"/>
                <w:sz w:val="16"/>
                <w:szCs w:val="16"/>
                <w:lang w:val="en-US" w:eastAsia="zh-CN"/>
              </w:rPr>
              <w:t>山东朴德化工有限公司年产4000吨甲萘氨项目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该项目计划分三期建设，一期投资3000万左右，建设内容包括厂房、仓库、办公楼、职工宿舍、污水处理装置等；二期建设内容为扩大生产规模，提高甲萘胺的产量达到年产12000吨，并利用增加的8000吨甲萘胺产品，生产甲萘胺的下游延伸产品；三期项目建设内容为扩大生产种类。</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r>
              <w:rPr>
                <w:rFonts w:hint="eastAsia"/>
                <w:sz w:val="16"/>
                <w:szCs w:val="16"/>
                <w:lang w:val="en-US" w:eastAsia="zh-CN"/>
              </w:rPr>
              <w:t>12</w:t>
            </w:r>
          </w:p>
        </w:tc>
        <w:tc>
          <w:tcPr>
            <w:tcW w:w="1256" w:type="pct"/>
            <w:vAlign w:val="center"/>
          </w:tcPr>
          <w:p>
            <w:pPr>
              <w:jc w:val="both"/>
              <w:rPr>
                <w:rFonts w:hint="eastAsia"/>
                <w:sz w:val="16"/>
                <w:szCs w:val="16"/>
                <w:lang w:val="en-US" w:eastAsia="zh-CN"/>
              </w:rPr>
            </w:pPr>
            <w:r>
              <w:rPr>
                <w:rFonts w:hint="eastAsia"/>
                <w:sz w:val="16"/>
                <w:szCs w:val="16"/>
                <w:lang w:val="en-US" w:eastAsia="zh-CN"/>
              </w:rPr>
              <w:t>广东智汇技术发展有限公司宽温石墨锂电池项目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建设锂电池储能、大倍率动力电池生产、汽车启动启停电池生产厂房以及销售公司。PACK产线设备采购调试2个月正常生产，产线达产后形成60000kAH/年电芯生产及180000kWH电池PACK能力，实现2.5亿销售额/年。</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default"/>
                <w:sz w:val="16"/>
                <w:szCs w:val="16"/>
                <w:lang w:val="en-US" w:eastAsia="zh-CN"/>
              </w:rPr>
            </w:pPr>
            <w:r>
              <w:rPr>
                <w:rFonts w:hint="eastAsia"/>
                <w:sz w:val="16"/>
                <w:szCs w:val="16"/>
                <w:lang w:val="en-US" w:eastAsia="zh-CN"/>
              </w:rPr>
              <w:t>13</w:t>
            </w:r>
          </w:p>
        </w:tc>
        <w:tc>
          <w:tcPr>
            <w:tcW w:w="1256" w:type="pct"/>
            <w:vAlign w:val="center"/>
          </w:tcPr>
          <w:p>
            <w:pPr>
              <w:jc w:val="both"/>
              <w:rPr>
                <w:rFonts w:hint="eastAsia"/>
                <w:sz w:val="16"/>
                <w:szCs w:val="16"/>
                <w:lang w:val="en-US" w:eastAsia="zh-CN"/>
              </w:rPr>
            </w:pPr>
            <w:r>
              <w:rPr>
                <w:rFonts w:hint="eastAsia"/>
                <w:sz w:val="16"/>
                <w:szCs w:val="16"/>
                <w:lang w:val="en-US" w:eastAsia="zh-CN"/>
              </w:rPr>
              <w:t>天津一商雷越国际贸易有限公司年产50吨氧化石墨烯及10万平方米石墨烯散热膜项目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该项目包含两大技术项目，即年产50吨氧化石墨烯滤饼项目、10万平方石墨烯散热膜项目（其中氧化石墨烯原料亦可应用于石墨烯润滑油添加剂、石墨烯重防腐涂料、石墨烯复合纤维等）。该项目计划总投资1亿元，分三期进行建设，一期投资4500万建设年产50吨氧化石墨烯滤饼材料生产厂房一个，办公楼一栋，产品检测、研发实验室一个；二期投资3000万建设年产10万平方米石墨烯散热膜材料生产厂房一个；三期投资2500万拓展石墨烯相关系列综合产品生产线。</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r>
              <w:rPr>
                <w:rFonts w:hint="eastAsia"/>
                <w:sz w:val="16"/>
                <w:szCs w:val="16"/>
                <w:lang w:val="en-US" w:eastAsia="zh-CN"/>
              </w:rPr>
              <w:t>14</w:t>
            </w:r>
          </w:p>
        </w:tc>
        <w:tc>
          <w:tcPr>
            <w:tcW w:w="1256" w:type="pct"/>
            <w:vAlign w:val="center"/>
          </w:tcPr>
          <w:p>
            <w:pPr>
              <w:jc w:val="both"/>
              <w:rPr>
                <w:rFonts w:hint="eastAsia"/>
                <w:sz w:val="16"/>
                <w:szCs w:val="16"/>
                <w:lang w:val="en-US" w:eastAsia="zh-CN"/>
              </w:rPr>
            </w:pPr>
            <w:r>
              <w:rPr>
                <w:rFonts w:hint="eastAsia"/>
                <w:sz w:val="16"/>
                <w:szCs w:val="16"/>
                <w:lang w:val="en-US" w:eastAsia="zh-CN"/>
              </w:rPr>
              <w:t>广州力柏能源科技有限公司小型电动物流车项目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项目拟在我区建设小型电动物流车生产基地，建设分为两期，一期预计总投资12000万元，用于租赁厂房（10000平方米），购置生产设备，建设办公区、员工生活配套用房等；二期预计总投资50000万元，其中购地200亩，建厂房40000平方米，办公用房4000平方米，建车库20000平方米。拟第一期产能规模为2万辆/年，第二期产能8万辆/年。</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r>
              <w:rPr>
                <w:rFonts w:hint="eastAsia"/>
                <w:sz w:val="16"/>
                <w:szCs w:val="16"/>
                <w:lang w:val="en-US" w:eastAsia="zh-CN"/>
              </w:rPr>
              <w:t>15</w:t>
            </w:r>
          </w:p>
        </w:tc>
        <w:tc>
          <w:tcPr>
            <w:tcW w:w="1256" w:type="pct"/>
            <w:vAlign w:val="center"/>
          </w:tcPr>
          <w:p>
            <w:pPr>
              <w:jc w:val="both"/>
              <w:rPr>
                <w:rFonts w:hint="eastAsia"/>
                <w:sz w:val="16"/>
                <w:szCs w:val="16"/>
                <w:lang w:val="en-US" w:eastAsia="zh-CN"/>
              </w:rPr>
            </w:pPr>
            <w:r>
              <w:rPr>
                <w:rFonts w:hint="eastAsia"/>
                <w:sz w:val="16"/>
                <w:szCs w:val="16"/>
                <w:lang w:val="en-US" w:eastAsia="zh-CN"/>
              </w:rPr>
              <w:t>利用畜禽粪便及秸秆生产生物有机肥项目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该项目为东典农业鲜食玉米产业园项目二期项目，拟在项目一期的基础上，建设秸秆综合利用项目和驴养殖及有机肥深加工项目。</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r>
              <w:rPr>
                <w:rFonts w:hint="eastAsia"/>
                <w:sz w:val="16"/>
                <w:szCs w:val="16"/>
                <w:lang w:val="en-US" w:eastAsia="zh-CN"/>
              </w:rPr>
              <w:t>16</w:t>
            </w:r>
          </w:p>
        </w:tc>
        <w:tc>
          <w:tcPr>
            <w:tcW w:w="1256" w:type="pct"/>
            <w:vAlign w:val="center"/>
          </w:tcPr>
          <w:p>
            <w:pPr>
              <w:jc w:val="both"/>
              <w:rPr>
                <w:rFonts w:hint="eastAsia"/>
                <w:sz w:val="16"/>
                <w:szCs w:val="16"/>
                <w:lang w:val="en-US" w:eastAsia="zh-CN"/>
              </w:rPr>
            </w:pPr>
            <w:r>
              <w:rPr>
                <w:rFonts w:hint="eastAsia"/>
                <w:sz w:val="16"/>
                <w:szCs w:val="16"/>
                <w:lang w:val="en-US" w:eastAsia="zh-CN"/>
              </w:rPr>
              <w:t>将军石山庄文化旅游项目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项目拟整合龙煤鹤矿集团铁路运输部所属将军石山庄旅游资源，通过招商引资推进市场化运作，打造成为我市近郊一处规模较大、项目丰富、拥有悠久人文历史的观光度假公园。</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jc w:val="center"/>
              <w:rPr>
                <w:rFonts w:hint="eastAsia"/>
                <w:sz w:val="16"/>
                <w:szCs w:val="16"/>
                <w:lang w:val="en-US" w:eastAsia="zh-CN"/>
              </w:rPr>
            </w:pPr>
            <w:r>
              <w:rPr>
                <w:rFonts w:hint="eastAsia"/>
                <w:sz w:val="16"/>
                <w:szCs w:val="16"/>
                <w:lang w:val="en-US" w:eastAsia="zh-CN"/>
              </w:rPr>
              <w:t>17</w:t>
            </w:r>
          </w:p>
        </w:tc>
        <w:tc>
          <w:tcPr>
            <w:tcW w:w="1256" w:type="pct"/>
            <w:vAlign w:val="center"/>
          </w:tcPr>
          <w:p>
            <w:pPr>
              <w:jc w:val="both"/>
              <w:rPr>
                <w:rFonts w:hint="eastAsia"/>
                <w:sz w:val="16"/>
                <w:szCs w:val="16"/>
                <w:lang w:val="en-US" w:eastAsia="zh-CN"/>
              </w:rPr>
            </w:pPr>
            <w:r>
              <w:rPr>
                <w:rFonts w:hint="eastAsia"/>
                <w:sz w:val="16"/>
                <w:szCs w:val="16"/>
                <w:lang w:val="en-US" w:eastAsia="zh-CN"/>
              </w:rPr>
              <w:t>线上电子商城项目</w:t>
            </w:r>
          </w:p>
        </w:tc>
        <w:tc>
          <w:tcPr>
            <w:tcW w:w="2564" w:type="pct"/>
            <w:vAlign w:val="center"/>
          </w:tcPr>
          <w:p>
            <w:pPr>
              <w:spacing w:line="240" w:lineRule="auto"/>
              <w:jc w:val="left"/>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项目拟自建电商平台凤凰共赢商场，邀请各实体经销公司入驻平台共同经营，通过商场在省内各城市进步布点，对食品、饮料、酒品等商品进行销售。</w:t>
            </w:r>
          </w:p>
        </w:tc>
        <w:tc>
          <w:tcPr>
            <w:tcW w:w="707" w:type="pct"/>
            <w:vAlign w:val="center"/>
          </w:tcPr>
          <w:p>
            <w:pPr>
              <w:spacing w:line="36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1000.00</w:t>
            </w:r>
          </w:p>
        </w:tc>
      </w:tr>
    </w:tbl>
    <w:p>
      <w:pPr>
        <w:spacing w:after="0" w:line="600" w:lineRule="exact"/>
        <w:ind w:firstLine="666" w:firstLineChars="200"/>
        <w:contextualSpacing/>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kern w:val="2"/>
          <w:sz w:val="32"/>
          <w:szCs w:val="32"/>
          <w:lang w:val="en-US" w:eastAsia="zh-CN" w:bidi="ar-SA"/>
        </w:rPr>
        <w:t>提升产业园区承载能力。</w:t>
      </w:r>
      <w:r>
        <w:rPr>
          <w:rFonts w:hint="eastAsia" w:ascii="仿宋_GB2312" w:hAnsi="仿宋_GB2312" w:eastAsia="仿宋_GB2312" w:cs="仿宋_GB2312"/>
          <w:color w:val="000000" w:themeColor="text1"/>
          <w:sz w:val="32"/>
          <w:szCs w:val="32"/>
          <w14:textFill>
            <w14:solidFill>
              <w14:schemeClr w14:val="tx1"/>
            </w14:solidFill>
          </w14:textFill>
        </w:rPr>
        <w:t>聚焦建成</w:t>
      </w:r>
      <w:r>
        <w:rPr>
          <w:rFonts w:hint="eastAsia" w:ascii="仿宋_GB2312" w:hAnsi="仿宋_GB2312" w:eastAsia="仿宋_GB2312" w:cs="仿宋_GB2312"/>
          <w:b w:val="0"/>
          <w:bCs w:val="0"/>
          <w:sz w:val="32"/>
          <w:szCs w:val="32"/>
          <w:lang w:val="en-US" w:eastAsia="zh-CN"/>
        </w:rPr>
        <w:t>循环经济产业园</w:t>
      </w:r>
      <w:r>
        <w:rPr>
          <w:rFonts w:hint="eastAsia" w:ascii="仿宋_GB2312" w:hAnsi="仿宋_GB2312" w:eastAsia="仿宋_GB2312" w:cs="仿宋_GB2312"/>
          <w:color w:val="000000" w:themeColor="text1"/>
          <w:sz w:val="32"/>
          <w:szCs w:val="32"/>
          <w14:textFill>
            <w14:solidFill>
              <w14:schemeClr w14:val="tx1"/>
            </w14:solidFill>
          </w14:textFill>
        </w:rPr>
        <w:t>区目标所需的基础设施和公共服务，加</w:t>
      </w:r>
      <w:r>
        <w:rPr>
          <w:rFonts w:hint="eastAsia" w:ascii="仿宋_GB2312" w:hAnsi="仿宋_GB2312" w:eastAsia="仿宋_GB2312" w:cs="仿宋_GB2312"/>
          <w:color w:val="000000" w:themeColor="text1"/>
          <w:sz w:val="32"/>
          <w:szCs w:val="32"/>
          <w:lang w:eastAsia="zh-CN"/>
          <w14:textFill>
            <w14:solidFill>
              <w14:schemeClr w14:val="tx1"/>
            </w14:solidFill>
          </w14:textFill>
        </w:rPr>
        <w:t>快推进</w:t>
      </w:r>
      <w:r>
        <w:rPr>
          <w:rFonts w:hint="eastAsia" w:ascii="仿宋_GB2312" w:hAnsi="仿宋_GB2312" w:eastAsia="仿宋_GB2312" w:cs="仿宋_GB2312"/>
          <w:color w:val="000000" w:themeColor="text1"/>
          <w:sz w:val="32"/>
          <w:szCs w:val="32"/>
          <w14:textFill>
            <w14:solidFill>
              <w14:schemeClr w14:val="tx1"/>
            </w14:solidFill>
          </w14:textFill>
        </w:rPr>
        <w:t>产业园区规范化、标准化、专业化建设，发挥生产要素和资本聚集作用，围绕项目能落地、企业能扎堆、要素能集聚、产业链能延伸</w:t>
      </w:r>
      <w:r>
        <w:rPr>
          <w:rFonts w:hint="eastAsia" w:ascii="仿宋_GB2312" w:hAnsi="仿宋_GB2312" w:eastAsia="仿宋_GB2312" w:cs="仿宋_GB2312"/>
          <w:color w:val="000000" w:themeColor="text1"/>
          <w:sz w:val="32"/>
          <w:szCs w:val="32"/>
          <w:lang w:eastAsia="zh-CN"/>
          <w14:textFill>
            <w14:solidFill>
              <w14:schemeClr w14:val="tx1"/>
            </w14:solidFill>
          </w14:textFill>
        </w:rPr>
        <w:t>的发展方向</w:t>
      </w:r>
      <w:r>
        <w:rPr>
          <w:rFonts w:hint="eastAsia" w:ascii="仿宋_GB2312" w:hAnsi="仿宋_GB2312" w:eastAsia="仿宋_GB2312" w:cs="仿宋_GB2312"/>
          <w:color w:val="000000" w:themeColor="text1"/>
          <w:sz w:val="32"/>
          <w:szCs w:val="32"/>
          <w14:textFill>
            <w14:solidFill>
              <w14:schemeClr w14:val="tx1"/>
            </w14:solidFill>
          </w14:textFill>
        </w:rPr>
        <w:t>，全面提升产业园区承载功能，以集聚优势、集群发展、以大带小、促小变大的发展思路，做好布局规划，</w:t>
      </w:r>
      <w:r>
        <w:rPr>
          <w:rFonts w:hint="eastAsia" w:ascii="仿宋_GB2312" w:hAnsi="仿宋_GB2312" w:eastAsia="仿宋_GB2312" w:cs="仿宋_GB2312"/>
          <w:color w:val="000000" w:themeColor="text1"/>
          <w:sz w:val="32"/>
          <w:szCs w:val="32"/>
          <w:lang w:eastAsia="zh-CN"/>
          <w14:textFill>
            <w14:solidFill>
              <w14:schemeClr w14:val="tx1"/>
            </w14:solidFill>
          </w14:textFill>
        </w:rPr>
        <w:t>全力</w:t>
      </w:r>
      <w:r>
        <w:rPr>
          <w:rFonts w:hint="eastAsia" w:ascii="仿宋_GB2312" w:hAnsi="仿宋_GB2312" w:eastAsia="仿宋_GB2312" w:cs="仿宋_GB2312"/>
          <w:color w:val="000000" w:themeColor="text1"/>
          <w:sz w:val="32"/>
          <w:szCs w:val="32"/>
          <w14:textFill>
            <w14:solidFill>
              <w14:schemeClr w14:val="tx1"/>
            </w14:solidFill>
          </w14:textFill>
        </w:rPr>
        <w:t>打造</w:t>
      </w:r>
      <w:r>
        <w:rPr>
          <w:rFonts w:hint="eastAsia" w:ascii="仿宋_GB2312" w:hAnsi="仿宋_GB2312" w:eastAsia="仿宋_GB2312" w:cs="仿宋_GB2312"/>
          <w:color w:val="000000" w:themeColor="text1"/>
          <w:sz w:val="32"/>
          <w:szCs w:val="32"/>
          <w:lang w:eastAsia="zh-CN"/>
          <w14:textFill>
            <w14:solidFill>
              <w14:schemeClr w14:val="tx1"/>
            </w14:solidFill>
          </w14:textFill>
        </w:rPr>
        <w:t>兴安</w:t>
      </w:r>
      <w:r>
        <w:rPr>
          <w:rFonts w:hint="eastAsia" w:ascii="仿宋_GB2312" w:hAnsi="仿宋_GB2312" w:eastAsia="仿宋_GB2312" w:cs="仿宋_GB2312"/>
          <w:color w:val="000000" w:themeColor="text1"/>
          <w:sz w:val="32"/>
          <w:szCs w:val="32"/>
          <w14:textFill>
            <w14:solidFill>
              <w14:schemeClr w14:val="tx1"/>
            </w14:solidFill>
          </w14:textFill>
        </w:rPr>
        <w:t>特色中小微产业园区。</w:t>
      </w:r>
    </w:p>
    <w:p>
      <w:pPr>
        <w:pStyle w:val="35"/>
      </w:pPr>
      <w:r>
        <w:rPr>
          <w:rFonts w:hint="eastAsia"/>
        </w:rPr>
        <w:t>专栏</w:t>
      </w:r>
      <w:r>
        <w:t>3</w:t>
      </w:r>
      <w:r>
        <w:rPr>
          <w:rFonts w:hint="eastAsia"/>
        </w:rPr>
        <w:t xml:space="preserve"> </w:t>
      </w:r>
      <w:r>
        <w:rPr>
          <w:rFonts w:hint="eastAsia"/>
          <w:lang w:eastAsia="zh-CN"/>
        </w:rPr>
        <w:t>兴安区</w:t>
      </w:r>
      <w:r>
        <w:rPr>
          <w:rFonts w:hint="eastAsia"/>
        </w:rPr>
        <w:t>产业园区培育行动计划</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2741"/>
        <w:gridCol w:w="3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trPr>
        <w:tc>
          <w:tcPr>
            <w:tcW w:w="1888" w:type="dxa"/>
            <w:vAlign w:val="center"/>
          </w:tcPr>
          <w:p>
            <w:pPr>
              <w:spacing w:after="0" w:line="500" w:lineRule="exact"/>
              <w:contextualSpacing/>
              <w:jc w:val="center"/>
              <w:rPr>
                <w:rFonts w:asciiTheme="minorEastAsia" w:hAnsiTheme="minorEastAsia" w:eastAsiaTheme="minorEastAsia"/>
                <w:b/>
                <w:bCs/>
                <w:color w:val="000000" w:themeColor="text1"/>
                <w:kern w:val="2"/>
                <w:sz w:val="21"/>
                <w:szCs w:val="21"/>
                <w14:textFill>
                  <w14:solidFill>
                    <w14:schemeClr w14:val="tx1"/>
                  </w14:solidFill>
                </w14:textFill>
              </w:rPr>
            </w:pPr>
            <w:r>
              <w:rPr>
                <w:rFonts w:hint="eastAsia" w:asciiTheme="minorEastAsia" w:hAnsiTheme="minorEastAsia" w:eastAsiaTheme="minorEastAsia"/>
                <w:b/>
                <w:bCs/>
                <w:color w:val="000000" w:themeColor="text1"/>
                <w:kern w:val="2"/>
                <w:sz w:val="21"/>
                <w:szCs w:val="21"/>
                <w14:textFill>
                  <w14:solidFill>
                    <w14:schemeClr w14:val="tx1"/>
                  </w14:solidFill>
                </w14:textFill>
              </w:rPr>
              <w:t>特色中小微企业产业园区</w:t>
            </w:r>
          </w:p>
        </w:tc>
        <w:tc>
          <w:tcPr>
            <w:tcW w:w="2745" w:type="dxa"/>
            <w:vAlign w:val="center"/>
          </w:tcPr>
          <w:p>
            <w:pPr>
              <w:spacing w:after="0" w:line="500" w:lineRule="exact"/>
              <w:contextualSpacing/>
              <w:jc w:val="center"/>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lang w:val="en-US" w:eastAsia="zh-CN"/>
                <w14:textFill>
                  <w14:solidFill>
                    <w14:schemeClr w14:val="tx1"/>
                  </w14:solidFill>
                </w14:textFill>
              </w:rPr>
              <w:t>兴安区循环经济产业园区</w:t>
            </w:r>
          </w:p>
        </w:tc>
        <w:tc>
          <w:tcPr>
            <w:tcW w:w="3889" w:type="dxa"/>
          </w:tcPr>
          <w:p>
            <w:pPr>
              <w:widowControl/>
              <w:adjustRightInd w:val="0"/>
              <w:snapToGrid w:val="0"/>
              <w:spacing w:after="0" w:line="500" w:lineRule="exact"/>
              <w:contextualSpacing/>
              <w:jc w:val="both"/>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lang w:val="en-US" w:eastAsia="zh-CN"/>
                <w14:textFill>
                  <w14:solidFill>
                    <w14:schemeClr w14:val="tx1"/>
                  </w14:solidFill>
                </w14:textFill>
              </w:rPr>
              <w:t>主要围绕绿色建材、生态工业、固体废弃物资源化产业等相关领域落户项目，同时可入驻与市煤化工园区、石墨新材料(高新技术）产业相配套的上下游企业，与市级园区形成优势互补。力争到2025年实现主营业务收入10亿元。</w:t>
            </w:r>
          </w:p>
        </w:tc>
      </w:tr>
    </w:tbl>
    <w:p>
      <w:pPr>
        <w:pStyle w:val="36"/>
        <w:spacing w:before="240" w:after="240"/>
        <w:jc w:val="center"/>
      </w:pPr>
      <w:bookmarkStart w:id="76" w:name="_Toc17458"/>
      <w:bookmarkStart w:id="77" w:name="_Toc1210"/>
      <w:r>
        <w:rPr>
          <w:rFonts w:hint="eastAsia" w:cstheme="majorBidi"/>
          <w:color w:val="000000" w:themeColor="text1"/>
          <w:kern w:val="0"/>
          <w:lang w:val="en-US" w:eastAsia="zh-CN"/>
          <w14:textFill>
            <w14:solidFill>
              <w14:schemeClr w14:val="tx1"/>
            </w14:solidFill>
          </w14:textFill>
        </w:rPr>
        <w:t>第三节</w:t>
      </w:r>
      <w:bookmarkStart w:id="78" w:name="_Toc56076241"/>
      <w:r>
        <w:rPr>
          <w:rFonts w:hint="eastAsia"/>
        </w:rPr>
        <w:t xml:space="preserve"> 加快发展数字经济</w:t>
      </w:r>
      <w:bookmarkEnd w:id="76"/>
      <w:bookmarkEnd w:id="77"/>
      <w:bookmarkEnd w:id="78"/>
    </w:p>
    <w:p>
      <w:pPr>
        <w:spacing w:after="0" w:line="600" w:lineRule="exact"/>
        <w:ind w:firstLine="666" w:firstLineChars="200"/>
        <w:contextualSpacing/>
        <w:jc w:val="both"/>
        <w:rPr>
          <w:rFonts w:ascii="仿宋" w:hAnsi="仿宋" w:eastAsia="仿宋"/>
          <w:color w:val="000000" w:themeColor="text1"/>
          <w:sz w:val="32"/>
          <w:szCs w:val="32"/>
          <w14:textFill>
            <w14:solidFill>
              <w14:schemeClr w14:val="tx1"/>
            </w14:solidFill>
          </w14:textFill>
        </w:rPr>
      </w:pPr>
      <w:r>
        <w:rPr>
          <w:rFonts w:hint="eastAsia" w:ascii="楷体" w:hAnsi="楷体" w:eastAsia="楷体" w:cs="楷体"/>
          <w:b/>
          <w:bCs/>
          <w:kern w:val="2"/>
          <w:sz w:val="32"/>
          <w:szCs w:val="32"/>
          <w:lang w:val="en-US" w:eastAsia="zh-CN" w:bidi="ar-SA"/>
        </w:rPr>
        <w:t>培育发展数字产业。</w:t>
      </w:r>
      <w:r>
        <w:rPr>
          <w:rFonts w:hint="eastAsia" w:ascii="仿宋" w:hAnsi="仿宋" w:eastAsia="仿宋"/>
          <w:color w:val="000000" w:themeColor="text1"/>
          <w:sz w:val="32"/>
          <w:szCs w:val="32"/>
          <w14:textFill>
            <w14:solidFill>
              <w14:schemeClr w14:val="tx1"/>
            </w14:solidFill>
          </w14:textFill>
        </w:rPr>
        <w:t>推动数字经济与实体经济深度融合。培育数字经济新产业、新业态和新模式，拓展数字技术在现代农业、智能生产、智慧城市、流通体系等领域开发应用场景，大力发展平台经济、共享经济。培育数字要素市场，构建市场化公共数据资源管理服务体系。扩大基础公共信息数据有序开放，建设政府数据统一共享开放平台。建立健全数据分类分级安全保护制度。</w:t>
      </w:r>
    </w:p>
    <w:p>
      <w:pPr>
        <w:spacing w:after="0" w:line="600" w:lineRule="exact"/>
        <w:ind w:firstLine="666" w:firstLineChars="200"/>
        <w:contextualSpacing/>
        <w:jc w:val="both"/>
        <w:rPr>
          <w:rFonts w:ascii="仿宋" w:hAnsi="仿宋" w:eastAsia="仿宋"/>
          <w:color w:val="000000" w:themeColor="text1"/>
          <w:sz w:val="32"/>
          <w:szCs w:val="32"/>
          <w14:textFill>
            <w14:solidFill>
              <w14:schemeClr w14:val="tx1"/>
            </w14:solidFill>
          </w14:textFill>
        </w:rPr>
      </w:pPr>
      <w:r>
        <w:rPr>
          <w:rFonts w:hint="eastAsia" w:ascii="楷体" w:hAnsi="楷体" w:eastAsia="楷体" w:cs="楷体"/>
          <w:b/>
          <w:bCs/>
          <w:kern w:val="2"/>
          <w:sz w:val="32"/>
          <w:szCs w:val="32"/>
          <w:lang w:val="en-US" w:eastAsia="zh-CN" w:bidi="ar-SA"/>
        </w:rPr>
        <w:t>推动产业数字化转型。</w:t>
      </w:r>
      <w:r>
        <w:rPr>
          <w:rFonts w:hint="eastAsia" w:ascii="仿宋" w:hAnsi="仿宋" w:eastAsia="仿宋"/>
          <w:color w:val="000000" w:themeColor="text1"/>
          <w:sz w:val="32"/>
          <w:szCs w:val="32"/>
          <w14:textFill>
            <w14:solidFill>
              <w14:schemeClr w14:val="tx1"/>
            </w14:solidFill>
          </w14:textFill>
        </w:rPr>
        <w:t>利用互联网新技术新应用对传统产业进行全方位、全角度、全链条的改造，赋能传统产业转型升级。实施制造业智能化改造提升工程，支持重点行业、高端产品、关键环节进行技术改造，提升数字化网络化智能化绿色化水平。围绕“十百千”工程重点领域，推动新一代信息技术与实体经济深度融合，培育建设数字化车间、智能工厂。加快培育平台经济、网红经济、共享经济等数字经济新业态新模式，加强智慧教育建设，形成高质量线上教育供给。开展电商培训，建设跨境电商公共服务平台。</w:t>
      </w:r>
    </w:p>
    <w:p>
      <w:pPr>
        <w:spacing w:after="0" w:line="600" w:lineRule="exact"/>
        <w:ind w:firstLine="666" w:firstLineChars="200"/>
        <w:contextualSpacing/>
        <w:jc w:val="both"/>
        <w:rPr>
          <w:rFonts w:ascii="仿宋_GB2312" w:hAnsi="仿宋" w:eastAsia="仿宋_GB2312" w:cs="Times New Roman"/>
          <w:color w:val="000000"/>
          <w:sz w:val="32"/>
          <w:szCs w:val="32"/>
        </w:rPr>
      </w:pPr>
      <w:r>
        <w:rPr>
          <w:rFonts w:hint="eastAsia" w:ascii="楷体" w:hAnsi="楷体" w:eastAsia="楷体"/>
          <w:b/>
          <w:color w:val="000000" w:themeColor="text1"/>
          <w:sz w:val="32"/>
          <w:szCs w:val="32"/>
          <w14:textFill>
            <w14:solidFill>
              <w14:schemeClr w14:val="tx1"/>
            </w14:solidFill>
          </w14:textFill>
        </w:rPr>
        <w:t>培育数字要素市场。</w:t>
      </w:r>
      <w:r>
        <w:rPr>
          <w:rFonts w:hint="eastAsia" w:ascii="仿宋" w:hAnsi="仿宋" w:eastAsia="仿宋"/>
          <w:color w:val="000000" w:themeColor="text1"/>
          <w:sz w:val="32"/>
          <w:szCs w:val="32"/>
          <w14:textFill>
            <w14:solidFill>
              <w14:schemeClr w14:val="tx1"/>
            </w14:solidFill>
          </w14:textFill>
        </w:rPr>
        <w:t>加快建立政务数据开发目录和数据开放清单，建设政务数据资源开发服务平台</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提升社会数据资源价值</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打造数字技术应用场景，推进数据采集标准化建设。加强数据资源整合和安全保护，支持和鼓励市场主体合规开拓社会数据采集渠道。落实数据保护制度，加强政务数据、企业商业秘密和个人数据的保护。</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rPr>
          <w:rFonts w:hint="eastAsia" w:asciiTheme="majorEastAsia" w:hAnsiTheme="majorEastAsia" w:eastAsiaTheme="majorEastAsia" w:cstheme="majorEastAsia"/>
          <w:kern w:val="44"/>
          <w:lang w:val="en-US" w:eastAsia="zh-CN"/>
        </w:rPr>
      </w:pPr>
      <w:bookmarkStart w:id="79" w:name="_Toc6524"/>
      <w:bookmarkStart w:id="80" w:name="_Toc837"/>
      <w:r>
        <w:rPr>
          <w:rFonts w:hint="eastAsia" w:asciiTheme="majorEastAsia" w:hAnsiTheme="majorEastAsia" w:eastAsiaTheme="majorEastAsia" w:cstheme="majorEastAsia"/>
          <w:kern w:val="44"/>
          <w:lang w:val="en-US" w:eastAsia="zh-CN"/>
        </w:rPr>
        <w:t>第三章 围绕“乡村振兴”战略 争当农业现代化排头兵</w:t>
      </w:r>
      <w:bookmarkEnd w:id="79"/>
      <w:bookmarkEnd w:id="80"/>
    </w:p>
    <w:p>
      <w:pPr>
        <w:spacing w:line="600" w:lineRule="exact"/>
        <w:rPr>
          <w:rFonts w:ascii="仿宋_GB2312" w:hAnsi="仿宋_GB2312" w:eastAsia="仿宋_GB2312" w:cs="仿宋_GB2312"/>
          <w:b/>
          <w:bCs/>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围绕“乡村振兴”战略，以“粮头食尾”“农头工尾”为抓手，推动农业全面升级、农村全面进步、农民全面发展的战略蓝图。坚持农业农村优先发展，夯实农业基础地位，深化农村改革，加快构建现代产业体系、生产体系和经营体系，加快推进农业农村现代化，争当全市农业现代化建设排头兵。</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kern w:val="0"/>
          <w:lang w:val="en-US" w:eastAsia="zh-CN"/>
        </w:rPr>
      </w:pPr>
      <w:bookmarkStart w:id="81" w:name="_Toc15904"/>
      <w:bookmarkStart w:id="82" w:name="_Toc3683"/>
      <w:r>
        <w:rPr>
          <w:rFonts w:hint="eastAsia"/>
          <w:kern w:val="0"/>
          <w:lang w:val="en-US" w:eastAsia="zh-CN"/>
        </w:rPr>
        <w:t>第一节 实施“藏粮于地、藏粮于技”粮食安全战略</w:t>
      </w:r>
      <w:bookmarkEnd w:id="81"/>
      <w:bookmarkEnd w:id="82"/>
    </w:p>
    <w:p>
      <w:pPr>
        <w:spacing w:line="600" w:lineRule="exact"/>
        <w:ind w:firstLine="666" w:firstLineChars="200"/>
        <w:rPr>
          <w:rFonts w:ascii="仿宋_GB2312" w:hAnsi="仿宋_GB2312" w:eastAsia="仿宋_GB2312" w:cs="仿宋_GB2312"/>
          <w:sz w:val="32"/>
          <w:szCs w:val="32"/>
          <w:highlight w:val="none"/>
        </w:rPr>
      </w:pPr>
      <w:bookmarkStart w:id="83" w:name="_Toc3324"/>
      <w:bookmarkStart w:id="84" w:name="_Toc18174"/>
      <w:r>
        <w:rPr>
          <w:rFonts w:hint="eastAsia" w:ascii="楷体" w:hAnsi="楷体" w:eastAsia="楷体" w:cs="楷体"/>
          <w:b/>
          <w:bCs/>
          <w:sz w:val="32"/>
          <w:szCs w:val="32"/>
          <w:highlight w:val="none"/>
        </w:rPr>
        <w:t>实施“粮食安全”战略。</w:t>
      </w:r>
      <w:r>
        <w:rPr>
          <w:rFonts w:hint="eastAsia" w:ascii="仿宋_GB2312" w:hAnsi="仿宋_GB2312" w:eastAsia="仿宋_GB2312" w:cs="仿宋_GB2312"/>
          <w:sz w:val="32"/>
          <w:szCs w:val="32"/>
          <w:highlight w:val="none"/>
        </w:rPr>
        <w:t>以“粮头食尾”为抓手，强化耕地保护责任，坚守耕地红线不动摇，确保全区耕地保有量不减少、基本农田保护率不降低。推进高标准农田建设，补齐农田基础设施短板弱项，提高农业防灾减灾能力。稳步提升农业机械化水平，继续落实国家农机购置补贴政策。提高农机装备智能化水平，促进农机农艺融合发展，加快农业“全程、全面、高质、高效”机械化进程。</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kern w:val="0"/>
          <w:lang w:val="en-US" w:eastAsia="zh-CN"/>
        </w:rPr>
      </w:pPr>
      <w:bookmarkStart w:id="85" w:name="_Toc21979"/>
      <w:r>
        <w:rPr>
          <w:rFonts w:hint="eastAsia"/>
          <w:kern w:val="0"/>
          <w:lang w:val="en-US" w:eastAsia="zh-CN"/>
        </w:rPr>
        <w:t>第二节 开展“中国粮食、中国饭碗”质量提升行动</w:t>
      </w:r>
      <w:bookmarkEnd w:id="83"/>
      <w:bookmarkEnd w:id="84"/>
      <w:bookmarkEnd w:id="85"/>
    </w:p>
    <w:p>
      <w:pPr>
        <w:spacing w:line="600" w:lineRule="exact"/>
        <w:ind w:firstLine="666" w:firstLineChars="200"/>
        <w:rPr>
          <w:rFonts w:ascii="仿宋_GB2312" w:hAnsi="仿宋_GB2312" w:eastAsia="仿宋_GB2312" w:cs="仿宋_GB2312"/>
          <w:sz w:val="32"/>
          <w:szCs w:val="32"/>
          <w:highlight w:val="none"/>
        </w:rPr>
      </w:pPr>
      <w:bookmarkStart w:id="86" w:name="_Toc21707"/>
      <w:bookmarkStart w:id="87" w:name="_Toc11672"/>
      <w:r>
        <w:rPr>
          <w:rFonts w:hint="eastAsia" w:ascii="楷体" w:hAnsi="楷体" w:eastAsia="楷体" w:cs="楷体"/>
          <w:b/>
          <w:bCs/>
          <w:sz w:val="32"/>
          <w:szCs w:val="32"/>
          <w:highlight w:val="none"/>
        </w:rPr>
        <w:t>深化农业供给侧改革，优化农业产出结构。</w:t>
      </w:r>
      <w:r>
        <w:rPr>
          <w:rFonts w:hint="eastAsia" w:ascii="仿宋_GB2312" w:hAnsi="仿宋_GB2312" w:eastAsia="仿宋_GB2312" w:cs="仿宋_GB2312"/>
          <w:sz w:val="32"/>
          <w:szCs w:val="32"/>
          <w:highlight w:val="none"/>
        </w:rPr>
        <w:t>坚持质量兴农、绿色兴农</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通过建设近郊蔬菜生产基地，鼓励和扶持红旗镇打造城市菜篮子工程，创建叫得响、知名度高的地区特色农业产品品牌。稳定发展水稻生产，优化玉米种植结构，扩大大豆种植面积，提高大豆生产效益，积极发展中药材、汉麻等经济作物，打造特色农产品优势区。</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kern w:val="0"/>
          <w:lang w:val="en-US" w:eastAsia="zh-CN"/>
        </w:rPr>
      </w:pPr>
      <w:bookmarkStart w:id="88" w:name="_Toc25639"/>
      <w:r>
        <w:rPr>
          <w:rFonts w:hint="eastAsia"/>
          <w:kern w:val="0"/>
          <w:lang w:val="en-US" w:eastAsia="zh-CN"/>
        </w:rPr>
        <w:t>第三节 实施“生态优先、用养结合”黑土地保护战略</w:t>
      </w:r>
      <w:bookmarkEnd w:id="86"/>
      <w:bookmarkEnd w:id="87"/>
      <w:bookmarkEnd w:id="88"/>
    </w:p>
    <w:p>
      <w:pPr>
        <w:spacing w:line="600" w:lineRule="exact"/>
        <w:ind w:firstLine="666" w:firstLineChars="200"/>
        <w:rPr>
          <w:rFonts w:ascii="仿宋_GB2312" w:hAnsi="仿宋_GB2312" w:eastAsia="仿宋_GB2312" w:cs="仿宋_GB2312"/>
          <w:sz w:val="32"/>
          <w:szCs w:val="32"/>
          <w:highlight w:val="none"/>
        </w:rPr>
      </w:pPr>
      <w:bookmarkStart w:id="89" w:name="_Toc2112"/>
      <w:bookmarkStart w:id="90" w:name="_Toc19357"/>
      <w:r>
        <w:rPr>
          <w:rFonts w:hint="eastAsia" w:ascii="仿宋_GB2312" w:hAnsi="仿宋_GB2312" w:eastAsia="仿宋_GB2312" w:cs="仿宋_GB2312"/>
          <w:sz w:val="32"/>
          <w:szCs w:val="32"/>
          <w:highlight w:val="none"/>
          <w:lang w:eastAsia="zh-CN"/>
        </w:rPr>
        <w:t>加强对现有</w:t>
      </w:r>
      <w:r>
        <w:rPr>
          <w:rFonts w:hint="eastAsia" w:ascii="仿宋_GB2312" w:hAnsi="仿宋_GB2312" w:eastAsia="仿宋_GB2312" w:cs="仿宋_GB2312"/>
          <w:sz w:val="32"/>
          <w:szCs w:val="32"/>
          <w:highlight w:val="none"/>
        </w:rPr>
        <w:t>耕地</w:t>
      </w:r>
      <w:r>
        <w:rPr>
          <w:rFonts w:hint="eastAsia" w:ascii="仿宋_GB2312" w:hAnsi="仿宋_GB2312" w:eastAsia="仿宋_GB2312" w:cs="仿宋_GB2312"/>
          <w:sz w:val="32"/>
          <w:szCs w:val="32"/>
          <w:highlight w:val="none"/>
          <w:lang w:eastAsia="zh-CN"/>
        </w:rPr>
        <w:t>保护</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尤其是</w:t>
      </w:r>
      <w:r>
        <w:rPr>
          <w:rFonts w:hint="eastAsia" w:ascii="仿宋_GB2312" w:hAnsi="仿宋_GB2312" w:eastAsia="仿宋_GB2312" w:cs="仿宋_GB2312"/>
          <w:sz w:val="32"/>
          <w:szCs w:val="32"/>
          <w:highlight w:val="none"/>
        </w:rPr>
        <w:t>对黑土地实行战略性保护</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确保黑土地不减少、不退化。综合运用农艺、农机、生物等措施，提高耕地质量等级，</w:t>
      </w:r>
      <w:r>
        <w:rPr>
          <w:rFonts w:hint="eastAsia" w:ascii="仿宋_GB2312" w:hAnsi="仿宋_GB2312" w:eastAsia="仿宋_GB2312" w:cs="仿宋_GB2312"/>
          <w:sz w:val="32"/>
          <w:szCs w:val="32"/>
          <w:highlight w:val="none"/>
          <w:lang w:eastAsia="zh-CN"/>
        </w:rPr>
        <w:t>逐步建立</w:t>
      </w:r>
      <w:r>
        <w:rPr>
          <w:rFonts w:hint="eastAsia" w:ascii="仿宋_GB2312" w:hAnsi="仿宋_GB2312" w:eastAsia="仿宋_GB2312" w:cs="仿宋_GB2312"/>
          <w:sz w:val="32"/>
          <w:szCs w:val="32"/>
          <w:highlight w:val="none"/>
        </w:rPr>
        <w:t>黑土地保护长效机制，实现黑土地可持续利用。</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kern w:val="0"/>
          <w:lang w:val="en-US" w:eastAsia="zh-CN"/>
        </w:rPr>
      </w:pPr>
      <w:bookmarkStart w:id="91" w:name="_Toc17792"/>
      <w:r>
        <w:rPr>
          <w:rFonts w:hint="eastAsia"/>
          <w:kern w:val="0"/>
          <w:lang w:val="en-US" w:eastAsia="zh-CN"/>
        </w:rPr>
        <w:t>第四节 推动“农业+”全产业链融合发展</w:t>
      </w:r>
      <w:bookmarkEnd w:id="89"/>
      <w:bookmarkEnd w:id="90"/>
      <w:bookmarkEnd w:id="91"/>
    </w:p>
    <w:p>
      <w:pPr>
        <w:spacing w:line="600" w:lineRule="exact"/>
        <w:ind w:firstLine="666" w:firstLineChars="200"/>
        <w:rPr>
          <w:rFonts w:ascii="黑体" w:hAnsi="黑体" w:eastAsia="黑体"/>
          <w:sz w:val="32"/>
          <w:szCs w:val="32"/>
          <w:highlight w:val="none"/>
        </w:rPr>
      </w:pPr>
      <w:bookmarkStart w:id="92" w:name="_Toc12800"/>
      <w:bookmarkStart w:id="93" w:name="_Toc3110"/>
      <w:r>
        <w:rPr>
          <w:rFonts w:hint="eastAsia" w:ascii="楷体" w:hAnsi="楷体" w:eastAsia="楷体" w:cs="楷体"/>
          <w:b/>
          <w:bCs/>
          <w:sz w:val="32"/>
          <w:szCs w:val="32"/>
          <w:highlight w:val="none"/>
        </w:rPr>
        <w:t>推动农村产业融合发展，完善农业社会化服务体系。</w:t>
      </w:r>
      <w:r>
        <w:rPr>
          <w:rFonts w:hint="eastAsia" w:ascii="仿宋_GB2312" w:hAnsi="仿宋_GB2312" w:eastAsia="仿宋_GB2312" w:cs="仿宋_GB2312"/>
          <w:sz w:val="32"/>
          <w:szCs w:val="32"/>
          <w:highlight w:val="none"/>
        </w:rPr>
        <w:t>以“农头工尾”为抓手</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重点发展鲜食玉米、绿色水稻等特色农产品精深加工，引导壹佰加蔬菜生产基地项目延伸深加工链条，为生猪养殖项目招引配套屠宰生产线，努力推动农业三产融合实现农产品多层次、多环节转化增值。提升加强社会化服务组织的服务水平</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重点围绕农机服务、测土配方施肥、病虫害统防统治、烘干仓储、农资供应、饲料配送等新型服务业态</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大力推行“订单式”“全程式”</w:t>
      </w:r>
      <w:r>
        <w:rPr>
          <w:rFonts w:hint="eastAsia" w:ascii="仿宋_GB2312" w:hAnsi="仿宋_GB2312" w:eastAsia="仿宋_GB2312" w:cs="仿宋_GB2312"/>
          <w:sz w:val="32"/>
          <w:szCs w:val="32"/>
          <w:highlight w:val="none"/>
          <w:lang w:eastAsia="zh-CN"/>
        </w:rPr>
        <w:t>生产托管</w:t>
      </w:r>
      <w:r>
        <w:rPr>
          <w:rFonts w:hint="eastAsia" w:ascii="仿宋_GB2312" w:hAnsi="仿宋_GB2312" w:eastAsia="仿宋_GB2312" w:cs="仿宋_GB2312"/>
          <w:sz w:val="32"/>
          <w:szCs w:val="32"/>
          <w:highlight w:val="none"/>
        </w:rPr>
        <w:t>服务。</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kern w:val="0"/>
          <w:lang w:val="en-US" w:eastAsia="zh-CN"/>
        </w:rPr>
      </w:pPr>
      <w:bookmarkStart w:id="94" w:name="_Toc5803"/>
      <w:r>
        <w:rPr>
          <w:rFonts w:hint="eastAsia"/>
          <w:kern w:val="0"/>
          <w:lang w:val="en-US" w:eastAsia="zh-CN"/>
        </w:rPr>
        <w:t>第五节 推动农业农村改革向纵深发展</w:t>
      </w:r>
      <w:bookmarkEnd w:id="92"/>
      <w:bookmarkEnd w:id="93"/>
      <w:bookmarkEnd w:id="94"/>
    </w:p>
    <w:p>
      <w:pPr>
        <w:spacing w:line="600" w:lineRule="exact"/>
        <w:ind w:firstLine="666" w:firstLineChars="200"/>
        <w:rPr>
          <w:rFonts w:ascii="仿宋_GB2312" w:hAnsi="仿宋_GB2312" w:eastAsia="仿宋_GB2312" w:cs="仿宋_GB2312"/>
          <w:sz w:val="32"/>
          <w:szCs w:val="32"/>
          <w:highlight w:val="none"/>
        </w:rPr>
      </w:pPr>
      <w:bookmarkStart w:id="95" w:name="_Toc10449"/>
      <w:bookmarkStart w:id="96" w:name="_Toc29132"/>
      <w:bookmarkStart w:id="97" w:name="_Toc22578"/>
      <w:r>
        <w:rPr>
          <w:rFonts w:hint="eastAsia" w:ascii="楷体" w:hAnsi="楷体" w:eastAsia="楷体" w:cs="楷体"/>
          <w:b/>
          <w:bCs/>
          <w:sz w:val="32"/>
          <w:szCs w:val="32"/>
          <w:highlight w:val="none"/>
        </w:rPr>
        <w:t>巩固和完善农村基本经营制度，促进新型经营主体同乡村振兴有效衔接。</w:t>
      </w:r>
      <w:r>
        <w:rPr>
          <w:rFonts w:hint="eastAsia" w:ascii="仿宋_GB2312" w:hAnsi="仿宋_GB2312" w:eastAsia="仿宋_GB2312" w:cs="仿宋_GB2312"/>
          <w:sz w:val="32"/>
          <w:szCs w:val="32"/>
          <w:highlight w:val="none"/>
        </w:rPr>
        <w:t>高质量贯彻落实好农业农村发展政策</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开展农地非农化保护工作，切实保护农民和农村集体土地权益。依托现有新型经营主体组织，鼓励农民专业合作社走整村推进、联合办社、跨村办社的组团发展新路子，加快全区农业生产托管服务，作为未来实现农业现代化规模生产主要途径。强化扶贫工作后续扶持，增强脱贫内生动力和发展能力，逐步完善农村基础设施建设，改善农村人居环境，推动乡村振兴发展。</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rPr>
          <w:rFonts w:hint="eastAsia" w:asciiTheme="majorEastAsia" w:hAnsiTheme="majorEastAsia" w:eastAsiaTheme="majorEastAsia" w:cstheme="majorEastAsia"/>
          <w:kern w:val="44"/>
        </w:rPr>
      </w:pPr>
      <w:bookmarkStart w:id="98" w:name="_Toc13751"/>
      <w:r>
        <w:rPr>
          <w:rFonts w:hint="eastAsia" w:asciiTheme="majorEastAsia" w:hAnsiTheme="majorEastAsia" w:eastAsiaTheme="majorEastAsia" w:cstheme="majorEastAsia"/>
          <w:kern w:val="44"/>
          <w:lang w:val="en-US" w:eastAsia="zh-CN"/>
        </w:rPr>
        <w:t xml:space="preserve">第四章 </w:t>
      </w:r>
      <w:r>
        <w:rPr>
          <w:rFonts w:hint="eastAsia" w:asciiTheme="majorEastAsia" w:hAnsiTheme="majorEastAsia" w:eastAsiaTheme="majorEastAsia" w:cstheme="majorEastAsia"/>
          <w:kern w:val="44"/>
          <w:lang w:eastAsia="zh-CN"/>
        </w:rPr>
        <w:t>坚持创新驱动发展</w:t>
      </w:r>
      <w:r>
        <w:rPr>
          <w:rFonts w:hint="eastAsia" w:asciiTheme="majorEastAsia" w:hAnsiTheme="majorEastAsia" w:eastAsiaTheme="majorEastAsia" w:cstheme="majorEastAsia"/>
          <w:kern w:val="44"/>
          <w:lang w:val="en-US" w:eastAsia="zh-CN"/>
        </w:rPr>
        <w:t xml:space="preserve"> </w:t>
      </w:r>
      <w:r>
        <w:rPr>
          <w:rFonts w:hint="eastAsia" w:asciiTheme="majorEastAsia" w:hAnsiTheme="majorEastAsia" w:eastAsiaTheme="majorEastAsia" w:cstheme="majorEastAsia"/>
          <w:kern w:val="44"/>
        </w:rPr>
        <w:t>加速科技成果高质量</w:t>
      </w:r>
      <w:bookmarkEnd w:id="95"/>
      <w:bookmarkEnd w:id="96"/>
      <w:bookmarkEnd w:id="97"/>
      <w:bookmarkEnd w:id="98"/>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rPr>
          <w:rFonts w:hint="eastAsia" w:asciiTheme="majorEastAsia" w:hAnsiTheme="majorEastAsia" w:eastAsiaTheme="majorEastAsia" w:cstheme="majorEastAsia"/>
          <w:b w:val="0"/>
          <w:bCs w:val="0"/>
          <w:sz w:val="32"/>
          <w:szCs w:val="32"/>
          <w:highlight w:val="none"/>
          <w:lang w:val="en-US" w:eastAsia="zh-CN"/>
        </w:rPr>
      </w:pPr>
      <w:bookmarkStart w:id="99" w:name="_Toc14709"/>
      <w:bookmarkStart w:id="100" w:name="_Toc16217"/>
      <w:bookmarkStart w:id="101" w:name="_Toc4143"/>
      <w:bookmarkStart w:id="102" w:name="_Toc6148"/>
      <w:bookmarkStart w:id="103" w:name="_Toc2656"/>
      <w:r>
        <w:rPr>
          <w:rFonts w:hint="eastAsia" w:asciiTheme="majorEastAsia" w:hAnsiTheme="majorEastAsia" w:eastAsiaTheme="majorEastAsia" w:cstheme="majorEastAsia"/>
          <w:kern w:val="44"/>
        </w:rPr>
        <w:t>就地转化</w:t>
      </w:r>
      <w:bookmarkEnd w:id="99"/>
      <w:bookmarkEnd w:id="100"/>
      <w:bookmarkEnd w:id="101"/>
      <w:bookmarkEnd w:id="102"/>
      <w:bookmarkEnd w:id="103"/>
    </w:p>
    <w:p>
      <w:pPr>
        <w:spacing w:line="600" w:lineRule="exact"/>
        <w:ind w:firstLine="666" w:firstLineChars="200"/>
        <w:contextualSpacing/>
        <w:rPr>
          <w:rFonts w:ascii="仿宋_GB2312" w:hAnsi="仿宋_GB2312" w:eastAsia="仿宋_GB2312" w:cs="仿宋_GB2312"/>
          <w:sz w:val="32"/>
          <w:szCs w:val="32"/>
        </w:rPr>
      </w:pPr>
      <w:bookmarkStart w:id="104" w:name="_Toc16038"/>
      <w:bookmarkStart w:id="105" w:name="_Toc15682"/>
      <w:r>
        <w:rPr>
          <w:rFonts w:hint="eastAsia" w:ascii="仿宋_GB2312" w:hAnsi="仿宋_GB2312" w:eastAsia="仿宋_GB2312" w:cs="仿宋_GB2312"/>
          <w:sz w:val="32"/>
          <w:szCs w:val="32"/>
        </w:rPr>
        <w:t>把增强科技创新能力，加快构建人才智力支撑体系作为加快结构调整、加速产业升级、促进兴安转型的关键。推动经济社会发展由主要依靠投资和要素驱动向创新、投资、要素协同驱动转变，推动发展动能向依靠科技进步、发展方式转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强化产业链、服务链、资金链对接，构建新型创新体系，重塑竞争发展新优势。</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default" w:ascii="仿宋_GB2312" w:hAnsi="仿宋_GB2312" w:eastAsia="仿宋_GB2312" w:cs="仿宋_GB2312"/>
          <w:b w:val="0"/>
          <w:bCs w:val="0"/>
          <w:sz w:val="32"/>
          <w:szCs w:val="32"/>
          <w:highlight w:val="none"/>
          <w:lang w:val="en-US" w:eastAsia="zh-CN"/>
        </w:rPr>
      </w:pPr>
      <w:bookmarkStart w:id="106" w:name="_Toc31404"/>
      <w:r>
        <w:rPr>
          <w:rFonts w:hint="eastAsia"/>
          <w:kern w:val="0"/>
          <w:lang w:val="en-US" w:eastAsia="zh-CN"/>
        </w:rPr>
        <w:t xml:space="preserve">第一节 </w:t>
      </w:r>
      <w:bookmarkStart w:id="107" w:name="_Toc22701"/>
      <w:r>
        <w:rPr>
          <w:rFonts w:hint="eastAsia"/>
          <w:kern w:val="0"/>
          <w:lang w:val="en-US" w:eastAsia="zh-CN"/>
        </w:rPr>
        <w:t>增强科技创新能力</w:t>
      </w:r>
      <w:bookmarkEnd w:id="104"/>
      <w:bookmarkEnd w:id="105"/>
      <w:bookmarkEnd w:id="106"/>
      <w:bookmarkEnd w:id="107"/>
    </w:p>
    <w:p>
      <w:pPr>
        <w:spacing w:after="0" w:line="600" w:lineRule="exact"/>
        <w:ind w:firstLine="666" w:firstLineChars="200"/>
        <w:contextualSpacing/>
        <w:jc w:val="both"/>
        <w:rPr>
          <w:rFonts w:ascii="仿宋_GB2312" w:hAnsi="仿宋_GB2312" w:eastAsia="仿宋_GB2312" w:cs="仿宋_GB2312"/>
          <w:bCs/>
          <w:color w:val="000000"/>
          <w:kern w:val="0"/>
          <w:sz w:val="32"/>
          <w:szCs w:val="32"/>
        </w:rPr>
      </w:pPr>
      <w:bookmarkStart w:id="108" w:name="_Toc30226"/>
      <w:bookmarkStart w:id="109" w:name="_Toc12083"/>
      <w:r>
        <w:rPr>
          <w:rFonts w:hint="eastAsia" w:ascii="楷体" w:hAnsi="楷体" w:eastAsia="楷体" w:cs="楷体"/>
          <w:b/>
          <w:color w:val="000000"/>
          <w:kern w:val="0"/>
          <w:sz w:val="32"/>
          <w:szCs w:val="32"/>
        </w:rPr>
        <w:t>创新优化环境，壮大科技企业数量。</w:t>
      </w:r>
      <w:r>
        <w:rPr>
          <w:rFonts w:hint="eastAsia" w:ascii="仿宋_GB2312" w:hAnsi="仿宋_GB2312" w:eastAsia="仿宋_GB2312" w:cs="仿宋_GB2312"/>
          <w:sz w:val="32"/>
          <w:szCs w:val="32"/>
        </w:rPr>
        <w:t>抢抓全省高新技术企业倍增行动和科技“小巨人”企业培育计划政策机遇，加快推进新一轮科技型企业三年行动计划，</w:t>
      </w:r>
      <w:r>
        <w:rPr>
          <w:rFonts w:hint="eastAsia" w:ascii="仿宋_GB2312" w:hAnsi="仿宋_GB2312" w:eastAsia="仿宋_GB2312" w:cs="仿宋_GB2312"/>
          <w:bCs/>
          <w:color w:val="000000"/>
          <w:kern w:val="0"/>
          <w:sz w:val="32"/>
          <w:szCs w:val="32"/>
        </w:rPr>
        <w:t>建立支持科技创新的政策体系，完善鼓励科技创新的配套政策措施。</w:t>
      </w:r>
      <w:r>
        <w:rPr>
          <w:rFonts w:hint="eastAsia" w:ascii="仿宋_GB2312" w:hAnsi="仿宋_GB2312" w:eastAsia="仿宋_GB2312" w:cs="仿宋_GB2312"/>
          <w:sz w:val="32"/>
          <w:szCs w:val="32"/>
        </w:rPr>
        <w:t>加大对研发型企业帮扶支持力度，重点培育孵化一批科技创新企业。优化创新创业环境，</w:t>
      </w:r>
      <w:r>
        <w:rPr>
          <w:rFonts w:hint="eastAsia" w:ascii="仿宋_GB2312" w:hAnsi="仿宋_GB2312" w:eastAsia="仿宋_GB2312" w:cs="仿宋_GB2312"/>
          <w:sz w:val="32"/>
          <w:szCs w:val="32"/>
          <w:lang w:val="en-US" w:eastAsia="zh-CN"/>
        </w:rPr>
        <w:t>落实“工会创业贷”工作，</w:t>
      </w:r>
      <w:r>
        <w:rPr>
          <w:rFonts w:hint="eastAsia" w:ascii="仿宋_GB2312" w:hAnsi="仿宋_GB2312" w:eastAsia="仿宋_GB2312" w:cs="仿宋_GB2312"/>
          <w:sz w:val="32"/>
          <w:szCs w:val="32"/>
        </w:rPr>
        <w:t>健全考核机制，保障相关优惠</w:t>
      </w:r>
      <w:r>
        <w:rPr>
          <w:rFonts w:hint="eastAsia" w:ascii="仿宋_GB2312" w:hAnsi="仿宋_GB2312" w:eastAsia="仿宋_GB2312" w:cs="仿宋_GB2312"/>
          <w:bCs/>
          <w:color w:val="000000"/>
          <w:kern w:val="0"/>
          <w:sz w:val="32"/>
          <w:szCs w:val="32"/>
        </w:rPr>
        <w:t>政策落实到位。</w:t>
      </w:r>
      <w:r>
        <w:rPr>
          <w:rFonts w:hint="eastAsia" w:ascii="仿宋_GB2312" w:hAnsi="仿宋_GB2312" w:eastAsia="仿宋_GB2312" w:cs="仿宋_GB2312"/>
          <w:sz w:val="32"/>
          <w:szCs w:val="32"/>
        </w:rPr>
        <w:t>到2025年，</w:t>
      </w:r>
      <w:r>
        <w:rPr>
          <w:rFonts w:hint="eastAsia" w:ascii="仿宋_GB2312" w:hAnsi="仿宋_GB2312" w:eastAsia="仿宋_GB2312" w:cs="仿宋_GB2312"/>
          <w:sz w:val="32"/>
          <w:szCs w:val="32"/>
          <w:lang w:eastAsia="zh-CN"/>
        </w:rPr>
        <w:t>实现每年新增</w:t>
      </w:r>
      <w:r>
        <w:rPr>
          <w:rFonts w:hint="eastAsia" w:ascii="仿宋_GB2312" w:hAnsi="仿宋_GB2312" w:eastAsia="仿宋_GB2312" w:cs="仿宋_GB2312"/>
          <w:sz w:val="32"/>
          <w:szCs w:val="32"/>
        </w:rPr>
        <w:t>国家高新技术企业</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科技型企业</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家。</w:t>
      </w:r>
    </w:p>
    <w:p>
      <w:pPr>
        <w:spacing w:after="0" w:line="600" w:lineRule="exact"/>
        <w:ind w:firstLine="666" w:firstLineChars="200"/>
        <w:contextualSpacing/>
        <w:jc w:val="both"/>
        <w:rPr>
          <w:rFonts w:hint="eastAsia" w:ascii="仿宋_GB2312" w:hAnsi="仿宋_GB2312" w:eastAsia="仿宋_GB2312" w:cs="仿宋_GB2312"/>
          <w:sz w:val="32"/>
          <w:szCs w:val="32"/>
        </w:rPr>
      </w:pPr>
      <w:r>
        <w:rPr>
          <w:rFonts w:hint="eastAsia" w:ascii="楷体" w:hAnsi="楷体" w:eastAsia="楷体" w:cs="楷体"/>
          <w:b/>
          <w:color w:val="000000"/>
          <w:kern w:val="0"/>
          <w:sz w:val="32"/>
          <w:szCs w:val="32"/>
        </w:rPr>
        <w:t>创新主体培育，</w:t>
      </w:r>
      <w:r>
        <w:rPr>
          <w:rFonts w:hint="eastAsia" w:ascii="楷体" w:hAnsi="楷体" w:eastAsia="楷体" w:cs="楷体"/>
          <w:b/>
          <w:color w:val="000000"/>
          <w:kern w:val="0"/>
          <w:sz w:val="32"/>
          <w:szCs w:val="32"/>
          <w:lang w:eastAsia="zh-CN"/>
        </w:rPr>
        <w:t>加强产业要素集聚</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针对创新产业集聚和创新支撑条件改善两方面进行提升。在创新产业集聚方面，根据我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创新产业与企业发展特色，强化企业自主创新主体地位，做大做强高新技术企业，坚持数量扩张与提升创新能力并重</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创新支撑条件改善方面，以建设具有较强吸引力的人居环境为主要发展目标，构建内畅外联的交通圈，营造活力开放的生活圈，培育绿水青山的生态圈，并针对不同人群需求，推动人居环境与生态环境提升，塑造高品质创新环境，吸引创新要素集聚。</w:t>
      </w:r>
    </w:p>
    <w:p>
      <w:pPr>
        <w:spacing w:line="600" w:lineRule="exact"/>
        <w:ind w:firstLine="666" w:firstLineChars="200"/>
        <w:rPr>
          <w:rFonts w:hint="eastAsia" w:ascii="仿宋_GB2312" w:hAnsi="仿宋_GB2312" w:eastAsia="仿宋_GB2312" w:cs="仿宋_GB2312"/>
          <w:sz w:val="32"/>
          <w:szCs w:val="32"/>
        </w:rPr>
      </w:pPr>
      <w:r>
        <w:rPr>
          <w:rFonts w:hint="eastAsia" w:ascii="楷体" w:hAnsi="楷体" w:eastAsia="楷体" w:cs="楷体"/>
          <w:b/>
          <w:color w:val="000000"/>
          <w:kern w:val="0"/>
          <w:sz w:val="32"/>
          <w:szCs w:val="32"/>
        </w:rPr>
        <w:t>融入产业创新驱动发展战略，</w:t>
      </w:r>
      <w:r>
        <w:rPr>
          <w:rFonts w:hint="eastAsia" w:ascii="仿宋_GB2312" w:hAnsi="仿宋_GB2312" w:eastAsia="仿宋_GB2312" w:cs="仿宋_GB2312"/>
          <w:sz w:val="32"/>
          <w:szCs w:val="32"/>
        </w:rPr>
        <w:t>贯彻省委“抓数字经济”工作要求，以加强基础研究和源头创新、加快产业技术研发和成果转化为抓手，着力推动重大基础设施、技术创新中心、技术服务平台体系功能的载体建设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主动学习并积极探索抓好新型数字经济的措施办法，积极发展现代农业、智慧城市、电子商务等产业，提升转型发展的核心驱动力。</w:t>
      </w:r>
    </w:p>
    <w:p>
      <w:pPr>
        <w:spacing w:line="600" w:lineRule="exact"/>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通过“政府搭台、部门推动”的方式，引导企业主动与高等院校、科研院所开展科技合作，提升核心竞争力。以</w:t>
      </w:r>
      <w:r>
        <w:rPr>
          <w:rFonts w:hint="eastAsia" w:ascii="仿宋_GB2312" w:hAnsi="仿宋_GB2312" w:eastAsia="仿宋_GB2312" w:cs="仿宋_GB2312"/>
          <w:sz w:val="32"/>
          <w:szCs w:val="32"/>
          <w:lang w:eastAsia="zh-CN"/>
        </w:rPr>
        <w:t>兴安区</w:t>
      </w:r>
      <w:r>
        <w:rPr>
          <w:rFonts w:hint="default" w:ascii="仿宋_GB2312" w:hAnsi="仿宋_GB2312" w:eastAsia="仿宋_GB2312" w:cs="仿宋_GB2312"/>
          <w:sz w:val="32"/>
          <w:szCs w:val="32"/>
          <w:lang w:eastAsia="zh-CN"/>
        </w:rPr>
        <w:t>在外人才为纽带，</w:t>
      </w:r>
      <w:r>
        <w:rPr>
          <w:rFonts w:hint="eastAsia" w:ascii="仿宋_GB2312" w:hAnsi="仿宋_GB2312" w:eastAsia="仿宋_GB2312" w:cs="仿宋_GB2312"/>
          <w:sz w:val="32"/>
          <w:szCs w:val="32"/>
          <w:lang w:eastAsia="zh-CN"/>
        </w:rPr>
        <w:t>与</w:t>
      </w:r>
      <w:r>
        <w:rPr>
          <w:rFonts w:hint="default" w:ascii="仿宋_GB2312" w:hAnsi="仿宋_GB2312" w:eastAsia="仿宋_GB2312" w:cs="仿宋_GB2312"/>
          <w:sz w:val="32"/>
          <w:szCs w:val="32"/>
          <w:lang w:eastAsia="zh-CN"/>
        </w:rPr>
        <w:t>建立合作关系的高等院校、科研院所为基础，充分发挥政府的引导和推动作用，全面深入拓展科技合作的领域和空间</w:t>
      </w:r>
      <w:r>
        <w:rPr>
          <w:rFonts w:hint="eastAsia" w:ascii="仿宋_GB2312" w:hAnsi="仿宋_GB2312" w:eastAsia="仿宋_GB2312" w:cs="仿宋_GB2312"/>
          <w:sz w:val="32"/>
          <w:szCs w:val="32"/>
          <w:lang w:eastAsia="zh-CN"/>
        </w:rPr>
        <w:t>。</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ascii="仿宋_GB2312" w:hAnsi="仿宋_GB2312" w:eastAsia="仿宋_GB2312" w:cs="仿宋_GB2312"/>
          <w:b w:val="0"/>
          <w:bCs w:val="0"/>
          <w:sz w:val="32"/>
          <w:szCs w:val="32"/>
          <w:highlight w:val="none"/>
          <w:lang w:val="en-US" w:eastAsia="zh-CN"/>
        </w:rPr>
      </w:pPr>
      <w:bookmarkStart w:id="110" w:name="_Toc28539"/>
      <w:bookmarkStart w:id="111" w:name="_Toc5087"/>
      <w:r>
        <w:rPr>
          <w:rFonts w:hint="eastAsia"/>
          <w:kern w:val="0"/>
          <w:lang w:val="en-US" w:eastAsia="zh-CN"/>
        </w:rPr>
        <w:t>第二节 强化人才支撑作用</w:t>
      </w:r>
      <w:bookmarkEnd w:id="108"/>
      <w:bookmarkEnd w:id="109"/>
      <w:bookmarkEnd w:id="110"/>
      <w:bookmarkEnd w:id="111"/>
    </w:p>
    <w:p>
      <w:pPr>
        <w:spacing w:line="600" w:lineRule="exact"/>
        <w:ind w:firstLine="666" w:firstLineChars="200"/>
        <w:rPr>
          <w:rFonts w:ascii="仿宋_GB2312" w:hAnsi="仿宋_GB2312" w:eastAsia="仿宋_GB2312" w:cs="仿宋_GB2312"/>
          <w:sz w:val="32"/>
          <w:szCs w:val="32"/>
        </w:rPr>
      </w:pPr>
      <w:bookmarkStart w:id="112" w:name="_Toc56076246"/>
      <w:r>
        <w:rPr>
          <w:rFonts w:hint="eastAsia" w:ascii="楷体" w:hAnsi="楷体" w:eastAsia="楷体" w:cs="楷体"/>
          <w:b/>
          <w:color w:val="000000"/>
          <w:kern w:val="0"/>
          <w:sz w:val="32"/>
          <w:szCs w:val="32"/>
        </w:rPr>
        <w:t>建立人才服务机制。</w:t>
      </w:r>
      <w:r>
        <w:rPr>
          <w:rFonts w:hint="eastAsia" w:ascii="仿宋_GB2312" w:hAnsi="仿宋_GB2312" w:eastAsia="仿宋_GB2312" w:cs="仿宋_GB2312"/>
          <w:bCs/>
          <w:color w:val="000000"/>
          <w:kern w:val="0"/>
          <w:sz w:val="32"/>
          <w:szCs w:val="32"/>
        </w:rPr>
        <w:t>加强党对人才工作的领导，落实好各项引进人才政策。</w:t>
      </w:r>
      <w:r>
        <w:rPr>
          <w:rFonts w:hint="eastAsia" w:ascii="仿宋_GB2312" w:hAnsi="仿宋_GB2312" w:eastAsia="仿宋_GB2312" w:cs="仿宋_GB2312"/>
          <w:sz w:val="32"/>
          <w:szCs w:val="32"/>
        </w:rPr>
        <w:t>着眼全市“五大产业”和兴安“五型新区”发展方向，</w:t>
      </w:r>
      <w:r>
        <w:rPr>
          <w:rFonts w:hint="eastAsia" w:ascii="仿宋_GB2312" w:hAnsi="仿宋_GB2312" w:eastAsia="仿宋_GB2312" w:cs="仿宋_GB2312"/>
          <w:bCs/>
          <w:color w:val="000000"/>
          <w:kern w:val="0"/>
          <w:sz w:val="32"/>
          <w:szCs w:val="32"/>
        </w:rPr>
        <w:t>加大选调生和人才引进力度，</w:t>
      </w:r>
      <w:r>
        <w:rPr>
          <w:rFonts w:hint="eastAsia" w:ascii="仿宋_GB2312" w:hAnsi="仿宋_GB2312" w:eastAsia="仿宋_GB2312" w:cs="仿宋_GB2312"/>
          <w:sz w:val="32"/>
          <w:szCs w:val="32"/>
        </w:rPr>
        <w:t>有针对性的采取定向招录、柔性引进等方式，来招引学历高、素质好、能力强的人才走进兴安、建设兴安。坚持让专业人做专业事，把人才放在匹配度更高的岗位去使用，</w:t>
      </w:r>
      <w:r>
        <w:rPr>
          <w:rFonts w:hint="eastAsia" w:ascii="仿宋_GB2312" w:hAnsi="仿宋_GB2312" w:eastAsia="仿宋_GB2312" w:cs="仿宋_GB2312"/>
          <w:sz w:val="32"/>
          <w:szCs w:val="32"/>
          <w:lang w:eastAsia="zh-CN"/>
        </w:rPr>
        <w:t>同时避免人才流失，</w:t>
      </w:r>
      <w:r>
        <w:rPr>
          <w:rFonts w:hint="eastAsia" w:ascii="仿宋_GB2312" w:hAnsi="仿宋_GB2312" w:eastAsia="仿宋_GB2312" w:cs="仿宋_GB2312"/>
          <w:sz w:val="32"/>
          <w:szCs w:val="32"/>
        </w:rPr>
        <w:t>切实发挥最大化效用，让人才有用武之地。</w:t>
      </w:r>
    </w:p>
    <w:p>
      <w:pPr>
        <w:spacing w:line="600" w:lineRule="exact"/>
        <w:ind w:firstLine="666" w:firstLineChars="200"/>
        <w:rPr>
          <w:rFonts w:ascii="仿宋_GB2312" w:hAnsi="仿宋_GB2312" w:eastAsia="仿宋_GB2312" w:cs="仿宋_GB2312"/>
          <w:bCs/>
          <w:color w:val="000000"/>
          <w:kern w:val="0"/>
          <w:sz w:val="32"/>
          <w:szCs w:val="32"/>
        </w:rPr>
      </w:pPr>
      <w:r>
        <w:rPr>
          <w:rFonts w:hint="eastAsia" w:ascii="楷体" w:hAnsi="楷体" w:eastAsia="楷体" w:cs="楷体"/>
          <w:b/>
          <w:color w:val="000000"/>
          <w:kern w:val="0"/>
          <w:sz w:val="32"/>
          <w:szCs w:val="32"/>
        </w:rPr>
        <w:t>激发创新发展新活力。</w:t>
      </w:r>
      <w:r>
        <w:rPr>
          <w:rFonts w:hint="eastAsia" w:ascii="仿宋_GB2312" w:hAnsi="仿宋_GB2312" w:eastAsia="仿宋_GB2312" w:cs="仿宋_GB2312"/>
          <w:bCs/>
          <w:color w:val="000000"/>
          <w:kern w:val="0"/>
          <w:sz w:val="32"/>
          <w:szCs w:val="32"/>
        </w:rPr>
        <w:t>优化人才培养、引进、激励、评价机制，采取“订单”培养模式，加强技能型、实用性人才培养。鼓励科技人员在企业与科研院校之间双向兼职和流动，支持科技型人才创新创业。健全技术要素与分配奖励机制</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使科技人员的创造性劳动获得社会的认可与尊重</w:t>
      </w:r>
      <w:r>
        <w:rPr>
          <w:rFonts w:hint="eastAsia" w:ascii="仿宋_GB2312" w:hAnsi="仿宋_GB2312" w:eastAsia="仿宋_GB2312" w:cs="仿宋_GB2312"/>
          <w:bCs/>
          <w:color w:val="000000"/>
          <w:kern w:val="0"/>
          <w:sz w:val="32"/>
          <w:szCs w:val="32"/>
          <w:lang w:eastAsia="zh-CN"/>
        </w:rPr>
        <w:t>。加强技能人才和产业工人队伍建设，形成栓心留人的良好环境</w:t>
      </w:r>
      <w:r>
        <w:rPr>
          <w:rFonts w:hint="eastAsia" w:ascii="仿宋_GB2312" w:hAnsi="仿宋_GB2312" w:eastAsia="仿宋_GB2312" w:cs="仿宋_GB2312"/>
          <w:bCs/>
          <w:color w:val="000000"/>
          <w:kern w:val="0"/>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98" w:beforeLines="100" w:after="298" w:afterLines="100" w:line="600" w:lineRule="exact"/>
        <w:jc w:val="center"/>
        <w:textAlignment w:val="auto"/>
        <w:outlineLvl w:val="1"/>
        <w:rPr>
          <w:rFonts w:hint="eastAsia" w:ascii="黑体" w:hAnsi="黑体" w:eastAsia="黑体" w:cs="黑体"/>
          <w:sz w:val="32"/>
          <w:szCs w:val="32"/>
          <w:lang w:val="en-US" w:eastAsia="zh-CN"/>
        </w:rPr>
      </w:pPr>
      <w:bookmarkStart w:id="113" w:name="_Toc11057"/>
      <w:bookmarkStart w:id="114" w:name="_Toc10876"/>
      <w:r>
        <w:rPr>
          <w:rFonts w:hint="eastAsia" w:ascii="黑体" w:hAnsi="黑体" w:eastAsia="黑体" w:cs="黑体"/>
          <w:sz w:val="32"/>
          <w:szCs w:val="32"/>
          <w:lang w:val="en-US" w:eastAsia="zh-CN"/>
        </w:rPr>
        <w:t>第三节 全力打造“双创”升级版</w:t>
      </w:r>
      <w:bookmarkEnd w:id="113"/>
      <w:bookmarkEnd w:id="114"/>
    </w:p>
    <w:bookmarkEnd w:id="112"/>
    <w:p>
      <w:pPr>
        <w:spacing w:after="0" w:line="600" w:lineRule="exact"/>
        <w:ind w:firstLine="666" w:firstLineChars="200"/>
        <w:jc w:val="both"/>
        <w:rPr>
          <w:rFonts w:ascii="仿宋_GB2312" w:hAnsi="仿宋_GB2312" w:eastAsia="仿宋_GB2312" w:cs="仿宋_GB2312"/>
          <w:sz w:val="32"/>
          <w:szCs w:val="32"/>
        </w:rPr>
      </w:pPr>
      <w:bookmarkStart w:id="115" w:name="_Toc29614"/>
      <w:bookmarkStart w:id="116" w:name="_Toc30788"/>
      <w:r>
        <w:rPr>
          <w:rFonts w:hint="eastAsia" w:ascii="仿宋_GB2312" w:hAnsi="仿宋_GB2312" w:eastAsia="仿宋_GB2312" w:cs="仿宋_GB2312"/>
          <w:sz w:val="32"/>
          <w:szCs w:val="32"/>
        </w:rPr>
        <w:t>全面落实国家和省、市关于支持科技创新政策，凝聚社会力量推动创新创业。</w:t>
      </w:r>
      <w:r>
        <w:rPr>
          <w:rFonts w:hint="eastAsia" w:ascii="仿宋" w:hAnsi="仿宋" w:eastAsia="仿宋" w:cs="仿宋_GB2312"/>
          <w:color w:val="000000" w:themeColor="text1"/>
          <w:sz w:val="32"/>
          <w:szCs w:val="32"/>
          <w14:textFill>
            <w14:solidFill>
              <w14:schemeClr w14:val="tx1"/>
            </w14:solidFill>
          </w14:textFill>
        </w:rPr>
        <w:t>加强电子商务市场主体培育，建设区域型特色化电商平台，</w:t>
      </w:r>
      <w:r>
        <w:rPr>
          <w:rFonts w:hint="eastAsia" w:ascii="仿宋_GB2312" w:hAnsi="仿宋_GB2312" w:eastAsia="仿宋_GB2312" w:cs="仿宋_GB2312"/>
          <w:sz w:val="32"/>
          <w:szCs w:val="32"/>
        </w:rPr>
        <w:t>支持企业利用互联网开展电子商务业务，拓展销售渠道。加快“众创空间—孵化器—加速器”科技企业孵化体系建设，孵化培育一批科技型企业。鼓励引导煤矿业主再次创业，对形成资本积累、有创业前景的给予政策扶持和要素服务。到2025年，</w:t>
      </w:r>
      <w:r>
        <w:rPr>
          <w:rFonts w:hint="eastAsia" w:ascii="仿宋_GB2312" w:hAnsi="仿宋_GB2312" w:eastAsia="仿宋_GB2312" w:cs="仿宋_GB2312"/>
          <w:sz w:val="32"/>
          <w:szCs w:val="32"/>
          <w:lang w:eastAsia="zh-CN"/>
        </w:rPr>
        <w:t>将兴安双创孵化基地打造成省级孵化基地，</w:t>
      </w:r>
      <w:r>
        <w:rPr>
          <w:rFonts w:hint="eastAsia" w:ascii="仿宋_GB2312" w:hAnsi="仿宋_GB2312" w:eastAsia="仿宋_GB2312" w:cs="仿宋_GB2312"/>
          <w:sz w:val="32"/>
          <w:szCs w:val="32"/>
        </w:rPr>
        <w:t>入孵企业累计达到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户，电商交易额突破</w:t>
      </w:r>
      <w:r>
        <w:rPr>
          <w:rFonts w:hint="eastAsia" w:ascii="仿宋_GB2312" w:hAnsi="仿宋_GB2312" w:eastAsia="仿宋_GB2312" w:cs="仿宋_GB2312"/>
          <w:sz w:val="32"/>
          <w:szCs w:val="32"/>
          <w:lang w:val="en-US" w:eastAsia="zh-CN"/>
        </w:rPr>
        <w:t>5000万</w:t>
      </w:r>
      <w:r>
        <w:rPr>
          <w:rFonts w:hint="eastAsia" w:ascii="仿宋_GB2312" w:hAnsi="仿宋_GB2312" w:eastAsia="仿宋_GB2312" w:cs="仿宋_GB2312"/>
          <w:sz w:val="32"/>
          <w:szCs w:val="32"/>
        </w:rPr>
        <w:t>元。</w:t>
      </w:r>
    </w:p>
    <w:p>
      <w:pPr>
        <w:pStyle w:val="4"/>
        <w:pageBreakBefore w:val="0"/>
        <w:numPr>
          <w:ilvl w:val="0"/>
          <w:numId w:val="3"/>
        </w:numPr>
        <w:kinsoku/>
        <w:wordWrap/>
        <w:overflowPunct/>
        <w:topLinePunct w:val="0"/>
        <w:autoSpaceDE/>
        <w:autoSpaceDN/>
        <w:bidi w:val="0"/>
        <w:spacing w:line="600" w:lineRule="exact"/>
        <w:jc w:val="center"/>
        <w:textAlignment w:val="auto"/>
        <w:outlineLvl w:val="0"/>
        <w:rPr>
          <w:rFonts w:hint="eastAsia"/>
          <w:lang w:val="en-US" w:eastAsia="zh-CN"/>
        </w:rPr>
      </w:pPr>
      <w:bookmarkStart w:id="117" w:name="_Toc6376"/>
      <w:bookmarkStart w:id="118" w:name="_Toc19050"/>
      <w:r>
        <w:rPr>
          <w:rFonts w:hint="eastAsia"/>
          <w:lang w:val="en-US" w:eastAsia="zh-CN"/>
        </w:rPr>
        <w:t>激发市场主体活力</w:t>
      </w:r>
      <w:bookmarkEnd w:id="115"/>
      <w:bookmarkEnd w:id="116"/>
      <w:r>
        <w:rPr>
          <w:rFonts w:hint="eastAsia"/>
          <w:lang w:val="en-US" w:eastAsia="zh-CN"/>
        </w:rPr>
        <w:t xml:space="preserve"> 推动区域协调发展和</w:t>
      </w:r>
      <w:bookmarkEnd w:id="117"/>
    </w:p>
    <w:p>
      <w:pPr>
        <w:pStyle w:val="4"/>
        <w:pageBreakBefore w:val="0"/>
        <w:numPr>
          <w:ilvl w:val="0"/>
          <w:numId w:val="0"/>
        </w:numPr>
        <w:kinsoku/>
        <w:wordWrap/>
        <w:overflowPunct/>
        <w:topLinePunct w:val="0"/>
        <w:autoSpaceDE/>
        <w:autoSpaceDN/>
        <w:bidi w:val="0"/>
        <w:spacing w:line="600" w:lineRule="exact"/>
        <w:ind w:firstLine="666" w:firstLineChars="200"/>
        <w:jc w:val="center"/>
        <w:textAlignment w:val="auto"/>
        <w:outlineLvl w:val="0"/>
        <w:rPr>
          <w:rFonts w:hint="default" w:ascii="仿宋_GB2312" w:hAnsi="仿宋_GB2312" w:eastAsia="仿宋_GB2312" w:cs="仿宋_GB2312"/>
          <w:b w:val="0"/>
          <w:bCs w:val="0"/>
          <w:sz w:val="32"/>
          <w:szCs w:val="32"/>
          <w:highlight w:val="none"/>
          <w:lang w:val="en-US" w:eastAsia="zh-CN"/>
        </w:rPr>
      </w:pPr>
      <w:bookmarkStart w:id="119" w:name="_Toc24433"/>
      <w:bookmarkStart w:id="120" w:name="_Toc459"/>
      <w:r>
        <w:rPr>
          <w:rFonts w:hint="eastAsia"/>
          <w:lang w:val="en-US" w:eastAsia="zh-CN"/>
        </w:rPr>
        <w:t>新型城镇化</w:t>
      </w:r>
      <w:bookmarkEnd w:id="118"/>
      <w:bookmarkEnd w:id="119"/>
      <w:bookmarkEnd w:id="120"/>
    </w:p>
    <w:p>
      <w:pPr>
        <w:spacing w:after="0" w:line="600" w:lineRule="exact"/>
        <w:ind w:firstLine="666" w:firstLineChars="200"/>
        <w:jc w:val="both"/>
        <w:rPr>
          <w:rFonts w:hint="eastAsia" w:ascii="仿宋_GB2312" w:hAnsi="仿宋_GB2312" w:eastAsia="仿宋_GB2312" w:cs="仿宋_GB2312"/>
          <w:sz w:val="32"/>
          <w:szCs w:val="32"/>
        </w:rPr>
      </w:pPr>
      <w:bookmarkStart w:id="121" w:name="_Toc15251"/>
      <w:r>
        <w:rPr>
          <w:rFonts w:hint="eastAsia" w:ascii="仿宋_GB2312" w:hAnsi="仿宋_GB2312" w:eastAsia="仿宋_GB2312" w:cs="仿宋_GB2312"/>
          <w:sz w:val="32"/>
          <w:szCs w:val="32"/>
        </w:rPr>
        <w:t>用好改革“关键一招”，充分发挥改革的突破和先导作用，深化重点领域改革，增强改革的系统性、整体性、协同性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以深化改革激发新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发展活力，</w:t>
      </w:r>
      <w:r>
        <w:rPr>
          <w:rFonts w:hint="eastAsia" w:ascii="仿宋_GB2312" w:hAnsi="仿宋_GB2312" w:eastAsia="仿宋_GB2312" w:cs="仿宋_GB2312"/>
          <w:sz w:val="32"/>
          <w:szCs w:val="32"/>
          <w:lang w:eastAsia="zh-CN"/>
        </w:rPr>
        <w:t>打造</w:t>
      </w:r>
      <w:r>
        <w:rPr>
          <w:rFonts w:hint="eastAsia" w:ascii="仿宋_GB2312" w:hAnsi="仿宋_GB2312" w:eastAsia="仿宋_GB2312" w:cs="仿宋_GB2312"/>
          <w:sz w:val="32"/>
          <w:szCs w:val="32"/>
        </w:rPr>
        <w:t>更高质量、更有效率、更加公平、更可持续的发展</w:t>
      </w:r>
      <w:r>
        <w:rPr>
          <w:rFonts w:hint="eastAsia" w:ascii="仿宋_GB2312" w:hAnsi="仿宋_GB2312" w:eastAsia="仿宋_GB2312" w:cs="仿宋_GB2312"/>
          <w:sz w:val="32"/>
          <w:szCs w:val="32"/>
          <w:lang w:eastAsia="zh-CN"/>
        </w:rPr>
        <w:t>环境</w:t>
      </w:r>
      <w:r>
        <w:rPr>
          <w:rFonts w:hint="eastAsia" w:ascii="仿宋_GB2312" w:hAnsi="仿宋_GB2312" w:eastAsia="仿宋_GB2312" w:cs="仿宋_GB2312"/>
          <w:sz w:val="32"/>
          <w:szCs w:val="32"/>
        </w:rPr>
        <w:t>，让市场主体活力迸发</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兴安高质量转型提供支撑。</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ascii="宋体" w:hAnsi="宋体" w:eastAsia="宋体" w:cs="宋体"/>
          <w:b/>
          <w:bCs/>
          <w:sz w:val="32"/>
          <w:szCs w:val="32"/>
        </w:rPr>
      </w:pPr>
      <w:bookmarkStart w:id="122" w:name="_Toc2942"/>
      <w:bookmarkStart w:id="123" w:name="_Toc7352"/>
      <w:r>
        <w:rPr>
          <w:rFonts w:hint="eastAsia"/>
          <w:kern w:val="0"/>
          <w:lang w:eastAsia="zh-CN"/>
        </w:rPr>
        <w:t>第一节</w:t>
      </w:r>
      <w:r>
        <w:rPr>
          <w:rFonts w:hint="eastAsia"/>
          <w:kern w:val="0"/>
          <w:lang w:val="en-US" w:eastAsia="zh-CN"/>
        </w:rPr>
        <w:t xml:space="preserve"> </w:t>
      </w:r>
      <w:r>
        <w:rPr>
          <w:rFonts w:hint="eastAsia"/>
          <w:kern w:val="0"/>
        </w:rPr>
        <w:t>高标准</w:t>
      </w:r>
      <w:r>
        <w:rPr>
          <w:rFonts w:hint="eastAsia"/>
          <w:kern w:val="0"/>
          <w:lang w:val="en-US" w:eastAsia="zh-CN"/>
        </w:rPr>
        <w:t>打造一流营</w:t>
      </w:r>
      <w:r>
        <w:rPr>
          <w:rFonts w:hint="eastAsia"/>
          <w:kern w:val="0"/>
        </w:rPr>
        <w:t>商环境</w:t>
      </w:r>
      <w:bookmarkEnd w:id="121"/>
      <w:bookmarkEnd w:id="122"/>
      <w:bookmarkEnd w:id="123"/>
    </w:p>
    <w:p>
      <w:pPr>
        <w:keepNext w:val="0"/>
        <w:keepLines w:val="0"/>
        <w:pageBreakBefore w:val="0"/>
        <w:widowControl/>
        <w:kinsoku/>
        <w:wordWrap/>
        <w:overflowPunct/>
        <w:topLinePunct w:val="0"/>
        <w:autoSpaceDE/>
        <w:autoSpaceDN/>
        <w:bidi w:val="0"/>
        <w:adjustRightInd/>
        <w:snapToGrid/>
        <w:spacing w:line="600" w:lineRule="exact"/>
        <w:ind w:firstLine="666" w:firstLineChars="200"/>
        <w:textAlignment w:val="auto"/>
        <w:rPr>
          <w:rFonts w:hint="eastAsia" w:ascii="仿宋_GB2312" w:hAnsi="仿宋_GB2312" w:eastAsia="仿宋_GB2312" w:cs="仿宋_GB2312"/>
          <w:sz w:val="32"/>
          <w:szCs w:val="32"/>
        </w:rPr>
      </w:pPr>
      <w:r>
        <w:rPr>
          <w:rFonts w:hint="eastAsia" w:ascii="楷体" w:hAnsi="楷体" w:eastAsia="楷体" w:cs="楷体"/>
          <w:b/>
          <w:kern w:val="0"/>
          <w:sz w:val="32"/>
          <w:szCs w:val="32"/>
        </w:rPr>
        <w:t>把深化改革摆在首要位置。</w:t>
      </w:r>
      <w:r>
        <w:rPr>
          <w:rFonts w:hint="eastAsia" w:ascii="仿宋_GB2312" w:hAnsi="仿宋_GB2312" w:eastAsia="仿宋_GB2312" w:cs="仿宋_GB2312"/>
          <w:sz w:val="32"/>
          <w:szCs w:val="32"/>
          <w:lang w:val="en-US" w:eastAsia="en-US"/>
        </w:rPr>
        <w:t>以“办好一件事”全链条流程再造为抓手，推动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最多跑一次”再提速。</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en-US"/>
        </w:rPr>
        <w:t>实现”一网通办”为总目标，全力推动政务服务建设水平提档升级。加速政务信息化建设进程，加速政务服务平台和数据共享交换平台建设进度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深入推进“最多跑一次”改革，做到“办事不求人”，到2025年，政务服务事项网上可办率实现100%,政务服务事项进驻实体政务大厅实现“应进必进”，逐步实现“就近办、掌上办、在家办”，打造便捷高效的政务服务环境。</w:t>
      </w:r>
    </w:p>
    <w:p>
      <w:pPr>
        <w:keepNext w:val="0"/>
        <w:keepLines w:val="0"/>
        <w:pageBreakBefore w:val="0"/>
        <w:kinsoku/>
        <w:wordWrap/>
        <w:overflowPunct/>
        <w:topLinePunct w:val="0"/>
        <w:autoSpaceDE/>
        <w:autoSpaceDN/>
        <w:bidi w:val="0"/>
        <w:adjustRightInd/>
        <w:snapToGrid/>
        <w:spacing w:line="600" w:lineRule="exact"/>
        <w:ind w:firstLine="666" w:firstLineChars="200"/>
        <w:jc w:val="left"/>
        <w:textAlignment w:val="auto"/>
        <w:rPr>
          <w:rFonts w:hint="eastAsia" w:ascii="仿宋_GB2312" w:hAnsi="仿宋_GB2312" w:eastAsia="仿宋_GB2312" w:cs="仿宋_GB2312"/>
          <w:sz w:val="32"/>
          <w:szCs w:val="32"/>
          <w:lang w:val="en-US" w:eastAsia="en-US"/>
        </w:rPr>
      </w:pPr>
      <w:r>
        <w:rPr>
          <w:rFonts w:hint="eastAsia" w:ascii="楷体" w:hAnsi="楷体" w:eastAsia="楷体" w:cs="楷体"/>
          <w:b/>
          <w:kern w:val="0"/>
          <w:sz w:val="32"/>
          <w:szCs w:val="32"/>
        </w:rPr>
        <w:t>严格落实《优化营商环境条例》。</w:t>
      </w:r>
      <w:r>
        <w:rPr>
          <w:rFonts w:hint="eastAsia" w:ascii="仿宋_GB2312" w:hAnsi="仿宋_GB2312" w:eastAsia="仿宋_GB2312" w:cs="仿宋_GB2312"/>
          <w:sz w:val="32"/>
          <w:szCs w:val="32"/>
          <w:lang w:val="en-US" w:eastAsia="en-US"/>
        </w:rPr>
        <w:t>全面落实国务院《优化营商环境条例》和省委省政府《关于重塑营商新环境的意见》《黑龙江省优化营商环境条例》，</w:t>
      </w:r>
      <w:r>
        <w:rPr>
          <w:rFonts w:hint="eastAsia" w:ascii="仿宋_GB2312" w:hAnsi="仿宋_GB2312" w:eastAsia="仿宋_GB2312" w:cs="仿宋_GB2312"/>
          <w:sz w:val="32"/>
          <w:szCs w:val="32"/>
          <w:lang w:val="en-US" w:eastAsia="zh-CN"/>
        </w:rPr>
        <w:t>加大“清赖行动”力度，治理“新官不理旧账”问题。严格贯彻落实优化营商环境政策措施，进一步健全优化营商环境制度体系，畅通政务服务热线投诉渠道，积极受理、办理企业和群众各类诉求，</w:t>
      </w:r>
      <w:r>
        <w:rPr>
          <w:rFonts w:hint="eastAsia" w:ascii="仿宋_GB2312" w:hAnsi="仿宋_GB2312" w:eastAsia="仿宋_GB2312" w:cs="仿宋_GB2312"/>
          <w:sz w:val="32"/>
          <w:szCs w:val="32"/>
          <w:lang w:val="en-US" w:eastAsia="en-US"/>
        </w:rPr>
        <w:t>完善企业投诉处理机制，建立健全企业、企业家权益保护制度。到 2025年，政府和部门失信违诺事项要全部清零并严控发生。</w:t>
      </w:r>
    </w:p>
    <w:p>
      <w:pPr>
        <w:keepNext w:val="0"/>
        <w:keepLines w:val="0"/>
        <w:pageBreakBefore w:val="0"/>
        <w:widowControl/>
        <w:kinsoku/>
        <w:wordWrap/>
        <w:overflowPunct/>
        <w:topLinePunct w:val="0"/>
        <w:autoSpaceDE/>
        <w:autoSpaceDN/>
        <w:bidi w:val="0"/>
        <w:adjustRightInd/>
        <w:snapToGrid/>
        <w:spacing w:line="600" w:lineRule="exact"/>
        <w:ind w:firstLine="666"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kern w:val="0"/>
          <w:sz w:val="32"/>
          <w:szCs w:val="32"/>
        </w:rPr>
        <w:t>持续推动“信用</w:t>
      </w:r>
      <w:r>
        <w:rPr>
          <w:rFonts w:hint="eastAsia" w:ascii="楷体" w:hAnsi="楷体" w:eastAsia="楷体" w:cs="楷体"/>
          <w:b/>
          <w:kern w:val="0"/>
          <w:sz w:val="32"/>
          <w:szCs w:val="32"/>
          <w:lang w:eastAsia="zh-CN"/>
        </w:rPr>
        <w:t>兴安</w:t>
      </w:r>
      <w:r>
        <w:rPr>
          <w:rFonts w:hint="eastAsia" w:ascii="楷体" w:hAnsi="楷体" w:eastAsia="楷体" w:cs="楷体"/>
          <w:b/>
          <w:kern w:val="0"/>
          <w:sz w:val="32"/>
          <w:szCs w:val="32"/>
        </w:rPr>
        <w:t>”建设。</w:t>
      </w:r>
      <w:bookmarkStart w:id="124" w:name="_Toc56076257"/>
      <w:r>
        <w:rPr>
          <w:rFonts w:hint="eastAsia" w:ascii="仿宋_GB2312" w:hAnsi="仿宋_GB2312" w:eastAsia="仿宋_GB2312" w:cs="仿宋_GB2312"/>
          <w:sz w:val="32"/>
          <w:szCs w:val="32"/>
          <w:lang w:val="en-US" w:eastAsia="en-US"/>
        </w:rPr>
        <w:t>建立失信企业信用修复机制，</w:t>
      </w:r>
      <w:r>
        <w:rPr>
          <w:rFonts w:hint="eastAsia" w:ascii="仿宋_GB2312" w:hAnsi="仿宋_GB2312" w:eastAsia="仿宋_GB2312" w:cs="仿宋_GB2312"/>
          <w:sz w:val="32"/>
          <w:szCs w:val="32"/>
          <w:lang w:val="en-US" w:eastAsia="zh-CN"/>
        </w:rPr>
        <w:t>打造</w:t>
      </w:r>
      <w:r>
        <w:rPr>
          <w:rFonts w:hint="eastAsia" w:ascii="仿宋_GB2312" w:hAnsi="仿宋_GB2312" w:eastAsia="仿宋_GB2312" w:cs="仿宋_GB2312"/>
          <w:sz w:val="32"/>
          <w:szCs w:val="32"/>
          <w:lang w:val="en-US" w:eastAsia="en-US"/>
        </w:rPr>
        <w:t>公平竞争诚信经营的市场环境。持续开展政府失信专项整治，建立“新官要理旧账”责任机制。</w:t>
      </w:r>
      <w:r>
        <w:rPr>
          <w:rFonts w:hint="eastAsia" w:ascii="仿宋_GB2312" w:hAnsi="仿宋_GB2312" w:eastAsia="仿宋_GB2312" w:cs="仿宋_GB2312"/>
          <w:sz w:val="32"/>
          <w:szCs w:val="32"/>
          <w:lang w:val="en-US" w:eastAsia="zh-CN"/>
        </w:rPr>
        <w:t>助推“诚信兴安”建设，</w:t>
      </w:r>
      <w:r>
        <w:rPr>
          <w:rFonts w:hint="eastAsia" w:ascii="仿宋_GB2312" w:hAnsi="仿宋_GB2312" w:eastAsia="仿宋_GB2312" w:cs="仿宋_GB2312"/>
          <w:sz w:val="32"/>
          <w:szCs w:val="32"/>
          <w:lang w:val="en-US" w:eastAsia="en-US"/>
        </w:rPr>
        <w:t>围绕社会信用体系建设，在全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eastAsia="en-US"/>
        </w:rPr>
        <w:t>范围内</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val="en-US" w:eastAsia="en-US"/>
        </w:rPr>
        <w:t>诚信教育，着力构建服务不同群体的多层次、多渠道、多角度的诚信教育体系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广泛开展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诚信龙江”</w:t>
      </w:r>
      <w:r>
        <w:rPr>
          <w:rFonts w:hint="eastAsia" w:ascii="仿宋_GB2312" w:hAnsi="仿宋_GB2312" w:eastAsia="仿宋_GB2312" w:cs="仿宋_GB2312"/>
          <w:sz w:val="32"/>
          <w:szCs w:val="32"/>
          <w:lang w:val="en-US" w:eastAsia="zh-CN"/>
        </w:rPr>
        <w:t>进机关、</w:t>
      </w:r>
      <w:r>
        <w:rPr>
          <w:rFonts w:hint="eastAsia" w:ascii="仿宋_GB2312" w:hAnsi="仿宋_GB2312" w:eastAsia="仿宋_GB2312" w:cs="仿宋_GB2312"/>
          <w:sz w:val="32"/>
          <w:szCs w:val="32"/>
          <w:lang w:val="en-US" w:eastAsia="en-US"/>
        </w:rPr>
        <w:t>进校园、进企业、进市场、进社区活动。</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ascii="楷体" w:hAnsi="楷体" w:eastAsia="楷体"/>
          <w:b/>
          <w:color w:val="000000"/>
          <w:sz w:val="32"/>
          <w:szCs w:val="32"/>
        </w:rPr>
      </w:pPr>
      <w:bookmarkStart w:id="125" w:name="_Toc12910"/>
      <w:bookmarkStart w:id="126" w:name="_Toc27290"/>
      <w:bookmarkStart w:id="127" w:name="_Toc25747"/>
      <w:r>
        <w:rPr>
          <w:rFonts w:hint="eastAsia"/>
          <w:kern w:val="0"/>
          <w:lang w:val="en-US" w:eastAsia="zh-CN"/>
        </w:rPr>
        <w:t xml:space="preserve">第二节 </w:t>
      </w:r>
      <w:r>
        <w:rPr>
          <w:rFonts w:hint="eastAsia"/>
          <w:kern w:val="0"/>
        </w:rPr>
        <w:t>激发非公有制经济活力</w:t>
      </w:r>
      <w:bookmarkEnd w:id="124"/>
      <w:bookmarkEnd w:id="125"/>
      <w:bookmarkEnd w:id="126"/>
      <w:bookmarkEnd w:id="127"/>
    </w:p>
    <w:p>
      <w:pPr>
        <w:spacing w:line="600" w:lineRule="exact"/>
        <w:ind w:firstLine="666" w:firstLineChars="200"/>
        <w:contextualSpacing/>
        <w:rPr>
          <w:rFonts w:ascii="仿宋_GB2312" w:hAnsi="仿宋_GB2312" w:eastAsia="仿宋_GB2312" w:cs="仿宋_GB2312"/>
          <w:bCs/>
          <w:kern w:val="0"/>
          <w:sz w:val="32"/>
          <w:szCs w:val="32"/>
        </w:rPr>
      </w:pPr>
      <w:r>
        <w:rPr>
          <w:rFonts w:hint="eastAsia" w:ascii="楷体" w:hAnsi="楷体" w:eastAsia="楷体" w:cs="楷体"/>
          <w:b/>
          <w:kern w:val="0"/>
          <w:sz w:val="32"/>
          <w:szCs w:val="32"/>
        </w:rPr>
        <w:t>厚植民营经济发展沃土。</w:t>
      </w:r>
      <w:r>
        <w:rPr>
          <w:rFonts w:hint="eastAsia" w:ascii="仿宋_GB2312" w:hAnsi="仿宋_GB2312" w:eastAsia="仿宋_GB2312" w:cs="仿宋_GB2312"/>
          <w:bCs/>
          <w:kern w:val="0"/>
          <w:sz w:val="32"/>
          <w:szCs w:val="32"/>
        </w:rPr>
        <w:t>清理废除与企业性质挂钩的不合理规定，在要素获取、准入许可、经营运行、政府采购和招投标等方面对各类所有制企业平等对待。全面落实民营企业市场准入原则，支持民营企业创新发展，推动中小企业融合发展。</w:t>
      </w:r>
    </w:p>
    <w:p>
      <w:pPr>
        <w:spacing w:line="600" w:lineRule="exact"/>
        <w:ind w:firstLine="666" w:firstLineChars="200"/>
        <w:contextualSpacing/>
        <w:rPr>
          <w:rFonts w:ascii="仿宋_GB2312" w:hAnsi="仿宋_GB2312" w:eastAsia="仿宋_GB2312" w:cs="仿宋_GB2312"/>
          <w:bCs/>
          <w:kern w:val="0"/>
          <w:sz w:val="32"/>
          <w:szCs w:val="32"/>
        </w:rPr>
      </w:pPr>
      <w:r>
        <w:rPr>
          <w:rFonts w:hint="eastAsia" w:ascii="楷体" w:hAnsi="楷体" w:eastAsia="楷体" w:cs="楷体"/>
          <w:b/>
          <w:kern w:val="0"/>
          <w:sz w:val="32"/>
          <w:szCs w:val="32"/>
        </w:rPr>
        <w:t>扶持推动民营企业发展。</w:t>
      </w:r>
      <w:r>
        <w:rPr>
          <w:rFonts w:hint="eastAsia" w:ascii="仿宋_GB2312" w:hAnsi="仿宋_GB2312" w:eastAsia="仿宋_GB2312" w:cs="仿宋_GB2312"/>
          <w:bCs/>
          <w:kern w:val="0"/>
          <w:sz w:val="32"/>
          <w:szCs w:val="32"/>
        </w:rPr>
        <w:t>落实好《黑龙江省促进中小企业发展条例》，深入实施中小微企业成长工程，建立完善服务平台，落实鼓励支持“小升规”的各项政策措施，引导企业做大做强。实施民营企业梯队成长培育计划，加快培育一批“专精特新”中小企业，争取培育出体量大、竞争能力强的民营企业。</w:t>
      </w:r>
    </w:p>
    <w:p>
      <w:pPr>
        <w:spacing w:line="600" w:lineRule="exact"/>
        <w:ind w:firstLine="666" w:firstLineChars="200"/>
        <w:contextualSpacing/>
        <w:rPr>
          <w:rFonts w:hint="eastAsia" w:ascii="黑体" w:hAnsi="黑体" w:eastAsia="黑体" w:cs="黑体"/>
          <w:sz w:val="32"/>
          <w:szCs w:val="32"/>
          <w:lang w:val="en-US" w:eastAsia="zh-CN"/>
        </w:rPr>
      </w:pPr>
      <w:r>
        <w:rPr>
          <w:rFonts w:hint="eastAsia" w:ascii="楷体" w:hAnsi="楷体" w:eastAsia="楷体" w:cs="楷体"/>
          <w:b/>
          <w:kern w:val="0"/>
          <w:sz w:val="32"/>
          <w:szCs w:val="32"/>
        </w:rPr>
        <w:t>弘扬优秀企业家精神。</w:t>
      </w:r>
      <w:r>
        <w:rPr>
          <w:rFonts w:hint="eastAsia" w:ascii="仿宋_GB2312" w:hAnsi="仿宋_GB2312" w:eastAsia="仿宋_GB2312" w:cs="仿宋_GB2312"/>
          <w:bCs/>
          <w:kern w:val="0"/>
          <w:sz w:val="32"/>
          <w:szCs w:val="32"/>
        </w:rPr>
        <w:t>营造激励企业家创新创业创造的社会氛围，支持爱护企业成长，开展名企名家名牌培育行动。大力弘扬优秀企业家精神，鼓励、引导本土企业家在爱国、创新、诚信、社会责任和国际视野等方面不断提升。做好民营经济代表人士队伍建设规划，加强民营企业家教育培训。尊重和保护好企业家合法人身和财产权益。</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eastAsia="黑体"/>
          <w:kern w:val="0"/>
          <w:lang w:eastAsia="zh-CN"/>
        </w:rPr>
      </w:pPr>
      <w:bookmarkStart w:id="128" w:name="_Toc5991"/>
      <w:bookmarkStart w:id="129" w:name="_Toc56076263"/>
      <w:bookmarkStart w:id="130" w:name="_Toc31194"/>
      <w:bookmarkStart w:id="131" w:name="_Toc18463"/>
      <w:r>
        <w:rPr>
          <w:rFonts w:hint="eastAsia"/>
          <w:kern w:val="0"/>
        </w:rPr>
        <w:t>第</w:t>
      </w:r>
      <w:r>
        <w:rPr>
          <w:rFonts w:hint="eastAsia"/>
          <w:kern w:val="0"/>
          <w:lang w:eastAsia="zh-CN"/>
        </w:rPr>
        <w:t>三</w:t>
      </w:r>
      <w:r>
        <w:rPr>
          <w:rFonts w:hint="eastAsia"/>
          <w:kern w:val="0"/>
        </w:rPr>
        <w:t>节</w:t>
      </w:r>
      <w:r>
        <w:rPr>
          <w:rFonts w:hint="eastAsia"/>
          <w:kern w:val="0"/>
          <w:lang w:val="en-US" w:eastAsia="zh-CN"/>
        </w:rPr>
        <w:t xml:space="preserve"> </w:t>
      </w:r>
      <w:r>
        <w:rPr>
          <w:rFonts w:hint="eastAsia"/>
          <w:kern w:val="0"/>
        </w:rPr>
        <w:t>全力</w:t>
      </w:r>
      <w:bookmarkEnd w:id="128"/>
      <w:bookmarkEnd w:id="129"/>
      <w:bookmarkEnd w:id="130"/>
      <w:r>
        <w:rPr>
          <w:rFonts w:hint="eastAsia"/>
          <w:kern w:val="0"/>
          <w:lang w:eastAsia="zh-CN"/>
        </w:rPr>
        <w:t>服务区域经济发展</w:t>
      </w:r>
      <w:bookmarkEnd w:id="131"/>
    </w:p>
    <w:p>
      <w:pPr>
        <w:pageBreakBefore w:val="0"/>
        <w:widowControl w:val="0"/>
        <w:kinsoku/>
        <w:wordWrap/>
        <w:overflowPunct/>
        <w:topLinePunct w:val="0"/>
        <w:autoSpaceDE/>
        <w:autoSpaceDN/>
        <w:bidi w:val="0"/>
        <w:adjustRightInd/>
        <w:snapToGrid/>
        <w:spacing w:after="0" w:line="600" w:lineRule="exact"/>
        <w:ind w:firstLine="666"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坚持把精力聚焦到经济发展中，根据</w:t>
      </w:r>
      <w:r>
        <w:rPr>
          <w:rFonts w:hint="eastAsia" w:ascii="仿宋_GB2312" w:hAnsi="仿宋_GB2312" w:eastAsia="仿宋_GB2312" w:cs="仿宋_GB2312"/>
          <w:color w:val="000000"/>
          <w:sz w:val="32"/>
          <w:szCs w:val="32"/>
          <w:lang w:eastAsia="zh-CN"/>
        </w:rPr>
        <w:t>兴安区实际情况</w:t>
      </w:r>
      <w:r>
        <w:rPr>
          <w:rFonts w:hint="eastAsia" w:ascii="仿宋_GB2312" w:hAnsi="仿宋_GB2312" w:eastAsia="仿宋_GB2312" w:cs="仿宋_GB2312"/>
          <w:color w:val="000000"/>
          <w:sz w:val="32"/>
          <w:szCs w:val="32"/>
        </w:rPr>
        <w:t>，精准定位，推动经济发展和保障改善民生，让人民群众共享改革发展成果。</w:t>
      </w:r>
      <w:r>
        <w:rPr>
          <w:rFonts w:hint="eastAsia" w:ascii="仿宋_GB2312" w:hAnsi="仿宋_GB2312" w:eastAsia="仿宋_GB2312" w:cs="仿宋_GB2312"/>
          <w:color w:val="000000"/>
          <w:sz w:val="32"/>
          <w:szCs w:val="32"/>
          <w:lang w:eastAsia="zh-CN"/>
        </w:rPr>
        <w:t>通过</w:t>
      </w:r>
      <w:r>
        <w:rPr>
          <w:rFonts w:hint="eastAsia" w:ascii="仿宋_GB2312" w:hAnsi="仿宋_GB2312" w:eastAsia="仿宋_GB2312" w:cs="仿宋_GB2312"/>
          <w:color w:val="000000"/>
          <w:sz w:val="32"/>
          <w:szCs w:val="32"/>
        </w:rPr>
        <w:t>主动服务，精准掌握中小微企业情况，做到分类问诊、分门别类地解决问题，助推中小微企业发展。当好招商引资的主力军和先锋队，压紧压实主体责任，围绕增加税收、拉动就业、产业链完善、未来发展战略，深入研究“谁来招、审批怎么办、谁来服务、政策如何落实”，以实实在在的成果推动经济发展。</w:t>
      </w:r>
      <w:r>
        <w:rPr>
          <w:rFonts w:hint="eastAsia" w:ascii="仿宋_GB2312" w:hAnsi="仿宋_GB2312" w:eastAsia="仿宋_GB2312" w:cs="仿宋_GB2312"/>
          <w:color w:val="000000"/>
          <w:sz w:val="32"/>
          <w:szCs w:val="32"/>
          <w:lang w:eastAsia="zh-CN"/>
        </w:rPr>
        <w:t>通过</w:t>
      </w:r>
      <w:r>
        <w:rPr>
          <w:rFonts w:hint="eastAsia" w:ascii="仿宋_GB2312" w:hAnsi="仿宋_GB2312" w:eastAsia="仿宋_GB2312" w:cs="仿宋_GB2312"/>
          <w:color w:val="000000"/>
          <w:sz w:val="32"/>
          <w:szCs w:val="32"/>
        </w:rPr>
        <w:t>开展自查剖析，优化营商环境，认真梳理行政事项、审批事项、放管服事项，强化网上办、就近办、一次办。做好企业“店小二”，加强为企服务力度，深入研究支持企业</w:t>
      </w:r>
      <w:r>
        <w:rPr>
          <w:rFonts w:hint="eastAsia" w:ascii="仿宋_GB2312" w:hAnsi="仿宋_GB2312" w:eastAsia="仿宋_GB2312" w:cs="仿宋_GB2312"/>
          <w:color w:val="000000"/>
          <w:sz w:val="32"/>
          <w:szCs w:val="32"/>
          <w:lang w:eastAsia="zh-CN"/>
        </w:rPr>
        <w:t>发展</w:t>
      </w:r>
      <w:r>
        <w:rPr>
          <w:rFonts w:hint="eastAsia" w:ascii="仿宋_GB2312" w:hAnsi="仿宋_GB2312" w:eastAsia="仿宋_GB2312" w:cs="仿宋_GB2312"/>
          <w:color w:val="000000"/>
          <w:sz w:val="32"/>
          <w:szCs w:val="32"/>
        </w:rPr>
        <w:t>的方式方法，依法依规为企服务，合法合规引导企业创业。</w:t>
      </w:r>
      <w:r>
        <w:rPr>
          <w:rFonts w:hint="eastAsia" w:ascii="仿宋_GB2312" w:hAnsi="仿宋_GB2312" w:eastAsia="仿宋_GB2312" w:cs="仿宋_GB2312"/>
          <w:color w:val="000000"/>
          <w:sz w:val="32"/>
          <w:szCs w:val="32"/>
          <w:lang w:eastAsia="zh-CN"/>
        </w:rPr>
        <w:t>发挥兴安</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位优势，做到要素互补、优势互补。树立亲清政商关系，创造公平公正的市场环境，全力支持企业发展。</w:t>
      </w:r>
    </w:p>
    <w:p>
      <w:pPr>
        <w:pStyle w:val="35"/>
        <w:pageBreakBefore w:val="0"/>
        <w:kinsoku/>
        <w:wordWrap/>
        <w:overflowPunct/>
        <w:topLinePunct w:val="0"/>
        <w:autoSpaceDE/>
        <w:autoSpaceDN/>
        <w:bidi w:val="0"/>
        <w:spacing w:line="600" w:lineRule="exact"/>
        <w:textAlignment w:val="auto"/>
      </w:pPr>
      <w:r>
        <w:rPr>
          <w:rFonts w:hint="eastAsia"/>
        </w:rPr>
        <w:t>专栏</w:t>
      </w:r>
      <w:r>
        <w:rPr>
          <w:rFonts w:hint="eastAsia"/>
          <w:lang w:val="en-US" w:eastAsia="zh-CN"/>
        </w:rPr>
        <w:t xml:space="preserve">4 </w:t>
      </w:r>
      <w:r>
        <w:rPr>
          <w:rFonts w:hint="eastAsia"/>
        </w:rPr>
        <w:t xml:space="preserve"> </w:t>
      </w:r>
      <w:r>
        <w:rPr>
          <w:rFonts w:hint="eastAsia"/>
          <w:lang w:eastAsia="zh-CN"/>
        </w:rPr>
        <w:t>兴安区</w:t>
      </w:r>
      <w:r>
        <w:rPr>
          <w:rFonts w:hint="eastAsia"/>
        </w:rPr>
        <w:t>城区经济发展布局</w:t>
      </w:r>
    </w:p>
    <w:tbl>
      <w:tblPr>
        <w:tblStyle w:val="20"/>
        <w:tblW w:w="671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6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top"/>
          </w:tcPr>
          <w:p>
            <w:pPr>
              <w:pageBreakBefore w:val="0"/>
              <w:kinsoku/>
              <w:wordWrap/>
              <w:overflowPunct/>
              <w:topLinePunct w:val="0"/>
              <w:autoSpaceDE/>
              <w:autoSpaceDN/>
              <w:bidi w:val="0"/>
              <w:spacing w:after="0" w:line="600" w:lineRule="exact"/>
              <w:contextualSpacing/>
              <w:jc w:val="center"/>
              <w:textAlignment w:val="auto"/>
              <w:rPr>
                <w:rFonts w:ascii="宋体" w:hAnsi="宋体" w:eastAsia="宋体"/>
                <w:b/>
                <w:color w:val="000000"/>
                <w:kern w:val="2"/>
                <w:sz w:val="21"/>
                <w:szCs w:val="21"/>
              </w:rPr>
            </w:pPr>
            <w:r>
              <w:rPr>
                <w:rFonts w:hint="eastAsia" w:ascii="宋体" w:hAnsi="宋体" w:eastAsia="宋体"/>
                <w:b/>
                <w:color w:val="000000"/>
                <w:kern w:val="2"/>
                <w:sz w:val="21"/>
                <w:szCs w:val="21"/>
              </w:rPr>
              <w:t>行政区域</w:t>
            </w:r>
          </w:p>
        </w:tc>
        <w:tc>
          <w:tcPr>
            <w:tcW w:w="4620" w:type="dxa"/>
            <w:vAlign w:val="top"/>
          </w:tcPr>
          <w:p>
            <w:pPr>
              <w:pageBreakBefore w:val="0"/>
              <w:kinsoku/>
              <w:wordWrap/>
              <w:overflowPunct/>
              <w:topLinePunct w:val="0"/>
              <w:autoSpaceDE/>
              <w:autoSpaceDN/>
              <w:bidi w:val="0"/>
              <w:spacing w:after="0" w:line="600" w:lineRule="exact"/>
              <w:contextualSpacing/>
              <w:jc w:val="center"/>
              <w:textAlignment w:val="auto"/>
              <w:rPr>
                <w:rFonts w:ascii="宋体" w:hAnsi="宋体" w:eastAsia="宋体"/>
                <w:b/>
                <w:color w:val="000000"/>
                <w:kern w:val="2"/>
                <w:sz w:val="21"/>
                <w:szCs w:val="21"/>
              </w:rPr>
            </w:pPr>
            <w:r>
              <w:rPr>
                <w:rFonts w:hint="eastAsia" w:ascii="宋体" w:hAnsi="宋体" w:eastAsia="宋体"/>
                <w:b/>
                <w:color w:val="000000"/>
                <w:kern w:val="2"/>
                <w:sz w:val="21"/>
                <w:szCs w:val="21"/>
              </w:rPr>
              <w:t>发展定位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top"/>
          </w:tcPr>
          <w:p>
            <w:pPr>
              <w:pageBreakBefore w:val="0"/>
              <w:kinsoku/>
              <w:wordWrap/>
              <w:overflowPunct/>
              <w:topLinePunct w:val="0"/>
              <w:autoSpaceDE/>
              <w:autoSpaceDN/>
              <w:bidi w:val="0"/>
              <w:spacing w:after="0" w:line="600" w:lineRule="exact"/>
              <w:contextualSpacing/>
              <w:jc w:val="center"/>
              <w:textAlignment w:val="auto"/>
              <w:rPr>
                <w:rFonts w:hint="eastAsia" w:ascii="宋体" w:hAnsi="宋体" w:eastAsia="宋体"/>
                <w:color w:val="000000"/>
                <w:kern w:val="2"/>
                <w:sz w:val="21"/>
                <w:szCs w:val="21"/>
                <w:highlight w:val="none"/>
              </w:rPr>
            </w:pPr>
          </w:p>
          <w:p>
            <w:pPr>
              <w:pageBreakBefore w:val="0"/>
              <w:kinsoku/>
              <w:wordWrap/>
              <w:overflowPunct/>
              <w:topLinePunct w:val="0"/>
              <w:autoSpaceDE/>
              <w:autoSpaceDN/>
              <w:bidi w:val="0"/>
              <w:spacing w:after="0" w:line="600" w:lineRule="exact"/>
              <w:contextualSpacing/>
              <w:jc w:val="center"/>
              <w:textAlignment w:val="auto"/>
              <w:rPr>
                <w:rFonts w:ascii="宋体" w:hAnsi="宋体" w:eastAsia="宋体"/>
                <w:color w:val="000000"/>
                <w:kern w:val="2"/>
                <w:sz w:val="21"/>
                <w:szCs w:val="21"/>
              </w:rPr>
            </w:pPr>
            <w:r>
              <w:rPr>
                <w:rFonts w:hint="eastAsia" w:ascii="宋体" w:hAnsi="宋体" w:eastAsia="宋体"/>
                <w:color w:val="000000"/>
                <w:kern w:val="2"/>
                <w:sz w:val="21"/>
                <w:szCs w:val="21"/>
                <w:highlight w:val="none"/>
              </w:rPr>
              <w:t>兴安区</w:t>
            </w:r>
          </w:p>
        </w:tc>
        <w:tc>
          <w:tcPr>
            <w:tcW w:w="4620" w:type="dxa"/>
            <w:vAlign w:val="top"/>
          </w:tcPr>
          <w:p>
            <w:pPr>
              <w:pageBreakBefore w:val="0"/>
              <w:kinsoku/>
              <w:wordWrap/>
              <w:overflowPunct/>
              <w:topLinePunct w:val="0"/>
              <w:autoSpaceDE/>
              <w:autoSpaceDN/>
              <w:bidi w:val="0"/>
              <w:spacing w:after="0" w:line="600" w:lineRule="exact"/>
              <w:contextualSpacing/>
              <w:jc w:val="both"/>
              <w:textAlignment w:val="auto"/>
              <w:rPr>
                <w:kern w:val="2"/>
                <w:sz w:val="21"/>
                <w:szCs w:val="22"/>
              </w:rPr>
            </w:pPr>
            <w:r>
              <w:rPr>
                <w:rFonts w:hint="eastAsia" w:ascii="宋体" w:hAnsi="宋体" w:eastAsia="宋体" w:cs="宋体"/>
                <w:color w:val="000000"/>
                <w:kern w:val="0"/>
                <w:sz w:val="21"/>
                <w:szCs w:val="21"/>
                <w:lang w:val="en-US" w:eastAsia="zh-CN"/>
              </w:rPr>
              <w:t>重点发展煤化工及下游产业、石墨精深加工产业、绿色食品加工产业、新型建材产业、文化旅游产业、外贸物流产业、战略性新兴产业。</w:t>
            </w:r>
          </w:p>
        </w:tc>
      </w:tr>
    </w:tbl>
    <w:p>
      <w:pPr>
        <w:pStyle w:val="36"/>
        <w:pageBreakBefore w:val="0"/>
        <w:kinsoku/>
        <w:wordWrap/>
        <w:overflowPunct/>
        <w:topLinePunct w:val="0"/>
        <w:autoSpaceDE/>
        <w:autoSpaceDN/>
        <w:bidi w:val="0"/>
        <w:spacing w:before="240" w:after="240" w:line="600" w:lineRule="exact"/>
        <w:textAlignment w:val="auto"/>
      </w:pPr>
      <w:bookmarkStart w:id="132" w:name="_Toc56076265"/>
      <w:bookmarkStart w:id="133" w:name="_Toc2391"/>
      <w:bookmarkStart w:id="134" w:name="_Toc1085"/>
      <w:bookmarkStart w:id="135" w:name="_Toc24336"/>
      <w:r>
        <w:rPr>
          <w:rFonts w:hint="eastAsia"/>
        </w:rPr>
        <w:t>第</w:t>
      </w:r>
      <w:r>
        <w:rPr>
          <w:rFonts w:hint="eastAsia"/>
          <w:lang w:eastAsia="zh-CN"/>
        </w:rPr>
        <w:t>四</w:t>
      </w:r>
      <w:r>
        <w:rPr>
          <w:rFonts w:hint="eastAsia"/>
        </w:rPr>
        <w:t>节</w:t>
      </w:r>
      <w:r>
        <w:rPr>
          <w:rFonts w:hint="eastAsia"/>
          <w:lang w:val="en-US" w:eastAsia="zh-CN"/>
        </w:rPr>
        <w:t xml:space="preserve"> </w:t>
      </w:r>
      <w:bookmarkEnd w:id="132"/>
      <w:bookmarkEnd w:id="133"/>
      <w:r>
        <w:rPr>
          <w:rFonts w:hint="eastAsia"/>
        </w:rPr>
        <w:t>实施区域转型振兴战略</w:t>
      </w:r>
      <w:bookmarkEnd w:id="134"/>
      <w:bookmarkEnd w:id="135"/>
    </w:p>
    <w:p>
      <w:pPr>
        <w:spacing w:line="600" w:lineRule="exact"/>
        <w:ind w:firstLine="666" w:firstLineChars="200"/>
        <w:contextualSpacing/>
        <w:rPr>
          <w:rFonts w:ascii="仿宋_GB2312" w:hAnsi="仿宋_GB2312" w:eastAsia="仿宋_GB2312" w:cs="仿宋_GB2312"/>
          <w:sz w:val="32"/>
          <w:szCs w:val="32"/>
        </w:rPr>
      </w:pPr>
      <w:bookmarkStart w:id="136" w:name="_Toc9693"/>
      <w:bookmarkStart w:id="137" w:name="_Toc3294"/>
      <w:r>
        <w:rPr>
          <w:rFonts w:hint="eastAsia" w:ascii="仿宋_GB2312" w:hAnsi="仿宋_GB2312" w:eastAsia="仿宋_GB2312" w:cs="仿宋_GB2312"/>
          <w:color w:val="000000"/>
          <w:sz w:val="32"/>
          <w:szCs w:val="32"/>
        </w:rPr>
        <w:t>牢牢把握“五转一变”的城市转型主攻方向，全力推动兴安区高质量转型发展，培育接续替代产业，强化基础设施和公共服务设施改造升级，实现经济转轨和区域转型。紧抓国家实施新一轮东北振兴战略，全力以赴争取各项政策。依托现有政策基础，完善基础设施和基本公共服务设施，加快区域人口集聚、产业提质、开放提效，增强区域发展能力，确保发展稳定繁荣。</w:t>
      </w:r>
      <w:r>
        <w:rPr>
          <w:rFonts w:hint="eastAsia" w:ascii="仿宋_GB2312" w:hAnsi="仿宋_GB2312" w:eastAsia="仿宋_GB2312" w:cs="仿宋_GB2312"/>
          <w:bCs/>
          <w:kern w:val="0"/>
          <w:sz w:val="32"/>
          <w:szCs w:val="32"/>
        </w:rPr>
        <w:t>推进以人为核心的新型城镇化，统筹区域规划、建设和管理，合理确定区域规模、人口密度，有序推动农业转移人口市民化，提高区域空间利用效率。</w:t>
      </w:r>
    </w:p>
    <w:p>
      <w:pPr>
        <w:pStyle w:val="36"/>
        <w:pageBreakBefore w:val="0"/>
        <w:kinsoku/>
        <w:wordWrap/>
        <w:overflowPunct/>
        <w:topLinePunct w:val="0"/>
        <w:autoSpaceDE/>
        <w:autoSpaceDN/>
        <w:bidi w:val="0"/>
        <w:spacing w:before="240" w:after="240" w:line="600" w:lineRule="exact"/>
        <w:textAlignment w:val="auto"/>
        <w:outlineLvl w:val="0"/>
        <w:rPr>
          <w:rFonts w:hint="eastAsia" w:ascii="宋体" w:hAnsi="宋体" w:eastAsia="宋体" w:cs="宋体"/>
          <w:b/>
          <w:bCs/>
          <w:sz w:val="32"/>
          <w:szCs w:val="32"/>
          <w:lang w:val="en-US" w:eastAsia="zh-CN"/>
        </w:rPr>
      </w:pPr>
      <w:bookmarkStart w:id="138" w:name="_Toc22679"/>
      <w:bookmarkStart w:id="139" w:name="_Toc4925"/>
      <w:r>
        <w:rPr>
          <w:rFonts w:hint="eastAsia" w:ascii="宋体" w:hAnsi="宋体" w:eastAsia="宋体" w:cs="宋体"/>
          <w:b/>
          <w:bCs/>
          <w:lang w:val="en-US" w:eastAsia="zh-CN"/>
        </w:rPr>
        <w:t xml:space="preserve">第六章 </w:t>
      </w:r>
      <w:r>
        <w:rPr>
          <w:rFonts w:hint="eastAsia" w:ascii="宋体" w:hAnsi="宋体" w:eastAsia="宋体" w:cs="宋体"/>
          <w:b/>
          <w:bCs/>
        </w:rPr>
        <w:t>提升生态系统质量和稳定性</w:t>
      </w:r>
      <w:r>
        <w:rPr>
          <w:rFonts w:hint="eastAsia" w:ascii="宋体" w:hAnsi="宋体" w:eastAsia="宋体" w:cs="宋体"/>
          <w:b/>
          <w:bCs/>
          <w:lang w:val="en-US" w:eastAsia="zh-CN"/>
        </w:rPr>
        <w:t xml:space="preserve"> 推进生态文明建设</w:t>
      </w:r>
      <w:bookmarkEnd w:id="136"/>
      <w:bookmarkEnd w:id="137"/>
      <w:bookmarkEnd w:id="138"/>
      <w:bookmarkEnd w:id="139"/>
    </w:p>
    <w:p>
      <w:pPr>
        <w:spacing w:line="600" w:lineRule="exact"/>
        <w:ind w:firstLine="666" w:firstLineChars="200"/>
        <w:rPr>
          <w:rFonts w:ascii="黑体" w:hAnsi="黑体" w:eastAsia="黑体"/>
          <w:sz w:val="32"/>
          <w:szCs w:val="32"/>
        </w:rPr>
      </w:pPr>
      <w:bookmarkStart w:id="140" w:name="_Toc11365"/>
      <w:bookmarkStart w:id="141" w:name="_Toc56076268"/>
      <w:r>
        <w:rPr>
          <w:rFonts w:hint="eastAsia" w:ascii="仿宋_GB2312" w:hAnsi="仿宋_GB2312" w:eastAsia="仿宋_GB2312" w:cs="仿宋_GB2312"/>
          <w:sz w:val="32"/>
          <w:szCs w:val="32"/>
        </w:rPr>
        <w:t>以习近平生态文明思想为指导，牢固树立“绿水青山就是金山银山，冰天雪地也是金山银山”的理念，贯彻市委“铸魂、提品、净水、增绿”的生态理念，坚持生态优先、绿色发展，统筹经济高质量转型发展和生态环境高水平保护，加快美丽兴安建设步伐。</w:t>
      </w:r>
    </w:p>
    <w:p>
      <w:pPr>
        <w:pStyle w:val="36"/>
        <w:pageBreakBefore w:val="0"/>
        <w:kinsoku/>
        <w:wordWrap/>
        <w:overflowPunct/>
        <w:topLinePunct w:val="0"/>
        <w:autoSpaceDE/>
        <w:autoSpaceDN/>
        <w:bidi w:val="0"/>
        <w:spacing w:before="240" w:after="240" w:line="600" w:lineRule="exact"/>
        <w:textAlignment w:val="auto"/>
      </w:pPr>
      <w:bookmarkStart w:id="142" w:name="_Toc2665"/>
      <w:bookmarkStart w:id="143" w:name="_Toc11104"/>
      <w:r>
        <w:rPr>
          <w:rFonts w:hint="eastAsia"/>
        </w:rPr>
        <w:t>第一节</w:t>
      </w:r>
      <w:r>
        <w:rPr>
          <w:rFonts w:hint="eastAsia"/>
          <w:lang w:val="en-US" w:eastAsia="zh-CN"/>
        </w:rPr>
        <w:t xml:space="preserve"> </w:t>
      </w:r>
      <w:r>
        <w:rPr>
          <w:rFonts w:hint="eastAsia"/>
        </w:rPr>
        <w:t>加快形成绿色发展方式</w:t>
      </w:r>
      <w:bookmarkEnd w:id="140"/>
      <w:bookmarkEnd w:id="141"/>
      <w:bookmarkEnd w:id="142"/>
      <w:bookmarkEnd w:id="143"/>
    </w:p>
    <w:p>
      <w:pPr>
        <w:pageBreakBefore w:val="0"/>
        <w:widowControl w:val="0"/>
        <w:kinsoku/>
        <w:wordWrap/>
        <w:overflowPunct/>
        <w:topLinePunct w:val="0"/>
        <w:autoSpaceDE/>
        <w:autoSpaceDN/>
        <w:bidi w:val="0"/>
        <w:adjustRightInd/>
        <w:snapToGrid/>
        <w:spacing w:after="0" w:line="600" w:lineRule="exact"/>
        <w:ind w:firstLine="666" w:firstLineChars="200"/>
        <w:contextualSpacing/>
        <w:jc w:val="both"/>
        <w:textAlignment w:val="auto"/>
        <w:rPr>
          <w:rFonts w:hint="eastAsia" w:ascii="仿宋_GB2312" w:hAnsi="仿宋_GB2312" w:eastAsia="仿宋_GB2312" w:cs="仿宋_GB2312"/>
          <w:color w:val="000000"/>
          <w:sz w:val="32"/>
          <w:szCs w:val="32"/>
        </w:rPr>
      </w:pPr>
      <w:r>
        <w:rPr>
          <w:rFonts w:hint="eastAsia" w:ascii="楷体" w:hAnsi="楷体" w:eastAsia="楷体"/>
          <w:b/>
          <w:color w:val="000000"/>
          <w:sz w:val="32"/>
          <w:szCs w:val="32"/>
        </w:rPr>
        <w:t>加强资源节约利用。</w:t>
      </w:r>
      <w:r>
        <w:rPr>
          <w:rFonts w:hint="eastAsia" w:ascii="仿宋_GB2312" w:hAnsi="仿宋_GB2312" w:eastAsia="仿宋_GB2312" w:cs="仿宋_GB2312"/>
          <w:color w:val="000000"/>
          <w:sz w:val="32"/>
          <w:szCs w:val="32"/>
        </w:rPr>
        <w:t>构建绿色循环现代工业体系，开展绿色制造示范行动，加快绿色金融发展和绿色技术创新，推动先进节能技术和材料应用，强化节能评估审查，推进工业、交通、建筑、公共机构等重点领域节能。大力推进绿色矿山建设，严格按绿色矿山建设标准配置资源，进一步推进资源利用与矿山发展相协调。</w:t>
      </w:r>
      <w:r>
        <w:rPr>
          <w:rFonts w:hint="eastAsia" w:ascii="仿宋_GB2312" w:hAnsi="仿宋_GB2312" w:eastAsia="仿宋_GB2312" w:cs="仿宋_GB2312"/>
          <w:color w:val="000000"/>
          <w:sz w:val="32"/>
          <w:szCs w:val="32"/>
          <w:lang w:eastAsia="zh-CN"/>
        </w:rPr>
        <w:t>倡导</w:t>
      </w:r>
      <w:r>
        <w:rPr>
          <w:rFonts w:hint="eastAsia" w:ascii="仿宋_GB2312" w:hAnsi="仿宋_GB2312" w:eastAsia="仿宋_GB2312" w:cs="仿宋_GB2312"/>
          <w:color w:val="000000"/>
          <w:sz w:val="32"/>
          <w:szCs w:val="32"/>
        </w:rPr>
        <w:t>科学用电、节约用电、有序用电。构建废旧物资循环利用体系，推动产业行业之间、生产生活系统之间的循环式布局、循环式</w:t>
      </w:r>
      <w:bookmarkStart w:id="144" w:name="page94"/>
      <w:bookmarkEnd w:id="144"/>
      <w:r>
        <w:rPr>
          <w:rFonts w:hint="eastAsia" w:ascii="仿宋_GB2312" w:hAnsi="仿宋_GB2312" w:eastAsia="仿宋_GB2312" w:cs="仿宋_GB2312"/>
          <w:color w:val="000000"/>
          <w:sz w:val="32"/>
          <w:szCs w:val="32"/>
        </w:rPr>
        <w:t>组合、循环式流通，充分开发废弃物再利用，大力发展再制造技术和产业。推进秸秆等农林废弃物以及建筑垃圾、餐厨废弃物资源化利用。实行垃圾分类回收，完善再生资源回收体系。</w:t>
      </w:r>
    </w:p>
    <w:p>
      <w:pPr>
        <w:pageBreakBefore w:val="0"/>
        <w:widowControl w:val="0"/>
        <w:kinsoku/>
        <w:wordWrap/>
        <w:overflowPunct/>
        <w:topLinePunct w:val="0"/>
        <w:autoSpaceDE/>
        <w:autoSpaceDN/>
        <w:bidi w:val="0"/>
        <w:adjustRightInd/>
        <w:snapToGrid/>
        <w:spacing w:after="0" w:line="600" w:lineRule="exact"/>
        <w:ind w:firstLine="666"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b/>
          <w:color w:val="000000"/>
          <w:sz w:val="32"/>
          <w:szCs w:val="32"/>
        </w:rPr>
        <w:t>推广绿色生活方式。</w:t>
      </w:r>
      <w:r>
        <w:rPr>
          <w:rFonts w:hint="eastAsia" w:ascii="仿宋_GB2312" w:hAnsi="仿宋_GB2312" w:eastAsia="仿宋_GB2312" w:cs="仿宋_GB2312"/>
          <w:color w:val="000000"/>
          <w:sz w:val="32"/>
          <w:szCs w:val="32"/>
          <w:lang w:eastAsia="zh-CN"/>
        </w:rPr>
        <w:t>落实</w:t>
      </w:r>
      <w:r>
        <w:rPr>
          <w:rFonts w:hint="eastAsia" w:ascii="仿宋_GB2312" w:hAnsi="仿宋_GB2312" w:eastAsia="仿宋_GB2312" w:cs="仿宋_GB2312"/>
          <w:color w:val="000000"/>
          <w:sz w:val="32"/>
          <w:szCs w:val="32"/>
        </w:rPr>
        <w:t>绿色生产和消费相关的法规、标准、政策体系，推动形成绿色生产和消费方式，坚决抵制和反对各种形式的奢侈浪费和过度消费，组织绿色生活创建活动，开展“光盘行动”、杜绝“舌尖上的浪费”，推行垃圾分类和资源化利用，通过生活方式绿色革命倒逼生产方式绿色转型。积极引导消费者购买新能源汽车、高能效家电、节水型器具等节能环保产品，减少一次性用品使用。大力推广绿色低碳出行，鼓励绿色生活休闲模式。推进绿色城镇化建设，开展绿色建筑引领行动，推行绿色殡葬。</w:t>
      </w:r>
    </w:p>
    <w:p>
      <w:pPr>
        <w:pStyle w:val="36"/>
        <w:pageBreakBefore w:val="0"/>
        <w:kinsoku/>
        <w:wordWrap/>
        <w:overflowPunct/>
        <w:topLinePunct w:val="0"/>
        <w:autoSpaceDE/>
        <w:autoSpaceDN/>
        <w:bidi w:val="0"/>
        <w:spacing w:before="240" w:after="240" w:line="600" w:lineRule="exact"/>
        <w:textAlignment w:val="auto"/>
        <w:rPr>
          <w:rFonts w:hint="eastAsia" w:ascii="仿宋_GB2312" w:hAnsi="仿宋_GB2312" w:eastAsia="仿宋_GB2312" w:cs="仿宋_GB2312"/>
          <w:b/>
          <w:bCs/>
          <w:sz w:val="32"/>
          <w:szCs w:val="32"/>
          <w:lang w:val="en-US" w:eastAsia="zh-CN"/>
        </w:rPr>
      </w:pPr>
      <w:bookmarkStart w:id="145" w:name="_Toc10737"/>
      <w:bookmarkStart w:id="146" w:name="_Toc29033"/>
      <w:bookmarkStart w:id="147" w:name="_Toc9731"/>
      <w:r>
        <w:rPr>
          <w:rFonts w:hint="eastAsia"/>
          <w:lang w:val="en-US" w:eastAsia="zh-CN"/>
        </w:rPr>
        <w:t>第二节 提升生态系统质量和稳定性</w:t>
      </w:r>
      <w:bookmarkEnd w:id="145"/>
      <w:bookmarkEnd w:id="146"/>
      <w:bookmarkEnd w:id="147"/>
    </w:p>
    <w:p>
      <w:pPr>
        <w:pageBreakBefore w:val="0"/>
        <w:widowControl w:val="0"/>
        <w:numPr>
          <w:ilvl w:val="0"/>
          <w:numId w:val="0"/>
        </w:numPr>
        <w:kinsoku/>
        <w:wordWrap/>
        <w:overflowPunct/>
        <w:topLinePunct w:val="0"/>
        <w:autoSpaceDE/>
        <w:autoSpaceDN/>
        <w:bidi w:val="0"/>
        <w:adjustRightInd/>
        <w:snapToGrid/>
        <w:spacing w:line="600" w:lineRule="exact"/>
        <w:ind w:firstLine="666" w:firstLineChars="200"/>
        <w:jc w:val="both"/>
        <w:textAlignment w:val="auto"/>
        <w:outlineLvl w:val="9"/>
        <w:rPr>
          <w:rFonts w:hint="default" w:ascii="仿宋_GB2312" w:hAnsi="仿宋_GB2312" w:eastAsia="仿宋_GB2312" w:cs="仿宋_GB2312"/>
          <w:b w:val="0"/>
          <w:bCs w:val="0"/>
          <w:sz w:val="32"/>
          <w:szCs w:val="32"/>
          <w:lang w:val="en-US" w:eastAsia="zh-CN"/>
        </w:rPr>
      </w:pPr>
      <w:bookmarkStart w:id="148" w:name="_Toc26881"/>
      <w:r>
        <w:rPr>
          <w:rFonts w:hint="eastAsia" w:ascii="楷体" w:hAnsi="楷体" w:eastAsia="楷体"/>
          <w:b/>
          <w:color w:val="000000"/>
          <w:sz w:val="32"/>
          <w:szCs w:val="32"/>
          <w:lang w:val="en-US" w:eastAsia="zh-CN"/>
        </w:rPr>
        <w:t>持续打好污染防治攻坚战。</w:t>
      </w:r>
      <w:r>
        <w:rPr>
          <w:rFonts w:hint="eastAsia" w:ascii="仿宋_GB2312" w:hAnsi="仿宋_GB2312" w:eastAsia="仿宋_GB2312" w:cs="仿宋_GB2312"/>
          <w:color w:val="auto"/>
          <w:sz w:val="32"/>
          <w:szCs w:val="32"/>
          <w:lang w:eastAsia="zh-CN"/>
        </w:rPr>
        <w:t>强化大气污染防治，严控工业企业大气污染排放，实施秸秆“全域、全时段、全面”禁烧。</w:t>
      </w:r>
      <w:r>
        <w:rPr>
          <w:rFonts w:hint="eastAsia" w:ascii="仿宋_GB2312" w:hAnsi="仿宋_GB2312" w:eastAsia="仿宋_GB2312" w:cs="仿宋_GB2312"/>
          <w:b w:val="0"/>
          <w:bCs w:val="0"/>
          <w:sz w:val="32"/>
          <w:szCs w:val="32"/>
          <w:lang w:val="en-US" w:eastAsia="zh-CN"/>
        </w:rPr>
        <w:t>开展扬尘和面源污染综合防治，做好重污染天气应对，改善大气环境质量。</w:t>
      </w:r>
      <w:r>
        <w:rPr>
          <w:rFonts w:hint="eastAsia" w:ascii="仿宋_GB2312" w:hAnsi="仿宋_GB2312" w:eastAsia="仿宋_GB2312" w:cs="仿宋_GB2312"/>
          <w:sz w:val="32"/>
          <w:szCs w:val="32"/>
          <w:lang w:val="en-US" w:eastAsia="zh-CN"/>
        </w:rPr>
        <w:t>实施水污染防治、黑臭水体治理工作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配合“两河十四沟”</w:t>
      </w:r>
      <w:r>
        <w:rPr>
          <w:rFonts w:hint="eastAsia" w:ascii="仿宋_GB2312" w:hAnsi="仿宋_GB2312" w:eastAsia="仿宋_GB2312" w:cs="仿宋_GB2312"/>
          <w:b w:val="0"/>
          <w:i w:val="0"/>
          <w:caps w:val="0"/>
          <w:color w:val="auto"/>
          <w:spacing w:val="0"/>
          <w:sz w:val="32"/>
          <w:szCs w:val="32"/>
          <w:shd w:val="clear" w:color="auto" w:fill="FFFFFF"/>
        </w:rPr>
        <w:t>清水秀岸综合治理工程</w:t>
      </w:r>
      <w:r>
        <w:rPr>
          <w:rFonts w:hint="eastAsia" w:ascii="仿宋_GB2312" w:hAnsi="仿宋_GB2312" w:eastAsia="仿宋_GB2312" w:cs="仿宋_GB2312"/>
          <w:color w:val="auto"/>
          <w:sz w:val="32"/>
          <w:szCs w:val="32"/>
        </w:rPr>
        <w:t>，实现河面无大面积漂浮物、河岸无大块垃圾、河道无违法排污口。</w:t>
      </w:r>
      <w:r>
        <w:rPr>
          <w:rFonts w:hint="eastAsia" w:ascii="仿宋_GB2312" w:hAnsi="仿宋_GB2312" w:eastAsia="仿宋_GB2312" w:cs="仿宋_GB2312"/>
          <w:b w:val="0"/>
          <w:bCs w:val="0"/>
          <w:sz w:val="32"/>
          <w:szCs w:val="32"/>
          <w:lang w:val="en-US" w:eastAsia="zh-CN"/>
        </w:rPr>
        <w:t>落实土壤污染综合防治措施，强化</w:t>
      </w:r>
      <w:r>
        <w:rPr>
          <w:rFonts w:hint="eastAsia" w:ascii="仿宋_GB2312" w:hAnsi="仿宋_GB2312" w:eastAsia="仿宋_GB2312" w:cs="仿宋_GB2312"/>
          <w:sz w:val="32"/>
          <w:szCs w:val="32"/>
        </w:rPr>
        <w:t>企业土壤</w:t>
      </w:r>
      <w:r>
        <w:rPr>
          <w:rFonts w:hint="eastAsia" w:ascii="仿宋_GB2312" w:hAnsi="仿宋_GB2312" w:eastAsia="仿宋_GB2312" w:cs="仿宋_GB2312"/>
          <w:sz w:val="32"/>
          <w:szCs w:val="32"/>
          <w:lang w:eastAsia="zh-CN"/>
        </w:rPr>
        <w:t>防治责任落实。</w:t>
      </w:r>
      <w:r>
        <w:rPr>
          <w:rFonts w:hint="eastAsia" w:ascii="仿宋_GB2312" w:hAnsi="仿宋_GB2312" w:eastAsia="仿宋_GB2312" w:cs="仿宋_GB2312"/>
          <w:b w:val="0"/>
          <w:bCs w:val="0"/>
          <w:sz w:val="32"/>
          <w:szCs w:val="32"/>
          <w:lang w:val="en-US" w:eastAsia="zh-CN"/>
        </w:rPr>
        <w:t xml:space="preserve">                                                                                                                                                                                                                                                                                                                                                                                                                                                                                                                                                                                                                                                                                                                                                                                                                                                                                                                                                                                                                                                                                                                                                                                                                                                                    </w:t>
      </w:r>
    </w:p>
    <w:p>
      <w:pPr>
        <w:pStyle w:val="19"/>
        <w:pageBreakBefore w:val="0"/>
        <w:widowControl w:val="0"/>
        <w:kinsoku/>
        <w:wordWrap/>
        <w:overflowPunct/>
        <w:topLinePunct w:val="0"/>
        <w:autoSpaceDE/>
        <w:autoSpaceDN/>
        <w:bidi w:val="0"/>
        <w:adjustRightInd/>
        <w:snapToGrid/>
        <w:spacing w:line="600" w:lineRule="exact"/>
        <w:ind w:left="0" w:leftChars="0" w:firstLine="666"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 w:hAnsi="楷体" w:eastAsia="楷体" w:cs="黑体"/>
          <w:b/>
          <w:color w:val="000000"/>
          <w:kern w:val="2"/>
          <w:sz w:val="32"/>
          <w:szCs w:val="32"/>
          <w:lang w:val="en-US" w:eastAsia="zh-CN" w:bidi="ar-SA"/>
        </w:rPr>
        <w:t>加强修复保护生态环境。</w:t>
      </w:r>
      <w:r>
        <w:rPr>
          <w:rFonts w:hint="eastAsia" w:ascii="仿宋_GB2312" w:hAnsi="仿宋_GB2312" w:eastAsia="仿宋_GB2312" w:cs="仿宋_GB2312"/>
          <w:b w:val="0"/>
          <w:bCs w:val="0"/>
          <w:sz w:val="32"/>
          <w:szCs w:val="32"/>
          <w:lang w:val="en-US" w:eastAsia="zh-CN"/>
        </w:rPr>
        <w:t>坚持人与自然和谐共生，实行最严格的生态环境保护制度，促进生态系统良性循环。巩固创建森林城市成果，全力推进金鹤公园、河东地区山水林田湖草生态修复项目建设，打造大陆南红叶园、峻昌小区小花园、小绿地亮点工程。</w:t>
      </w:r>
      <w:r>
        <w:rPr>
          <w:rFonts w:hint="eastAsia" w:ascii="仿宋_GB2312" w:hAnsi="仿宋_GB2312" w:eastAsia="仿宋_GB2312" w:cs="仿宋_GB2312"/>
          <w:sz w:val="32"/>
          <w:szCs w:val="32"/>
          <w:lang w:val="en-US" w:eastAsia="zh-CN"/>
        </w:rPr>
        <w:t>严格落实河长制，持续推进河湖“清四乱”常态化，强化河道环境保洁和垃圾转运体系建设，</w:t>
      </w:r>
      <w:r>
        <w:rPr>
          <w:rFonts w:hint="eastAsia" w:ascii="仿宋_GB2312" w:hAnsi="仿宋_GB2312" w:eastAsia="仿宋_GB2312" w:cs="仿宋_GB2312"/>
          <w:b w:val="0"/>
          <w:bCs w:val="0"/>
          <w:sz w:val="32"/>
          <w:szCs w:val="32"/>
          <w:lang w:eastAsia="zh-CN"/>
        </w:rPr>
        <w:t>实施网格化管理体系，</w:t>
      </w:r>
      <w:r>
        <w:rPr>
          <w:rFonts w:hint="eastAsia" w:ascii="仿宋_GB2312" w:hAnsi="仿宋_GB2312" w:eastAsia="仿宋_GB2312" w:cs="仿宋_GB2312"/>
          <w:b w:val="0"/>
          <w:bCs w:val="0"/>
          <w:sz w:val="32"/>
          <w:szCs w:val="32"/>
          <w:lang w:val="en-US" w:eastAsia="zh-CN"/>
        </w:rPr>
        <w:t>保障辖区水生态向好发展。</w:t>
      </w:r>
    </w:p>
    <w:p>
      <w:pPr>
        <w:pageBreakBefore w:val="0"/>
        <w:widowControl w:val="0"/>
        <w:kinsoku/>
        <w:wordWrap/>
        <w:overflowPunct/>
        <w:topLinePunct w:val="0"/>
        <w:autoSpaceDE/>
        <w:autoSpaceDN/>
        <w:bidi w:val="0"/>
        <w:adjustRightInd/>
        <w:snapToGrid/>
        <w:spacing w:line="600" w:lineRule="exact"/>
        <w:ind w:firstLine="666" w:firstLineChars="200"/>
        <w:contextualSpacing/>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 w:hAnsi="楷体" w:eastAsia="楷体" w:cs="黑体"/>
          <w:b/>
          <w:color w:val="000000"/>
          <w:kern w:val="2"/>
          <w:sz w:val="32"/>
          <w:szCs w:val="32"/>
          <w:lang w:val="en-US" w:eastAsia="zh-CN" w:bidi="ar-SA"/>
        </w:rPr>
        <w:t>强化危险废弃物处理。</w:t>
      </w:r>
      <w:r>
        <w:rPr>
          <w:rFonts w:hint="eastAsia" w:ascii="仿宋_GB2312" w:hAnsi="仿宋_GB2312" w:eastAsia="仿宋_GB2312" w:cs="仿宋_GB2312"/>
          <w:kern w:val="2"/>
          <w:sz w:val="32"/>
          <w:szCs w:val="32"/>
          <w:lang w:val="en-US" w:eastAsia="zh-CN" w:bidi="ar-SA"/>
        </w:rPr>
        <w:t>加强危险废弃物环境监管，对全区危险废弃物产生企业实现动态数据库管理。健全危险废弃物全过程风险预防和监管机制，对企业产生的危险废弃物从产生、转运、贮存、处置全过程进行规范化管理。对企业在危险废弃物转运过程中严格实行转移联单制度，杜绝危险废弃物出现遗漏现象。</w:t>
      </w:r>
      <w:bookmarkStart w:id="149" w:name="_Toc8067"/>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rPr>
          <w:rFonts w:hint="eastAsia" w:asciiTheme="majorEastAsia" w:hAnsiTheme="majorEastAsia" w:eastAsiaTheme="majorEastAsia" w:cstheme="majorEastAsia"/>
          <w:kern w:val="44"/>
          <w:lang w:val="en-US" w:eastAsia="zh-CN"/>
        </w:rPr>
      </w:pPr>
      <w:bookmarkStart w:id="150" w:name="_Toc30123"/>
      <w:bookmarkStart w:id="151" w:name="_Toc15312"/>
      <w:r>
        <w:rPr>
          <w:rFonts w:hint="eastAsia" w:asciiTheme="majorEastAsia" w:hAnsiTheme="majorEastAsia" w:eastAsiaTheme="majorEastAsia" w:cstheme="majorEastAsia"/>
          <w:kern w:val="44"/>
          <w:lang w:val="en-US" w:eastAsia="zh-CN"/>
        </w:rPr>
        <w:t>第七章 深化开放合作战略 打造经济增长新引擎</w:t>
      </w:r>
      <w:bookmarkEnd w:id="148"/>
      <w:bookmarkEnd w:id="149"/>
      <w:bookmarkEnd w:id="150"/>
      <w:bookmarkEnd w:id="151"/>
      <w:bookmarkStart w:id="152" w:name="_Toc11274"/>
      <w:bookmarkStart w:id="153" w:name="_Toc9720"/>
    </w:p>
    <w:p>
      <w:pPr>
        <w:pageBreakBefore w:val="0"/>
        <w:widowControl w:val="0"/>
        <w:kinsoku/>
        <w:wordWrap/>
        <w:overflowPunct/>
        <w:topLinePunct w:val="0"/>
        <w:autoSpaceDE/>
        <w:autoSpaceDN/>
        <w:bidi w:val="0"/>
        <w:adjustRightInd/>
        <w:snapToGrid/>
        <w:spacing w:line="600" w:lineRule="exact"/>
        <w:ind w:firstLine="666" w:firstLineChars="200"/>
        <w:contextualSpacing/>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快构建开放型经济新体系，坚持扩大内需战略，扩大高水平对外开放，开拓对外贸易，提升产品质量、扩大外贸出口。以对口合作为重点，促进更大范围、更宽领域、更深层次全面开放，打造兴安经济新增长点。</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ascii="黑体" w:hAnsi="黑体" w:eastAsia="黑体" w:cs="黑体"/>
          <w:b w:val="0"/>
          <w:bCs w:val="0"/>
          <w:color w:val="000000"/>
          <w:kern w:val="2"/>
          <w:sz w:val="32"/>
          <w:szCs w:val="32"/>
          <w:lang w:val="en-US" w:eastAsia="zh-CN" w:bidi="ar-SA"/>
        </w:rPr>
      </w:pPr>
      <w:bookmarkStart w:id="154" w:name="_Toc18041"/>
      <w:bookmarkStart w:id="155" w:name="_Toc28144"/>
      <w:r>
        <w:rPr>
          <w:rFonts w:hint="eastAsia"/>
          <w:kern w:val="0"/>
          <w:lang w:val="en-US" w:eastAsia="zh-CN"/>
        </w:rPr>
        <w:t>第一</w:t>
      </w:r>
      <w:r>
        <w:rPr>
          <w:rFonts w:hint="eastAsia" w:ascii="黑体" w:hAnsi="黑体" w:eastAsia="黑体" w:cs="黑体"/>
          <w:b w:val="0"/>
          <w:bCs w:val="0"/>
          <w:color w:val="000000"/>
          <w:kern w:val="2"/>
          <w:sz w:val="32"/>
          <w:szCs w:val="32"/>
          <w:lang w:val="en-US" w:eastAsia="zh-CN" w:bidi="ar-SA"/>
        </w:rPr>
        <w:t xml:space="preserve">节 </w:t>
      </w:r>
      <w:bookmarkEnd w:id="152"/>
      <w:bookmarkEnd w:id="153"/>
      <w:r>
        <w:rPr>
          <w:rFonts w:hint="eastAsia" w:ascii="黑体" w:hAnsi="黑体" w:eastAsia="黑体" w:cs="黑体"/>
          <w:b w:val="0"/>
          <w:bCs w:val="0"/>
          <w:color w:val="000000"/>
          <w:kern w:val="2"/>
          <w:sz w:val="32"/>
          <w:szCs w:val="32"/>
          <w:lang w:val="en-US" w:eastAsia="zh-CN" w:bidi="ar-SA"/>
        </w:rPr>
        <w:t>坚持扩大内需</w:t>
      </w:r>
      <w:r>
        <w:rPr>
          <w:rFonts w:hint="eastAsia" w:cs="黑体"/>
          <w:b w:val="0"/>
          <w:bCs w:val="0"/>
          <w:color w:val="000000"/>
          <w:kern w:val="2"/>
          <w:sz w:val="32"/>
          <w:szCs w:val="32"/>
          <w:lang w:val="en-US" w:eastAsia="zh-CN" w:bidi="ar-SA"/>
        </w:rPr>
        <w:t>，</w:t>
      </w:r>
      <w:r>
        <w:rPr>
          <w:rFonts w:hint="eastAsia" w:ascii="黑体" w:hAnsi="黑体" w:eastAsia="黑体" w:cs="黑体"/>
          <w:b w:val="0"/>
          <w:bCs w:val="0"/>
          <w:color w:val="000000"/>
          <w:kern w:val="2"/>
          <w:sz w:val="32"/>
          <w:szCs w:val="32"/>
          <w:lang w:val="en-US" w:eastAsia="zh-CN" w:bidi="ar-SA"/>
        </w:rPr>
        <w:t>增强发展动力</w:t>
      </w:r>
      <w:bookmarkEnd w:id="154"/>
      <w:bookmarkEnd w:id="155"/>
    </w:p>
    <w:p>
      <w:pPr>
        <w:spacing w:line="600" w:lineRule="exact"/>
        <w:ind w:firstLine="666" w:firstLineChars="200"/>
        <w:rPr>
          <w:rFonts w:ascii="仿宋_GB2312" w:hAnsi="仿宋_GB2312" w:eastAsia="仿宋_GB2312" w:cs="仿宋_GB2312"/>
          <w:sz w:val="32"/>
          <w:szCs w:val="32"/>
        </w:rPr>
      </w:pPr>
      <w:bookmarkStart w:id="156" w:name="_Toc2173"/>
      <w:bookmarkStart w:id="157" w:name="_Toc1981"/>
      <w:bookmarkStart w:id="158" w:name="_Toc28828"/>
      <w:r>
        <w:rPr>
          <w:rFonts w:hint="eastAsia" w:ascii="仿宋_GB2312" w:hAnsi="仿宋_GB2312" w:eastAsia="仿宋_GB2312" w:cs="仿宋_GB2312"/>
          <w:sz w:val="32"/>
          <w:szCs w:val="32"/>
        </w:rPr>
        <w:t>持续扩大内需，在兴安区</w:t>
      </w:r>
      <w:r>
        <w:rPr>
          <w:rFonts w:hint="eastAsia" w:ascii="仿宋_GB2312" w:hAnsi="仿宋_GB2312" w:eastAsia="仿宋_GB2312" w:cs="仿宋_GB2312"/>
          <w:sz w:val="32"/>
          <w:szCs w:val="32"/>
          <w:lang w:eastAsia="zh-CN"/>
        </w:rPr>
        <w:t>零公里、大陆南地区谋划</w:t>
      </w:r>
      <w:r>
        <w:rPr>
          <w:rFonts w:hint="eastAsia" w:ascii="仿宋_GB2312" w:hAnsi="仿宋_GB2312" w:eastAsia="仿宋_GB2312" w:cs="仿宋_GB2312"/>
          <w:sz w:val="32"/>
          <w:szCs w:val="32"/>
        </w:rPr>
        <w:t>建设商业街、步行街</w:t>
      </w:r>
      <w:r>
        <w:rPr>
          <w:rFonts w:hint="eastAsia" w:ascii="仿宋_GB2312" w:hAnsi="仿宋_GB2312" w:eastAsia="仿宋_GB2312" w:cs="仿宋_GB2312"/>
          <w:sz w:val="32"/>
          <w:szCs w:val="32"/>
          <w:lang w:eastAsia="zh-CN"/>
        </w:rPr>
        <w:t>，为兴安区辖区居民购物消费提供方便，促进社会消费品零售总额的提升；</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eastAsia="zh-CN"/>
        </w:rPr>
        <w:t>壹佰加生活超市、好宜家生活超市、金广超市等</w:t>
      </w:r>
      <w:r>
        <w:rPr>
          <w:rFonts w:hint="eastAsia" w:ascii="仿宋_GB2312" w:hAnsi="仿宋_GB2312" w:eastAsia="仿宋_GB2312" w:cs="仿宋_GB2312"/>
          <w:sz w:val="32"/>
          <w:szCs w:val="32"/>
        </w:rPr>
        <w:t>商贸服务企业以连锁经营、加盟经营等方式增加服务网点，提升兴安区物资供应服务网络；</w:t>
      </w:r>
      <w:r>
        <w:rPr>
          <w:rFonts w:hint="eastAsia" w:ascii="仿宋_GB2312" w:hAnsi="仿宋_GB2312" w:eastAsia="仿宋_GB2312" w:cs="仿宋_GB2312"/>
          <w:sz w:val="32"/>
          <w:szCs w:val="32"/>
          <w:lang w:eastAsia="zh-CN"/>
        </w:rPr>
        <w:t>围绕在建的</w:t>
      </w:r>
      <w:r>
        <w:rPr>
          <w:rFonts w:hint="eastAsia" w:ascii="仿宋_GB2312" w:hAnsi="仿宋_GB2312" w:eastAsia="仿宋_GB2312" w:cs="仿宋_GB2312"/>
          <w:sz w:val="32"/>
          <w:szCs w:val="32"/>
        </w:rPr>
        <w:t>金鹤公园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引入游</w:t>
      </w:r>
      <w:r>
        <w:rPr>
          <w:rFonts w:hint="eastAsia" w:ascii="仿宋_GB2312" w:hAnsi="仿宋_GB2312" w:eastAsia="仿宋_GB2312" w:cs="仿宋_GB2312"/>
          <w:sz w:val="32"/>
          <w:szCs w:val="32"/>
          <w:lang w:eastAsia="zh-CN"/>
        </w:rPr>
        <w:t>玩、娱乐等</w:t>
      </w:r>
      <w:r>
        <w:rPr>
          <w:rFonts w:hint="eastAsia" w:ascii="仿宋_GB2312" w:hAnsi="仿宋_GB2312" w:eastAsia="仿宋_GB2312" w:cs="仿宋_GB2312"/>
          <w:sz w:val="32"/>
          <w:szCs w:val="32"/>
        </w:rPr>
        <w:t>商业元素，打造商旅文体联动示范项目；鼓励发展便民服务中心建设，推动</w:t>
      </w:r>
      <w:r>
        <w:rPr>
          <w:rFonts w:hint="eastAsia" w:ascii="仿宋_GB2312" w:hAnsi="仿宋_GB2312" w:eastAsia="仿宋_GB2312" w:cs="仿宋_GB2312"/>
          <w:sz w:val="32"/>
          <w:szCs w:val="32"/>
          <w:lang w:eastAsia="zh-CN"/>
        </w:rPr>
        <w:t>医疗养老、</w:t>
      </w:r>
      <w:r>
        <w:rPr>
          <w:rFonts w:hint="eastAsia" w:ascii="仿宋_GB2312" w:hAnsi="仿宋_GB2312" w:eastAsia="仿宋_GB2312" w:cs="仿宋_GB2312"/>
          <w:sz w:val="32"/>
          <w:szCs w:val="32"/>
        </w:rPr>
        <w:t>社区家政、餐饮、住宿等商贸服务业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高质量发展。</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kern w:val="0"/>
          <w:lang w:val="en-US" w:eastAsia="zh-CN"/>
        </w:rPr>
      </w:pPr>
      <w:bookmarkStart w:id="159" w:name="_Toc7575"/>
      <w:r>
        <w:rPr>
          <w:rFonts w:hint="eastAsia"/>
          <w:kern w:val="0"/>
          <w:lang w:val="en-US" w:eastAsia="zh-CN"/>
        </w:rPr>
        <w:t xml:space="preserve">第二节 </w:t>
      </w:r>
      <w:bookmarkEnd w:id="156"/>
      <w:bookmarkEnd w:id="157"/>
      <w:bookmarkStart w:id="160" w:name="_Toc25003"/>
      <w:r>
        <w:rPr>
          <w:rFonts w:hint="eastAsia"/>
          <w:kern w:val="0"/>
          <w:lang w:val="en-US" w:eastAsia="zh-CN"/>
        </w:rPr>
        <w:t>培育电商企业，发展网红经济</w:t>
      </w:r>
      <w:bookmarkEnd w:id="158"/>
      <w:bookmarkEnd w:id="159"/>
    </w:p>
    <w:p>
      <w:pPr>
        <w:spacing w:line="600" w:lineRule="exact"/>
        <w:ind w:firstLine="666" w:firstLineChars="200"/>
        <w:rPr>
          <w:rFonts w:ascii="仿宋_GB2312" w:hAnsi="仿宋_GB2312" w:eastAsia="仿宋_GB2312" w:cs="仿宋_GB2312"/>
          <w:sz w:val="32"/>
          <w:szCs w:val="32"/>
        </w:rPr>
      </w:pPr>
      <w:bookmarkStart w:id="161" w:name="_Toc19626"/>
      <w:bookmarkStart w:id="162" w:name="_Toc13065"/>
      <w:r>
        <w:rPr>
          <w:rFonts w:hint="eastAsia" w:ascii="仿宋_GB2312" w:hAnsi="仿宋_GB2312" w:eastAsia="仿宋_GB2312" w:cs="仿宋_GB2312"/>
          <w:sz w:val="32"/>
          <w:szCs w:val="32"/>
          <w:lang w:eastAsia="zh-CN"/>
        </w:rPr>
        <w:t>积极推动中科际加电商直播基地项目落地，促进</w:t>
      </w:r>
      <w:r>
        <w:rPr>
          <w:rFonts w:hint="eastAsia" w:ascii="仿宋_GB2312" w:hAnsi="仿宋_GB2312" w:eastAsia="仿宋_GB2312" w:cs="仿宋_GB2312"/>
          <w:sz w:val="32"/>
          <w:szCs w:val="32"/>
        </w:rPr>
        <w:t>兴安网红</w:t>
      </w:r>
      <w:r>
        <w:rPr>
          <w:rFonts w:hint="eastAsia" w:ascii="仿宋_GB2312" w:hAnsi="仿宋_GB2312" w:eastAsia="仿宋_GB2312" w:cs="仿宋_GB2312"/>
          <w:sz w:val="32"/>
          <w:szCs w:val="32"/>
          <w:lang w:eastAsia="zh-CN"/>
        </w:rPr>
        <w:t>经济的发展，发展壮大</w:t>
      </w:r>
      <w:r>
        <w:rPr>
          <w:rFonts w:hint="eastAsia" w:ascii="仿宋_GB2312" w:hAnsi="仿宋_GB2312" w:eastAsia="仿宋_GB2312" w:cs="仿宋_GB2312"/>
          <w:sz w:val="32"/>
          <w:szCs w:val="32"/>
        </w:rPr>
        <w:t>数字经济</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将兴安双创孵化基地打造成省级孵化基地</w:t>
      </w:r>
      <w:r>
        <w:rPr>
          <w:rFonts w:hint="eastAsia" w:ascii="仿宋_GB2312" w:hAnsi="仿宋_GB2312" w:eastAsia="仿宋_GB2312" w:cs="仿宋_GB2312"/>
          <w:sz w:val="32"/>
          <w:szCs w:val="32"/>
          <w:lang w:eastAsia="zh-CN"/>
        </w:rPr>
        <w:t>为目标，</w:t>
      </w:r>
      <w:r>
        <w:rPr>
          <w:rFonts w:hint="eastAsia" w:ascii="仿宋_GB2312" w:hAnsi="仿宋_GB2312" w:eastAsia="仿宋_GB2312" w:cs="仿宋_GB2312"/>
          <w:sz w:val="32"/>
          <w:szCs w:val="32"/>
        </w:rPr>
        <w:t>聘请运营公司，完成兴安双创孵化基地的扩建及基础设施建设工作</w:t>
      </w:r>
      <w:r>
        <w:rPr>
          <w:rFonts w:hint="eastAsia" w:ascii="仿宋_GB2312" w:hAnsi="仿宋_GB2312" w:eastAsia="仿宋_GB2312" w:cs="仿宋_GB2312"/>
          <w:sz w:val="32"/>
          <w:szCs w:val="32"/>
          <w:lang w:eastAsia="zh-CN"/>
        </w:rPr>
        <w:t>，为入孵企业提供</w:t>
      </w:r>
      <w:r>
        <w:rPr>
          <w:rFonts w:ascii="仿宋" w:hAnsi="仿宋" w:eastAsia="仿宋" w:cs="仿宋"/>
          <w:spacing w:val="-6"/>
          <w:kern w:val="1"/>
          <w:sz w:val="32"/>
          <w:szCs w:val="32"/>
        </w:rPr>
        <w:t>科技孵化、</w:t>
      </w:r>
      <w:r>
        <w:rPr>
          <w:rFonts w:hint="eastAsia" w:ascii="仿宋" w:hAnsi="仿宋" w:eastAsia="仿宋" w:cs="仿宋"/>
          <w:spacing w:val="-6"/>
          <w:kern w:val="1"/>
          <w:sz w:val="32"/>
          <w:szCs w:val="32"/>
        </w:rPr>
        <w:t>法务咨询</w:t>
      </w:r>
      <w:r>
        <w:rPr>
          <w:rFonts w:hint="eastAsia" w:ascii="仿宋" w:hAnsi="仿宋" w:eastAsia="仿宋" w:cs="仿宋"/>
          <w:spacing w:val="-6"/>
          <w:kern w:val="1"/>
          <w:sz w:val="32"/>
          <w:szCs w:val="32"/>
          <w:lang w:eastAsia="zh-CN"/>
        </w:rPr>
        <w:t>等服务</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在人民广场等人员密集区域开展线上线下展销活动，帮助</w:t>
      </w:r>
      <w:r>
        <w:rPr>
          <w:rFonts w:hint="eastAsia" w:ascii="仿宋_GB2312" w:hAnsi="仿宋_GB2312" w:eastAsia="仿宋_GB2312" w:cs="仿宋_GB2312"/>
          <w:sz w:val="32"/>
          <w:szCs w:val="32"/>
        </w:rPr>
        <w:t>企业拓展销售渠道，促进线上线下深入融合、商品和服务消费互动融合、流通和生产对接融合；推动</w:t>
      </w:r>
      <w:r>
        <w:rPr>
          <w:rFonts w:hint="eastAsia" w:ascii="仿宋_GB2312" w:hAnsi="仿宋_GB2312" w:eastAsia="仿宋_GB2312" w:cs="仿宋_GB2312"/>
          <w:sz w:val="32"/>
          <w:szCs w:val="32"/>
          <w:lang w:eastAsia="zh-CN"/>
        </w:rPr>
        <w:t>阿拉丁电子商务有限公司发展，加大“鹤岗市名优特产品交易中心”推广力度，</w:t>
      </w:r>
      <w:r>
        <w:rPr>
          <w:rFonts w:hint="eastAsia" w:ascii="仿宋_GB2312" w:hAnsi="仿宋_GB2312" w:eastAsia="仿宋_GB2312" w:cs="仿宋_GB2312"/>
          <w:sz w:val="32"/>
          <w:szCs w:val="32"/>
        </w:rPr>
        <w:t>加快移动电子商务在购物</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服务消费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交通、医疗、教育、旅游、养老等</w:t>
      </w:r>
      <w:r>
        <w:rPr>
          <w:rFonts w:hint="eastAsia" w:ascii="仿宋_GB2312" w:hAnsi="仿宋_GB2312" w:eastAsia="仿宋_GB2312" w:cs="仿宋_GB2312"/>
          <w:sz w:val="32"/>
          <w:szCs w:val="32"/>
          <w:lang w:eastAsia="zh-CN"/>
        </w:rPr>
        <w:t>生活服务</w:t>
      </w:r>
      <w:r>
        <w:rPr>
          <w:rFonts w:hint="eastAsia" w:ascii="仿宋_GB2312" w:hAnsi="仿宋_GB2312" w:eastAsia="仿宋_GB2312" w:cs="仿宋_GB2312"/>
          <w:sz w:val="32"/>
          <w:szCs w:val="32"/>
        </w:rPr>
        <w:t>领域的应用</w:t>
      </w:r>
      <w:r>
        <w:rPr>
          <w:rFonts w:hint="eastAsia" w:ascii="仿宋_GB2312" w:hAnsi="仿宋_GB2312" w:eastAsia="仿宋_GB2312" w:cs="仿宋_GB2312"/>
          <w:sz w:val="32"/>
          <w:szCs w:val="32"/>
          <w:lang w:eastAsia="zh-CN"/>
        </w:rPr>
        <w:t>；积极参加“绿博会线上展销活动”等线上展会，</w:t>
      </w:r>
      <w:r>
        <w:rPr>
          <w:rFonts w:hint="eastAsia" w:ascii="仿宋_GB2312" w:hAnsi="仿宋_GB2312" w:eastAsia="仿宋_GB2312" w:cs="仿宋_GB2312"/>
          <w:sz w:val="32"/>
          <w:szCs w:val="32"/>
        </w:rPr>
        <w:t>探索“互联网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会展”线上线下结合的会展新模式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推动线上线下宣传、展示、交易。</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kern w:val="0"/>
          <w:lang w:val="en-US" w:eastAsia="zh-CN"/>
        </w:rPr>
      </w:pPr>
      <w:bookmarkStart w:id="163" w:name="_Toc6829"/>
      <w:r>
        <w:rPr>
          <w:rFonts w:hint="eastAsia"/>
          <w:kern w:val="0"/>
          <w:lang w:val="en-US" w:eastAsia="zh-CN"/>
        </w:rPr>
        <w:t xml:space="preserve">第三节 </w:t>
      </w:r>
      <w:bookmarkEnd w:id="160"/>
      <w:bookmarkEnd w:id="161"/>
      <w:r>
        <w:rPr>
          <w:rFonts w:hint="eastAsia"/>
          <w:kern w:val="0"/>
          <w:lang w:val="en-US" w:eastAsia="zh-CN"/>
        </w:rPr>
        <w:t>拓展外贸业务，扩大出口总值</w:t>
      </w:r>
      <w:bookmarkEnd w:id="162"/>
      <w:bookmarkEnd w:id="163"/>
    </w:p>
    <w:p>
      <w:pPr>
        <w:spacing w:line="600" w:lineRule="exact"/>
        <w:ind w:firstLine="666" w:firstLineChars="200"/>
        <w:rPr>
          <w:rFonts w:ascii="仿宋_GB2312" w:hAnsi="仿宋_GB2312" w:eastAsia="仿宋_GB2312" w:cs="仿宋_GB2312"/>
          <w:sz w:val="32"/>
          <w:szCs w:val="32"/>
        </w:rPr>
      </w:pPr>
      <w:bookmarkStart w:id="164" w:name="_Toc8736"/>
      <w:bookmarkStart w:id="165" w:name="_Toc11521"/>
      <w:bookmarkStart w:id="166" w:name="_Toc2994"/>
      <w:r>
        <w:rPr>
          <w:rFonts w:hint="eastAsia" w:ascii="仿宋_GB2312" w:hAnsi="仿宋_GB2312" w:eastAsia="仿宋_GB2312" w:cs="仿宋_GB2312"/>
          <w:sz w:val="32"/>
          <w:szCs w:val="32"/>
        </w:rPr>
        <w:t>深化合作开放，拓展外贸经营。</w:t>
      </w:r>
      <w:r>
        <w:rPr>
          <w:rFonts w:hint="eastAsia" w:ascii="仿宋_GB2312" w:hAnsi="仿宋_GB2312" w:eastAsia="仿宋_GB2312" w:cs="仿宋_GB2312"/>
          <w:sz w:val="32"/>
          <w:szCs w:val="32"/>
          <w:lang w:eastAsia="zh-CN"/>
        </w:rPr>
        <w:t>加大对</w:t>
      </w:r>
      <w:r>
        <w:rPr>
          <w:rFonts w:hint="eastAsia" w:ascii="仿宋_GB2312" w:hAnsi="仿宋_GB2312" w:eastAsia="仿宋_GB2312" w:cs="仿宋_GB2312"/>
          <w:sz w:val="32"/>
          <w:szCs w:val="32"/>
        </w:rPr>
        <w:t>互沐思生物科技有限公司</w:t>
      </w:r>
      <w:r>
        <w:rPr>
          <w:rFonts w:hint="eastAsia" w:ascii="仿宋_GB2312" w:hAnsi="仿宋_GB2312" w:eastAsia="仿宋_GB2312" w:cs="仿宋_GB2312"/>
          <w:sz w:val="32"/>
          <w:szCs w:val="32"/>
          <w:lang w:eastAsia="zh-CN"/>
        </w:rPr>
        <w:t>的腐植酸钾生产与研发项目的推进力度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加快项目落地速度，</w:t>
      </w:r>
      <w:r>
        <w:rPr>
          <w:rFonts w:hint="eastAsia" w:ascii="仿宋_GB2312" w:hAnsi="仿宋_GB2312" w:eastAsia="仿宋_GB2312" w:cs="仿宋_GB2312"/>
          <w:sz w:val="32"/>
          <w:szCs w:val="32"/>
        </w:rPr>
        <w:t>增</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外贸出口</w:t>
      </w:r>
      <w:r>
        <w:rPr>
          <w:rFonts w:hint="eastAsia" w:ascii="仿宋_GB2312" w:hAnsi="仿宋_GB2312" w:eastAsia="仿宋_GB2312" w:cs="仿宋_GB2312"/>
          <w:sz w:val="32"/>
          <w:szCs w:val="32"/>
        </w:rPr>
        <w:t>，推动外贸经济发展；</w:t>
      </w:r>
      <w:r>
        <w:rPr>
          <w:rFonts w:hint="eastAsia" w:ascii="仿宋_GB2312" w:hAnsi="仿宋_GB2312" w:eastAsia="仿宋_GB2312" w:cs="仿宋_GB2312"/>
          <w:sz w:val="32"/>
          <w:szCs w:val="32"/>
          <w:lang w:eastAsia="zh-CN"/>
        </w:rPr>
        <w:t>通过召开外贸企业座谈会，由从事外贸企业的工作人员进行经验分享，搭建</w:t>
      </w:r>
      <w:r>
        <w:rPr>
          <w:rFonts w:hint="eastAsia" w:ascii="仿宋_GB2312" w:hAnsi="仿宋_GB2312" w:eastAsia="仿宋_GB2312" w:cs="仿宋_GB2312"/>
          <w:sz w:val="32"/>
          <w:szCs w:val="32"/>
        </w:rPr>
        <w:t>外贸民营企业经验分享和对接交流机制，推动企业“携手走出去”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推动南翔国际物流园区建设“</w:t>
      </w:r>
      <w:r>
        <w:rPr>
          <w:rFonts w:hint="eastAsia" w:ascii="仿宋_GB2312" w:hAnsi="仿宋_GB2312" w:eastAsia="仿宋_GB2312" w:cs="仿宋_GB2312"/>
          <w:sz w:val="32"/>
          <w:szCs w:val="32"/>
          <w:lang w:eastAsia="zh-CN"/>
        </w:rPr>
        <w:t>保税</w:t>
      </w:r>
      <w:r>
        <w:rPr>
          <w:rFonts w:hint="eastAsia" w:ascii="仿宋_GB2312" w:hAnsi="仿宋_GB2312" w:eastAsia="仿宋_GB2312" w:cs="仿宋_GB2312"/>
          <w:sz w:val="32"/>
          <w:szCs w:val="32"/>
        </w:rPr>
        <w:t>仓”</w:t>
      </w:r>
      <w:r>
        <w:rPr>
          <w:rFonts w:hint="eastAsia" w:ascii="仿宋_GB2312" w:hAnsi="仿宋_GB2312" w:eastAsia="仿宋_GB2312" w:cs="仿宋_GB2312"/>
          <w:sz w:val="32"/>
          <w:szCs w:val="32"/>
          <w:lang w:eastAsia="zh-CN"/>
        </w:rPr>
        <w:t>等实体项目落地</w:t>
      </w:r>
      <w:r>
        <w:rPr>
          <w:rFonts w:hint="eastAsia" w:ascii="仿宋_GB2312" w:hAnsi="仿宋_GB2312" w:eastAsia="仿宋_GB2312" w:cs="仿宋_GB2312"/>
          <w:sz w:val="32"/>
          <w:szCs w:val="32"/>
        </w:rPr>
        <w:t>，构筑“一带一路”贸易投资网络，为企业开展外贸提供基础设施保障。</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kern w:val="0"/>
          <w:lang w:val="en-US" w:eastAsia="zh-CN"/>
        </w:rPr>
      </w:pPr>
      <w:bookmarkStart w:id="167" w:name="_Toc16119"/>
      <w:r>
        <w:rPr>
          <w:rFonts w:hint="eastAsia"/>
          <w:kern w:val="0"/>
          <w:lang w:val="en-US" w:eastAsia="zh-CN"/>
        </w:rPr>
        <w:t xml:space="preserve">第四节 </w:t>
      </w:r>
      <w:bookmarkEnd w:id="164"/>
      <w:bookmarkEnd w:id="165"/>
      <w:r>
        <w:rPr>
          <w:rFonts w:hint="eastAsia"/>
          <w:kern w:val="0"/>
          <w:lang w:val="en-US" w:eastAsia="zh-CN"/>
        </w:rPr>
        <w:t>围绕资源优势，加大招商引资</w:t>
      </w:r>
      <w:bookmarkEnd w:id="166"/>
      <w:bookmarkEnd w:id="167"/>
    </w:p>
    <w:p>
      <w:pPr>
        <w:spacing w:line="600" w:lineRule="exact"/>
        <w:ind w:firstLine="666" w:firstLineChars="200"/>
      </w:pPr>
      <w:bookmarkStart w:id="168" w:name="_Toc7955"/>
      <w:bookmarkStart w:id="169" w:name="_Toc19516"/>
      <w:bookmarkStart w:id="170" w:name="_Toc104"/>
      <w:bookmarkStart w:id="171" w:name="_Toc15003"/>
      <w:r>
        <w:rPr>
          <w:rFonts w:hint="eastAsia" w:ascii="仿宋_GB2312" w:hAnsi="仿宋_GB2312" w:eastAsia="仿宋_GB2312" w:cs="仿宋_GB2312"/>
          <w:sz w:val="32"/>
          <w:szCs w:val="32"/>
        </w:rPr>
        <w:t>围绕“绿色矿业”“生态农业”“文化旅游”“外贸物流”“战略新兴”五大产业，结合产业发展导向、产业链薄弱环节开展招商引资活动，打造特征鲜明、引领产业发展的重点产业链，推动建成五型新区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依托委托招商、商会招商等模式，</w:t>
      </w:r>
      <w:r>
        <w:rPr>
          <w:rFonts w:hint="eastAsia" w:ascii="仿宋_GB2312" w:hAnsi="仿宋_GB2312" w:eastAsia="仿宋_GB2312" w:cs="仿宋_GB2312"/>
          <w:sz w:val="32"/>
          <w:szCs w:val="32"/>
          <w:lang w:eastAsia="zh-CN"/>
        </w:rPr>
        <w:t>借助中产集团、益宏信息技术咨询服务有限公司、广东省黑龙江鹤岗商会等企业、商会，</w:t>
      </w:r>
      <w:r>
        <w:rPr>
          <w:rFonts w:hint="eastAsia" w:ascii="仿宋_GB2312" w:hAnsi="仿宋_GB2312" w:eastAsia="仿宋_GB2312" w:cs="仿宋_GB2312"/>
          <w:sz w:val="32"/>
          <w:szCs w:val="32"/>
        </w:rPr>
        <w:t>招引石墨烯相关产业项目落地，壮大战略新兴产业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依托煤化工园区精细化工模块，推动</w:t>
      </w:r>
      <w:r>
        <w:rPr>
          <w:rFonts w:hint="eastAsia" w:ascii="仿宋_GB2312" w:hAnsi="仿宋_GB2312" w:eastAsia="仿宋_GB2312" w:cs="仿宋_GB2312"/>
          <w:sz w:val="32"/>
          <w:szCs w:val="32"/>
          <w:lang w:eastAsia="zh-CN"/>
        </w:rPr>
        <w:t>禾友农药中间体、年产</w:t>
      </w:r>
      <w:r>
        <w:rPr>
          <w:rFonts w:hint="eastAsia" w:ascii="仿宋_GB2312" w:hAnsi="仿宋_GB2312" w:eastAsia="仿宋_GB2312" w:cs="仿宋_GB2312"/>
          <w:sz w:val="32"/>
          <w:szCs w:val="32"/>
          <w:lang w:val="en-US" w:eastAsia="zh-CN"/>
        </w:rPr>
        <w:t>4000吨甲萘胺</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精细化工项目快速落地。</w:t>
      </w:r>
    </w:p>
    <w:p>
      <w:pPr>
        <w:pStyle w:val="36"/>
        <w:pageBreakBefore w:val="0"/>
        <w:kinsoku/>
        <w:wordWrap/>
        <w:overflowPunct/>
        <w:topLinePunct w:val="0"/>
        <w:autoSpaceDE/>
        <w:autoSpaceDN/>
        <w:bidi w:val="0"/>
        <w:spacing w:before="240" w:after="240" w:line="600" w:lineRule="exact"/>
        <w:textAlignment w:val="auto"/>
        <w:outlineLvl w:val="0"/>
        <w:rPr>
          <w:rFonts w:hint="eastAsia" w:ascii="宋体" w:hAnsi="宋体" w:eastAsia="宋体" w:cs="宋体"/>
          <w:b/>
          <w:bCs/>
          <w:lang w:val="en-US" w:eastAsia="zh-CN"/>
        </w:rPr>
      </w:pPr>
      <w:r>
        <w:rPr>
          <w:rFonts w:hint="eastAsia" w:ascii="宋体" w:hAnsi="宋体" w:eastAsia="宋体" w:cs="宋体"/>
          <w:b/>
          <w:bCs/>
          <w:lang w:val="en-US" w:eastAsia="zh-CN"/>
        </w:rPr>
        <w:t xml:space="preserve">第八章 </w:t>
      </w:r>
      <w:bookmarkEnd w:id="168"/>
      <w:bookmarkEnd w:id="169"/>
      <w:r>
        <w:rPr>
          <w:rFonts w:hint="eastAsia" w:ascii="宋体" w:hAnsi="宋体" w:eastAsia="宋体" w:cs="宋体"/>
          <w:b/>
          <w:bCs/>
          <w:lang w:val="en-US" w:eastAsia="zh-CN"/>
        </w:rPr>
        <w:t>推动文化事业繁荣发展 提升文化软实力</w:t>
      </w:r>
      <w:bookmarkEnd w:id="170"/>
      <w:bookmarkEnd w:id="171"/>
    </w:p>
    <w:p>
      <w:pPr>
        <w:pageBreakBefore w:val="0"/>
        <w:widowControl w:val="0"/>
        <w:tabs>
          <w:tab w:val="left" w:leader="dot" w:pos="8640"/>
        </w:tabs>
        <w:kinsoku/>
        <w:wordWrap/>
        <w:overflowPunct/>
        <w:topLinePunct w:val="0"/>
        <w:autoSpaceDE/>
        <w:autoSpaceDN/>
        <w:bidi w:val="0"/>
        <w:adjustRightInd/>
        <w:snapToGrid/>
        <w:spacing w:after="0" w:line="600" w:lineRule="exact"/>
        <w:ind w:left="0" w:firstLine="666" w:firstLineChars="200"/>
        <w:textAlignment w:val="auto"/>
        <w:rPr>
          <w:rFonts w:hint="eastAsia" w:ascii="黑体" w:hAnsi="黑体" w:eastAsia="黑体" w:cs="黑体"/>
          <w:b/>
          <w:color w:val="000000"/>
          <w:sz w:val="32"/>
          <w:szCs w:val="32"/>
        </w:rPr>
      </w:pPr>
      <w:bookmarkStart w:id="172" w:name="_Toc31009"/>
      <w:bookmarkStart w:id="173" w:name="_Toc654"/>
      <w:bookmarkStart w:id="174" w:name="_Toc18660"/>
      <w:r>
        <w:rPr>
          <w:rFonts w:hint="eastAsia" w:ascii="仿宋_GB2312" w:hAnsi="仿宋_GB2312" w:eastAsia="仿宋_GB2312" w:cs="仿宋_GB2312"/>
          <w:color w:val="000000"/>
          <w:sz w:val="32"/>
          <w:szCs w:val="32"/>
        </w:rPr>
        <w:t>坚持马克思主义在意识形态领域指导地位和中国特色社会主义文化发展道路，坚持以习近平新时代中国特色社会主义思想为统领，坚定文化自信，用社会主义核心价值观凝聚共识、汇聚力量，加强社会主义精神文明建设，传播文明新风尚，凝聚发展正能量，为</w:t>
      </w:r>
      <w:r>
        <w:rPr>
          <w:rFonts w:hint="eastAsia" w:ascii="仿宋_GB2312" w:hAnsi="仿宋_GB2312" w:eastAsia="仿宋_GB2312" w:cs="仿宋_GB2312"/>
          <w:color w:val="000000"/>
          <w:sz w:val="32"/>
          <w:szCs w:val="32"/>
          <w:lang w:eastAsia="zh-CN"/>
        </w:rPr>
        <w:t>兴安区</w:t>
      </w:r>
      <w:r>
        <w:rPr>
          <w:rFonts w:hint="eastAsia" w:ascii="仿宋_GB2312" w:hAnsi="仿宋_GB2312" w:eastAsia="仿宋_GB2312" w:cs="仿宋_GB2312"/>
          <w:color w:val="000000"/>
          <w:sz w:val="32"/>
          <w:szCs w:val="32"/>
        </w:rPr>
        <w:t>高质量转型发展提供强大精神文化支撑。</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outlineLvl w:val="1"/>
        <w:rPr>
          <w:rFonts w:hint="eastAsia" w:ascii="黑体" w:hAnsi="黑体" w:eastAsia="黑体" w:cs="黑体"/>
          <w:b w:val="0"/>
          <w:bCs/>
          <w:color w:val="000000"/>
          <w:sz w:val="32"/>
          <w:szCs w:val="32"/>
        </w:rPr>
      </w:pPr>
      <w:bookmarkStart w:id="175" w:name="_Toc28250"/>
      <w:r>
        <w:rPr>
          <w:rFonts w:hint="eastAsia" w:ascii="黑体" w:hAnsi="黑体" w:eastAsia="黑体" w:cs="黑体"/>
          <w:b w:val="0"/>
          <w:bCs/>
          <w:color w:val="000000"/>
          <w:sz w:val="32"/>
          <w:szCs w:val="32"/>
        </w:rPr>
        <w:t>第一节</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筑牢团结奋斗的共同思想基础</w:t>
      </w:r>
      <w:bookmarkEnd w:id="172"/>
      <w:bookmarkEnd w:id="173"/>
      <w:bookmarkEnd w:id="174"/>
      <w:bookmarkEnd w:id="175"/>
    </w:p>
    <w:p>
      <w:pPr>
        <w:pageBreakBefore w:val="0"/>
        <w:widowControl w:val="0"/>
        <w:tabs>
          <w:tab w:val="left" w:leader="dot" w:pos="8640"/>
        </w:tabs>
        <w:kinsoku/>
        <w:wordWrap/>
        <w:overflowPunct/>
        <w:topLinePunct w:val="0"/>
        <w:autoSpaceDE/>
        <w:autoSpaceDN/>
        <w:bidi w:val="0"/>
        <w:adjustRightInd/>
        <w:snapToGrid/>
        <w:spacing w:after="0" w:line="600" w:lineRule="exact"/>
        <w:ind w:left="0" w:firstLine="666" w:firstLineChars="200"/>
        <w:textAlignment w:val="auto"/>
        <w:rPr>
          <w:rFonts w:hint="eastAsia" w:ascii="仿宋_GB2312" w:hAnsi="仿宋_GB2312" w:eastAsia="仿宋_GB2312" w:cs="仿宋_GB2312"/>
          <w:color w:val="000000"/>
          <w:sz w:val="32"/>
          <w:szCs w:val="32"/>
          <w:lang w:val="en-US" w:eastAsia="zh-CN"/>
        </w:rPr>
      </w:pPr>
      <w:bookmarkStart w:id="176" w:name="_Toc18744"/>
      <w:bookmarkStart w:id="177" w:name="_Toc12965"/>
      <w:bookmarkStart w:id="178" w:name="_Toc14843"/>
      <w:r>
        <w:rPr>
          <w:rFonts w:hint="eastAsia" w:ascii="仿宋_GB2312" w:hAnsi="仿宋_GB2312" w:eastAsia="仿宋_GB2312" w:cs="仿宋_GB2312"/>
          <w:color w:val="000000"/>
          <w:sz w:val="32"/>
          <w:szCs w:val="32"/>
        </w:rPr>
        <w:t>持续开展习近平新时代中国特色社会主义思想学习教育，推动党的创新理论成果深入人心，引导广大干部群众坚定“四个自信”。坚持党管</w:t>
      </w:r>
      <w:r>
        <w:rPr>
          <w:rFonts w:hint="eastAsia" w:ascii="仿宋_GB2312" w:hAnsi="仿宋_GB2312" w:eastAsia="仿宋_GB2312" w:cs="仿宋_GB2312"/>
          <w:color w:val="000000"/>
          <w:sz w:val="32"/>
          <w:szCs w:val="32"/>
          <w:lang w:eastAsia="zh-CN"/>
        </w:rPr>
        <w:t>媒体的</w:t>
      </w:r>
      <w:r>
        <w:rPr>
          <w:rFonts w:hint="eastAsia" w:ascii="仿宋_GB2312" w:hAnsi="仿宋_GB2312" w:eastAsia="仿宋_GB2312" w:cs="仿宋_GB2312"/>
          <w:color w:val="000000"/>
          <w:sz w:val="32"/>
          <w:szCs w:val="32"/>
        </w:rPr>
        <w:t>原则，加强官方网站</w:t>
      </w:r>
      <w:r>
        <w:rPr>
          <w:rFonts w:hint="eastAsia" w:ascii="仿宋_GB2312" w:hAnsi="仿宋_GB2312" w:eastAsia="仿宋_GB2312" w:cs="仿宋_GB2312"/>
          <w:color w:val="000000"/>
          <w:sz w:val="32"/>
          <w:szCs w:val="32"/>
          <w:lang w:eastAsia="zh-CN"/>
        </w:rPr>
        <w:t>、微信公众平台</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eastAsia="zh-CN"/>
        </w:rPr>
        <w:t>新媒体</w:t>
      </w:r>
      <w:r>
        <w:rPr>
          <w:rFonts w:hint="eastAsia" w:ascii="仿宋_GB2312" w:hAnsi="仿宋_GB2312" w:eastAsia="仿宋_GB2312" w:cs="仿宋_GB2312"/>
          <w:color w:val="000000"/>
          <w:sz w:val="32"/>
          <w:szCs w:val="32"/>
        </w:rPr>
        <w:t>传播手段的建设，</w:t>
      </w:r>
      <w:r>
        <w:rPr>
          <w:rFonts w:hint="eastAsia" w:ascii="仿宋_GB2312" w:hAnsi="仿宋_GB2312" w:eastAsia="仿宋_GB2312" w:cs="仿宋_GB2312"/>
          <w:color w:val="000000"/>
          <w:sz w:val="32"/>
          <w:szCs w:val="32"/>
          <w:lang w:val="en-US" w:eastAsia="zh-CN"/>
        </w:rPr>
        <w:t>充分利用“两微一端”加大宣传力度，加强对各单位、部门新兴媒体的管理。重视舆情管控和处置，</w:t>
      </w:r>
      <w:r>
        <w:rPr>
          <w:rFonts w:hint="eastAsia" w:ascii="仿宋_GB2312" w:hAnsi="仿宋_GB2312" w:eastAsia="仿宋_GB2312" w:cs="仿宋_GB2312"/>
          <w:color w:val="000000"/>
          <w:sz w:val="32"/>
          <w:szCs w:val="32"/>
        </w:rPr>
        <w:t>提高舆论传播力、引导力、影响力、公信力。</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outlineLvl w:val="1"/>
        <w:rPr>
          <w:rFonts w:hint="eastAsia" w:ascii="黑体" w:hAnsi="黑体" w:eastAsia="黑体" w:cs="黑体"/>
          <w:b w:val="0"/>
          <w:bCs/>
          <w:color w:val="000000"/>
          <w:sz w:val="32"/>
          <w:szCs w:val="32"/>
        </w:rPr>
      </w:pPr>
      <w:bookmarkStart w:id="179" w:name="_Toc28852"/>
      <w:r>
        <w:rPr>
          <w:rFonts w:hint="eastAsia" w:ascii="黑体" w:hAnsi="黑体" w:eastAsia="黑体" w:cs="黑体"/>
          <w:b w:val="0"/>
          <w:bCs/>
          <w:color w:val="000000"/>
          <w:sz w:val="32"/>
          <w:szCs w:val="32"/>
        </w:rPr>
        <w:t>第二节 持续推进精神文明建设</w:t>
      </w:r>
      <w:bookmarkEnd w:id="176"/>
      <w:bookmarkEnd w:id="177"/>
      <w:bookmarkEnd w:id="178"/>
      <w:bookmarkEnd w:id="179"/>
    </w:p>
    <w:p>
      <w:pPr>
        <w:pageBreakBefore w:val="0"/>
        <w:widowControl w:val="0"/>
        <w:tabs>
          <w:tab w:val="left" w:leader="dot" w:pos="8640"/>
        </w:tabs>
        <w:kinsoku/>
        <w:wordWrap/>
        <w:overflowPunct/>
        <w:topLinePunct w:val="0"/>
        <w:autoSpaceDE/>
        <w:autoSpaceDN/>
        <w:bidi w:val="0"/>
        <w:adjustRightInd/>
        <w:snapToGrid/>
        <w:spacing w:after="0" w:line="600" w:lineRule="exact"/>
        <w:ind w:left="0" w:firstLine="666" w:firstLineChars="200"/>
        <w:textAlignment w:val="auto"/>
        <w:rPr>
          <w:rFonts w:hint="eastAsia" w:ascii="仿宋_GB2312" w:hAnsi="仿宋_GB2312" w:eastAsia="仿宋_GB2312" w:cs="仿宋_GB2312"/>
          <w:color w:val="000000"/>
          <w:sz w:val="32"/>
          <w:szCs w:val="32"/>
          <w:lang w:val="en-US" w:eastAsia="zh-CN"/>
        </w:rPr>
      </w:pPr>
      <w:bookmarkStart w:id="180" w:name="_Toc9252"/>
      <w:bookmarkStart w:id="181" w:name="_Toc10141"/>
      <w:bookmarkStart w:id="182" w:name="_Toc1883"/>
      <w:r>
        <w:rPr>
          <w:rFonts w:hint="eastAsia" w:ascii="楷体" w:hAnsi="楷体" w:eastAsia="楷体" w:cs="楷体"/>
          <w:b/>
          <w:color w:val="000000"/>
          <w:kern w:val="0"/>
          <w:sz w:val="32"/>
          <w:szCs w:val="32"/>
        </w:rPr>
        <w:t>坚持以社会主义核心价值观引领文化建设。</w:t>
      </w:r>
      <w:r>
        <w:rPr>
          <w:rFonts w:hint="eastAsia" w:ascii="仿宋_GB2312" w:hAnsi="仿宋_GB2312" w:eastAsia="仿宋_GB2312" w:cs="仿宋_GB2312"/>
          <w:color w:val="000000"/>
          <w:sz w:val="32"/>
          <w:szCs w:val="32"/>
          <w:lang w:val="en-US" w:eastAsia="zh-CN"/>
        </w:rPr>
        <w:t>大力培育和践行社会主义核心价值观，坚持宣传教育、示范引领、实践养成相统一，推动社会主义核心价值观内化于心、外化于行。组织开展深入学习龙江“四大精神”、伟大的抗疫精神、弘扬新时代鹤岗精神和“新时代 新鹤岗 新印象”主题宣传教育活动。提倡艰苦奋斗勤俭节约，开展以劳动创造幸福为主题的宣传教育活动，将勤俭节约观念转化为人们的行为习惯。完善村规民约、学生守则、行业规范，褒奖善行义举，倡导树立社会主流价值观。加强青年思想道德建设，实施青年马克思主义者培养工程；实施学校思想政治理论课建设体系创新计划；实施青年网络文明发展工程，积极参与“龙江青年好网民”活动；深化青年志愿者行动。</w:t>
      </w:r>
    </w:p>
    <w:p>
      <w:pPr>
        <w:pageBreakBefore w:val="0"/>
        <w:widowControl w:val="0"/>
        <w:tabs>
          <w:tab w:val="left" w:leader="dot" w:pos="8640"/>
        </w:tabs>
        <w:kinsoku/>
        <w:wordWrap/>
        <w:overflowPunct/>
        <w:topLinePunct w:val="0"/>
        <w:autoSpaceDE/>
        <w:autoSpaceDN/>
        <w:bidi w:val="0"/>
        <w:adjustRightInd/>
        <w:snapToGrid/>
        <w:spacing w:after="0" w:line="600" w:lineRule="exact"/>
        <w:ind w:left="0" w:firstLine="666" w:firstLineChars="200"/>
        <w:jc w:val="both"/>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b/>
          <w:color w:val="000000"/>
          <w:kern w:val="0"/>
          <w:sz w:val="32"/>
          <w:szCs w:val="32"/>
        </w:rPr>
        <w:t>推进公民道德建设</w:t>
      </w:r>
      <w:r>
        <w:rPr>
          <w:rFonts w:hint="eastAsia" w:ascii="楷体" w:hAnsi="楷体" w:eastAsia="楷体" w:cs="楷体"/>
          <w:b/>
          <w:color w:val="000000"/>
          <w:kern w:val="0"/>
          <w:sz w:val="32"/>
          <w:szCs w:val="32"/>
          <w:lang w:eastAsia="zh-CN"/>
        </w:rPr>
        <w:t>。</w:t>
      </w:r>
      <w:r>
        <w:rPr>
          <w:rFonts w:hint="eastAsia" w:ascii="仿宋_GB2312" w:hAnsi="仿宋_GB2312" w:eastAsia="仿宋_GB2312" w:cs="仿宋_GB2312"/>
          <w:color w:val="000000"/>
          <w:sz w:val="32"/>
          <w:szCs w:val="32"/>
          <w:lang w:eastAsia="zh-CN"/>
        </w:rPr>
        <w:t>抓好群众性精神文明创建，深入推进文明单位、文明村镇等创建工作，深化拓展“鹤岗最美 因为有你”主题文明实践活动。大力弘扬时代新风，加强思想道德建设，打造社会主义核心价值观和国防教育主题广场、主题街道、主题展厅和展室。推进新时代文明实践中心建设，健全志愿服务体系，不断提升人民思想觉悟、道德水平、文明素养和全社会文明程度。加强学校阵地建设，完善学生理想信念齐抓共管机制，健全学校、社会、家庭“三结合”教育网络，培育担当大任的时代新人。</w:t>
      </w:r>
    </w:p>
    <w:p>
      <w:pPr>
        <w:pageBreakBefore w:val="0"/>
        <w:widowControl w:val="0"/>
        <w:tabs>
          <w:tab w:val="left" w:leader="dot" w:pos="8640"/>
        </w:tabs>
        <w:kinsoku/>
        <w:wordWrap/>
        <w:overflowPunct/>
        <w:topLinePunct w:val="0"/>
        <w:autoSpaceDE/>
        <w:autoSpaceDN/>
        <w:bidi w:val="0"/>
        <w:adjustRightInd/>
        <w:snapToGrid/>
        <w:spacing w:after="0" w:line="600" w:lineRule="exact"/>
        <w:ind w:left="0" w:firstLine="666" w:firstLineChars="200"/>
        <w:jc w:val="both"/>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b/>
          <w:color w:val="000000"/>
          <w:kern w:val="0"/>
          <w:sz w:val="32"/>
          <w:szCs w:val="32"/>
        </w:rPr>
        <w:t>引导社会文化思潮。</w:t>
      </w:r>
      <w:r>
        <w:rPr>
          <w:rFonts w:hint="eastAsia" w:ascii="仿宋_GB2312" w:hAnsi="仿宋_GB2312" w:eastAsia="仿宋_GB2312" w:cs="仿宋_GB2312"/>
          <w:color w:val="000000"/>
          <w:sz w:val="32"/>
          <w:szCs w:val="32"/>
          <w:lang w:eastAsia="zh-CN"/>
        </w:rPr>
        <w:t>牢牢掌握意识形态工作领导权和主导权，把握正确舆论导向，健全舆论引导机制，提高舆论引导能力，传播正能量，增强公民国家意识、法治意识、社会责任意识。加强互联网管理和引导，丰富网络文化内涵和传播方式，净化网络环境，发展健康向上的网络文化，打造清朗网络空间。</w:t>
      </w:r>
    </w:p>
    <w:bookmarkEnd w:id="180"/>
    <w:bookmarkEnd w:id="181"/>
    <w:bookmarkEnd w:id="182"/>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kern w:val="0"/>
        </w:rPr>
      </w:pPr>
      <w:bookmarkStart w:id="183" w:name="_Toc15607"/>
      <w:bookmarkStart w:id="184" w:name="_Toc7639"/>
      <w:bookmarkStart w:id="185" w:name="_Toc6551"/>
      <w:r>
        <w:rPr>
          <w:rFonts w:hint="eastAsia"/>
          <w:kern w:val="0"/>
          <w:lang w:eastAsia="zh-CN"/>
        </w:rPr>
        <w:t>第三节</w:t>
      </w:r>
      <w:r>
        <w:rPr>
          <w:rFonts w:hint="eastAsia"/>
          <w:kern w:val="0"/>
          <w:lang w:val="en-US" w:eastAsia="zh-CN"/>
        </w:rPr>
        <w:t xml:space="preserve"> </w:t>
      </w:r>
      <w:r>
        <w:rPr>
          <w:rFonts w:hint="eastAsia"/>
          <w:kern w:val="0"/>
        </w:rPr>
        <w:t>弘扬中华优秀传统文化</w:t>
      </w:r>
      <w:bookmarkEnd w:id="183"/>
      <w:bookmarkEnd w:id="184"/>
    </w:p>
    <w:p>
      <w:pPr>
        <w:pageBreakBefore w:val="0"/>
        <w:widowControl w:val="0"/>
        <w:tabs>
          <w:tab w:val="left" w:leader="dot" w:pos="8640"/>
        </w:tabs>
        <w:kinsoku/>
        <w:wordWrap/>
        <w:overflowPunct/>
        <w:topLinePunct w:val="0"/>
        <w:autoSpaceDE/>
        <w:autoSpaceDN/>
        <w:bidi w:val="0"/>
        <w:adjustRightInd/>
        <w:snapToGrid/>
        <w:spacing w:after="0" w:line="600" w:lineRule="exact"/>
        <w:ind w:left="0" w:firstLine="666" w:firstLineChars="200"/>
        <w:jc w:val="both"/>
        <w:textAlignment w:val="auto"/>
        <w:rPr>
          <w:rFonts w:hint="eastAsia" w:ascii="仿宋_GB2312" w:hAnsi="仿宋_GB2312" w:eastAsia="仿宋_GB2312" w:cs="仿宋_GB2312"/>
          <w:color w:val="000000"/>
          <w:sz w:val="32"/>
          <w:szCs w:val="32"/>
          <w:lang w:eastAsia="zh-CN"/>
        </w:rPr>
      </w:pPr>
      <w:bookmarkStart w:id="186" w:name="_Toc20155"/>
      <w:r>
        <w:rPr>
          <w:rFonts w:hint="eastAsia" w:ascii="楷体" w:hAnsi="楷体" w:eastAsia="楷体"/>
          <w:b/>
          <w:color w:val="000000"/>
          <w:kern w:val="0"/>
          <w:sz w:val="32"/>
          <w:szCs w:val="32"/>
          <w:lang w:val="en-US" w:eastAsia="zh-CN"/>
        </w:rPr>
        <w:t>传承中华传统美德。</w:t>
      </w:r>
      <w:r>
        <w:rPr>
          <w:rFonts w:hint="eastAsia" w:ascii="仿宋_GB2312" w:hAnsi="仿宋_GB2312" w:eastAsia="仿宋_GB2312" w:cs="仿宋_GB2312"/>
          <w:color w:val="000000"/>
          <w:sz w:val="32"/>
          <w:szCs w:val="32"/>
          <w:lang w:eastAsia="zh-CN"/>
        </w:rPr>
        <w:t>大力弘扬中华传统美德、民族精神和时代精神，形成知荣辱、树新风、讲正气的良好风尚。广泛开展道德模范和道德讲堂建设、经典诵读等活动，深入挖掘助人为乐、孝老爱亲等传统美德，树立一批公民道德建设先进典型，以先进文化引领公民道德建设。发展特色文化产业，</w:t>
      </w:r>
      <w:r>
        <w:rPr>
          <w:rFonts w:hint="eastAsia" w:ascii="仿宋_GB2312" w:hAnsi="仿宋_GB2312" w:eastAsia="仿宋_GB2312" w:cs="仿宋_GB2312"/>
          <w:color w:val="000000"/>
          <w:sz w:val="32"/>
          <w:szCs w:val="32"/>
          <w:lang w:val="en-US" w:eastAsia="zh-CN"/>
        </w:rPr>
        <w:t>以优秀传统文化为题材，彰显文化特色，打造符合时代特点的新媒体视听产品并广泛推广</w:t>
      </w:r>
      <w:r>
        <w:rPr>
          <w:rFonts w:hint="eastAsia" w:ascii="仿宋_GB2312" w:hAnsi="仿宋_GB2312" w:eastAsia="仿宋_GB2312" w:cs="仿宋_GB2312"/>
          <w:color w:val="000000"/>
          <w:sz w:val="32"/>
          <w:szCs w:val="32"/>
          <w:lang w:eastAsia="zh-CN"/>
        </w:rPr>
        <w:t>。</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kern w:val="0"/>
          <w:lang w:eastAsia="zh-CN"/>
        </w:rPr>
      </w:pPr>
      <w:bookmarkStart w:id="187" w:name="_Toc19260"/>
      <w:r>
        <w:rPr>
          <w:rFonts w:hint="eastAsia"/>
          <w:kern w:val="0"/>
          <w:lang w:eastAsia="zh-CN"/>
        </w:rPr>
        <w:t>第四节</w:t>
      </w:r>
      <w:r>
        <w:rPr>
          <w:rFonts w:hint="eastAsia"/>
          <w:kern w:val="0"/>
          <w:lang w:val="en-US" w:eastAsia="zh-CN"/>
        </w:rPr>
        <w:t xml:space="preserve"> </w:t>
      </w:r>
      <w:r>
        <w:rPr>
          <w:rFonts w:hint="eastAsia"/>
          <w:kern w:val="0"/>
          <w:lang w:eastAsia="zh-CN"/>
        </w:rPr>
        <w:t>提升公共文化服务水平</w:t>
      </w:r>
      <w:bookmarkEnd w:id="186"/>
      <w:bookmarkEnd w:id="187"/>
    </w:p>
    <w:p>
      <w:pPr>
        <w:ind w:firstLine="666" w:firstLineChars="200"/>
        <w:rPr>
          <w:rFonts w:hint="eastAsia" w:ascii="仿宋_GB2312" w:hAnsi="仿宋_GB2312" w:eastAsia="仿宋_GB2312" w:cs="仿宋_GB2312"/>
          <w:sz w:val="32"/>
          <w:szCs w:val="32"/>
          <w:lang w:eastAsia="zh-CN"/>
        </w:rPr>
      </w:pPr>
      <w:bookmarkStart w:id="188" w:name="_Toc20105"/>
      <w:r>
        <w:rPr>
          <w:rFonts w:hint="eastAsia" w:ascii="仿宋_GB2312" w:hAnsi="仿宋_GB2312" w:eastAsia="仿宋_GB2312" w:cs="仿宋_GB2312"/>
          <w:sz w:val="32"/>
          <w:szCs w:val="32"/>
        </w:rPr>
        <w:t>实施文艺作品质量提升工程。推进城乡公共文化服务体系一体建设，</w:t>
      </w:r>
      <w:r>
        <w:rPr>
          <w:rFonts w:hint="eastAsia" w:ascii="仿宋_GB2312" w:hAnsi="仿宋_GB2312" w:eastAsia="仿宋_GB2312" w:cs="仿宋_GB2312"/>
          <w:sz w:val="32"/>
          <w:szCs w:val="32"/>
          <w:lang w:eastAsia="zh-CN"/>
        </w:rPr>
        <w:t>加大公共文化设施投入力度，推进综合性文化服务中心建设，</w:t>
      </w:r>
      <w:r>
        <w:rPr>
          <w:rFonts w:hint="eastAsia" w:ascii="仿宋_GB2312" w:hAnsi="仿宋_GB2312" w:eastAsia="仿宋_GB2312" w:cs="仿宋_GB2312"/>
          <w:sz w:val="32"/>
          <w:szCs w:val="32"/>
        </w:rPr>
        <w:t>创新实施文化惠民工程，</w:t>
      </w:r>
      <w:r>
        <w:rPr>
          <w:rFonts w:hint="eastAsia" w:ascii="仿宋_GB2312" w:hAnsi="仿宋_GB2312" w:eastAsia="仿宋_GB2312" w:cs="仿宋_GB2312"/>
          <w:sz w:val="32"/>
          <w:szCs w:val="32"/>
          <w:lang w:val="en-US" w:eastAsia="zh-CN"/>
        </w:rPr>
        <w:t>优化民间资源，充分利用文化阵地，</w:t>
      </w:r>
      <w:r>
        <w:rPr>
          <w:rFonts w:hint="eastAsia" w:ascii="仿宋_GB2312" w:hAnsi="仿宋_GB2312" w:eastAsia="仿宋_GB2312" w:cs="仿宋_GB2312"/>
          <w:sz w:val="32"/>
          <w:szCs w:val="32"/>
        </w:rPr>
        <w:t>广泛开展群众性文</w:t>
      </w:r>
      <w:r>
        <w:rPr>
          <w:rFonts w:hint="eastAsia" w:ascii="仿宋_GB2312" w:hAnsi="仿宋_GB2312" w:eastAsia="仿宋_GB2312" w:cs="仿宋_GB2312"/>
          <w:sz w:val="32"/>
          <w:szCs w:val="32"/>
          <w:lang w:eastAsia="zh-CN"/>
        </w:rPr>
        <w:t>体</w:t>
      </w:r>
      <w:r>
        <w:rPr>
          <w:rFonts w:hint="eastAsia" w:ascii="仿宋_GB2312" w:hAnsi="仿宋_GB2312" w:eastAsia="仿宋_GB2312" w:cs="仿宋_GB2312"/>
          <w:sz w:val="32"/>
          <w:szCs w:val="32"/>
        </w:rPr>
        <w:t>活动，推动公共文化数字化建设</w:t>
      </w:r>
      <w:r>
        <w:rPr>
          <w:rFonts w:hint="eastAsia" w:ascii="仿宋_GB2312" w:hAnsi="仿宋_GB2312" w:eastAsia="仿宋_GB2312" w:cs="仿宋_GB2312"/>
          <w:sz w:val="32"/>
          <w:szCs w:val="32"/>
          <w:lang w:eastAsia="zh-CN"/>
        </w:rPr>
        <w:t>，充分利用微信、快手等平台发布信息、开展活动</w:t>
      </w:r>
      <w:r>
        <w:rPr>
          <w:rFonts w:hint="eastAsia" w:ascii="仿宋_GB2312" w:hAnsi="仿宋_GB2312" w:eastAsia="仿宋_GB2312" w:cs="仿宋_GB2312"/>
          <w:sz w:val="32"/>
          <w:szCs w:val="32"/>
        </w:rPr>
        <w:t>。实施群众文化惠民工程、文化精品创造工程，推动公共文化资源向社区、农村延伸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将文化元素融入到城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发展建设各个方面。推动文化和</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旅游融合发展，</w:t>
      </w:r>
      <w:r>
        <w:rPr>
          <w:rFonts w:hint="eastAsia" w:ascii="仿宋_GB2312" w:hAnsi="仿宋_GB2312" w:eastAsia="仿宋_GB2312" w:cs="仿宋_GB2312"/>
          <w:sz w:val="32"/>
          <w:szCs w:val="32"/>
          <w:lang w:eastAsia="zh-CN"/>
        </w:rPr>
        <w:t>促进冰雪文化、冰雪体育、冰雪旅游协同创新发展。</w:t>
      </w:r>
    </w:p>
    <w:p>
      <w:pPr>
        <w:pStyle w:val="36"/>
        <w:pageBreakBefore w:val="0"/>
        <w:kinsoku/>
        <w:wordWrap/>
        <w:overflowPunct/>
        <w:topLinePunct w:val="0"/>
        <w:autoSpaceDE/>
        <w:autoSpaceDN/>
        <w:bidi w:val="0"/>
        <w:spacing w:before="240" w:after="240" w:line="600" w:lineRule="exact"/>
        <w:textAlignment w:val="auto"/>
        <w:outlineLvl w:val="0"/>
        <w:rPr>
          <w:rFonts w:hint="eastAsia" w:ascii="宋体" w:hAnsi="宋体" w:eastAsia="宋体" w:cs="宋体"/>
          <w:b/>
          <w:bCs/>
          <w:lang w:val="en-US" w:eastAsia="zh-CN"/>
        </w:rPr>
      </w:pPr>
      <w:bookmarkStart w:id="189" w:name="_Toc32705"/>
      <w:r>
        <w:rPr>
          <w:rFonts w:hint="eastAsia" w:ascii="宋体" w:hAnsi="宋体" w:eastAsia="宋体" w:cs="宋体"/>
          <w:b/>
          <w:bCs/>
          <w:lang w:val="en-US" w:eastAsia="zh-CN"/>
        </w:rPr>
        <w:t xml:space="preserve">第九章 </w:t>
      </w:r>
      <w:bookmarkEnd w:id="185"/>
      <w:r>
        <w:rPr>
          <w:rFonts w:hint="eastAsia" w:ascii="宋体" w:hAnsi="宋体" w:eastAsia="宋体" w:cs="宋体"/>
          <w:b/>
          <w:bCs/>
          <w:lang w:val="en-US" w:eastAsia="zh-CN"/>
        </w:rPr>
        <w:t>打造文化旅游体验区 提升旅游服务质量</w:t>
      </w:r>
      <w:bookmarkEnd w:id="188"/>
      <w:bookmarkEnd w:id="189"/>
    </w:p>
    <w:p>
      <w:pPr>
        <w:ind w:firstLine="666" w:firstLineChars="200"/>
        <w:rPr>
          <w:rFonts w:hint="eastAsia" w:ascii="仿宋_GB2312" w:hAnsi="仿宋_GB2312" w:eastAsia="仿宋_GB2312" w:cs="仿宋_GB2312"/>
          <w:sz w:val="32"/>
          <w:szCs w:val="32"/>
          <w:lang w:val="en-US" w:eastAsia="zh-CN"/>
        </w:rPr>
      </w:pPr>
      <w:bookmarkStart w:id="190" w:name="_Toc28700"/>
      <w:bookmarkStart w:id="191" w:name="_Toc6364"/>
      <w:r>
        <w:rPr>
          <w:rFonts w:hint="eastAsia" w:ascii="仿宋_GB2312" w:hAnsi="仿宋_GB2312" w:eastAsia="仿宋_GB2312" w:cs="仿宋_GB2312"/>
          <w:sz w:val="32"/>
          <w:szCs w:val="32"/>
          <w:lang w:eastAsia="zh-CN"/>
        </w:rPr>
        <w:t>积极推动创森工作，坚决贯彻市委“一城山水半城林”的城市转型目标，</w:t>
      </w:r>
      <w:r>
        <w:rPr>
          <w:rFonts w:hint="eastAsia" w:ascii="仿宋_GB2312" w:hAnsi="仿宋_GB2312" w:eastAsia="仿宋_GB2312" w:cs="仿宋_GB2312"/>
          <w:sz w:val="32"/>
          <w:szCs w:val="32"/>
        </w:rPr>
        <w:t>全方位提升我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旅游发展品质，大力推进文化强</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建设，推动文化旅游融合发展，</w:t>
      </w:r>
      <w:r>
        <w:rPr>
          <w:rFonts w:hint="eastAsia" w:ascii="仿宋_GB2312" w:hAnsi="仿宋_GB2312" w:eastAsia="仿宋_GB2312" w:cs="仿宋_GB2312"/>
          <w:sz w:val="32"/>
          <w:szCs w:val="32"/>
          <w:lang w:eastAsia="zh-CN"/>
        </w:rPr>
        <w:t>培育</w:t>
      </w:r>
      <w:r>
        <w:rPr>
          <w:rFonts w:hint="eastAsia" w:ascii="仿宋_GB2312" w:hAnsi="仿宋_GB2312" w:eastAsia="仿宋_GB2312" w:cs="仿宋_GB2312"/>
          <w:sz w:val="32"/>
          <w:szCs w:val="32"/>
        </w:rPr>
        <w:t>文化旅游产业，促进全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经济转型升级、加快发展</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深入挖掘大冰雪、大工业等资源优势，聚焦夏季凉爽、冬季冰爽。</w:t>
      </w:r>
      <w:r>
        <w:rPr>
          <w:rFonts w:hint="eastAsia" w:ascii="仿宋_GB2312" w:hAnsi="仿宋_GB2312" w:eastAsia="仿宋_GB2312" w:cs="仿宋_GB2312"/>
          <w:sz w:val="32"/>
          <w:szCs w:val="32"/>
        </w:rPr>
        <w:t>打造宜居宜业的文化旅游</w:t>
      </w:r>
      <w:r>
        <w:rPr>
          <w:rFonts w:hint="eastAsia" w:ascii="仿宋_GB2312" w:hAnsi="仿宋_GB2312" w:eastAsia="仿宋_GB2312" w:cs="仿宋_GB2312"/>
          <w:sz w:val="32"/>
          <w:szCs w:val="32"/>
          <w:lang w:eastAsia="zh-CN"/>
        </w:rPr>
        <w:t>体验区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pStyle w:val="36"/>
        <w:pageBreakBefore w:val="0"/>
        <w:kinsoku/>
        <w:wordWrap/>
        <w:overflowPunct/>
        <w:topLinePunct w:val="0"/>
        <w:autoSpaceDE/>
        <w:autoSpaceDN/>
        <w:bidi w:val="0"/>
        <w:spacing w:before="240" w:after="240" w:line="600" w:lineRule="exact"/>
        <w:textAlignment w:val="auto"/>
        <w:rPr>
          <w:rFonts w:hint="eastAsia" w:ascii="仿宋_GB2312" w:hAnsi="仿宋_GB2312" w:eastAsia="仿宋_GB2312" w:cs="仿宋_GB2312"/>
          <w:b w:val="0"/>
          <w:bCs w:val="0"/>
          <w:sz w:val="32"/>
          <w:szCs w:val="32"/>
          <w:lang w:val="en-US" w:eastAsia="zh-CN"/>
        </w:rPr>
      </w:pPr>
      <w:bookmarkStart w:id="192" w:name="_Toc19236"/>
      <w:r>
        <w:rPr>
          <w:rFonts w:hint="eastAsia"/>
          <w:sz w:val="32"/>
          <w:szCs w:val="32"/>
          <w:lang w:val="en-US" w:eastAsia="zh-CN"/>
        </w:rPr>
        <w:t>第一节 加快推动区域旅游发展</w:t>
      </w:r>
      <w:bookmarkEnd w:id="190"/>
      <w:bookmarkEnd w:id="191"/>
      <w:bookmarkEnd w:id="192"/>
    </w:p>
    <w:p>
      <w:pPr>
        <w:ind w:firstLine="666" w:firstLineChars="200"/>
        <w:rPr>
          <w:rFonts w:hint="eastAsia" w:ascii="仿宋_GB2312" w:hAnsi="仿宋_GB2312" w:eastAsia="仿宋_GB2312" w:cs="仿宋_GB2312"/>
          <w:sz w:val="32"/>
          <w:szCs w:val="32"/>
        </w:rPr>
      </w:pPr>
      <w:bookmarkStart w:id="193" w:name="_Toc995"/>
      <w:bookmarkStart w:id="194" w:name="_Toc24346"/>
      <w:r>
        <w:rPr>
          <w:rFonts w:hint="eastAsia" w:ascii="仿宋_GB2312" w:hAnsi="仿宋_GB2312" w:eastAsia="仿宋_GB2312" w:cs="仿宋_GB2312"/>
          <w:sz w:val="32"/>
          <w:szCs w:val="32"/>
        </w:rPr>
        <w:t>深入挖掘</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生态资源和区位优势，深入发展冰雪游、工业游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避暑游。大力发展“旅游+”，挖掘文化、体育、农业、矿山等资源，发展自驾游、乡村游、户外运动等特色旅游。完善“吃住行游娱购”等旅游全景化体验功能，发展旅游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夜经济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，促进旅游消费</w:t>
      </w:r>
      <w:r>
        <w:rPr>
          <w:rFonts w:hint="eastAsia" w:ascii="仿宋_GB2312" w:hAnsi="仿宋_GB2312" w:eastAsia="仿宋_GB2312" w:cs="仿宋_GB2312"/>
          <w:sz w:val="32"/>
          <w:szCs w:val="32"/>
          <w:lang w:eastAsia="zh-CN"/>
        </w:rPr>
        <w:t>，更好满足群众多样化需求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将旅游元素融入到城区发展建设各个方面。加快金鹤公园建设，加大对将军石山庄的开发利用，开发兴安花海项目。主办承办协办国家级、省级、区级体育赛事，形成全民健身运动蓬勃发展的格局，发挥冰雪体育基础优势，推动冰雪体育运动升级发展，</w:t>
      </w:r>
      <w:r>
        <w:rPr>
          <w:rFonts w:hint="eastAsia" w:ascii="仿宋_GB2312" w:hAnsi="仿宋_GB2312" w:eastAsia="仿宋_GB2312" w:cs="仿宋_GB2312"/>
          <w:sz w:val="32"/>
          <w:szCs w:val="32"/>
        </w:rPr>
        <w:t>推动体育场地设施均衡发展</w:t>
      </w:r>
      <w:r>
        <w:rPr>
          <w:rFonts w:hint="eastAsia" w:ascii="仿宋_GB2312" w:hAnsi="仿宋_GB2312" w:eastAsia="仿宋_GB2312" w:cs="仿宋_GB2312"/>
          <w:sz w:val="32"/>
          <w:szCs w:val="32"/>
          <w:lang w:eastAsia="zh-CN"/>
        </w:rPr>
        <w:t>。积极参与创建“全民运动健身模范市”工作</w:t>
      </w:r>
      <w:r>
        <w:rPr>
          <w:rFonts w:hint="eastAsia" w:ascii="仿宋_GB2312" w:hAnsi="仿宋_GB2312" w:eastAsia="仿宋_GB2312" w:cs="仿宋_GB2312"/>
          <w:sz w:val="32"/>
          <w:szCs w:val="32"/>
        </w:rPr>
        <w:t>。</w:t>
      </w:r>
    </w:p>
    <w:p>
      <w:pPr>
        <w:pStyle w:val="36"/>
        <w:pageBreakBefore w:val="0"/>
        <w:kinsoku/>
        <w:wordWrap/>
        <w:overflowPunct/>
        <w:topLinePunct w:val="0"/>
        <w:autoSpaceDE/>
        <w:autoSpaceDN/>
        <w:bidi w:val="0"/>
        <w:spacing w:before="240" w:after="240" w:line="600" w:lineRule="exact"/>
        <w:textAlignment w:val="auto"/>
        <w:rPr>
          <w:rFonts w:hint="eastAsia"/>
          <w:sz w:val="32"/>
          <w:szCs w:val="32"/>
          <w:lang w:val="en-US" w:eastAsia="zh-CN"/>
        </w:rPr>
      </w:pPr>
      <w:bookmarkStart w:id="195" w:name="_Toc22871"/>
      <w:r>
        <w:rPr>
          <w:rFonts w:hint="eastAsia"/>
          <w:sz w:val="32"/>
          <w:szCs w:val="32"/>
          <w:lang w:val="en-US" w:eastAsia="zh-CN"/>
        </w:rPr>
        <w:t xml:space="preserve">第二节 </w:t>
      </w:r>
      <w:bookmarkEnd w:id="193"/>
      <w:bookmarkStart w:id="196" w:name="_Toc20109"/>
      <w:r>
        <w:rPr>
          <w:rFonts w:hint="eastAsia"/>
          <w:sz w:val="32"/>
          <w:szCs w:val="32"/>
          <w:lang w:val="en-US" w:eastAsia="zh-CN"/>
        </w:rPr>
        <w:t>着力提升旅游服务质量</w:t>
      </w:r>
      <w:bookmarkEnd w:id="194"/>
      <w:bookmarkEnd w:id="195"/>
    </w:p>
    <w:p>
      <w:pPr>
        <w:ind w:firstLine="666" w:firstLineChars="200"/>
        <w:rPr>
          <w:rFonts w:hint="eastAsia" w:ascii="仿宋_GB2312" w:hAnsi="仿宋_GB2312" w:eastAsia="仿宋_GB2312" w:cs="仿宋_GB2312"/>
          <w:sz w:val="32"/>
          <w:szCs w:val="32"/>
          <w:lang w:eastAsia="zh-CN"/>
        </w:rPr>
      </w:pPr>
      <w:bookmarkStart w:id="197" w:name="_Toc8974"/>
      <w:bookmarkStart w:id="198" w:name="_Toc13037"/>
      <w:r>
        <w:rPr>
          <w:rFonts w:hint="eastAsia" w:ascii="仿宋_GB2312" w:hAnsi="仿宋_GB2312" w:eastAsia="仿宋_GB2312" w:cs="仿宋_GB2312"/>
          <w:sz w:val="32"/>
          <w:szCs w:val="32"/>
          <w:lang w:eastAsia="zh-CN"/>
        </w:rPr>
        <w:t>强化涉旅基础设施配套升级，提升旅游目的地可达性、舒适性、友好性。</w:t>
      </w:r>
      <w:r>
        <w:rPr>
          <w:rFonts w:hint="eastAsia" w:ascii="仿宋_GB2312" w:hAnsi="仿宋_GB2312" w:eastAsia="仿宋_GB2312" w:cs="仿宋_GB2312"/>
          <w:sz w:val="32"/>
          <w:szCs w:val="32"/>
          <w:lang w:val="en-US" w:eastAsia="zh-CN"/>
        </w:rPr>
        <w:t>加快通往旅游景区及景区间的各类公路干线、支线建设，推进鹤伊高速到将军石山庄、兴安区到将军石山庄两段旅游公路的建设</w:t>
      </w:r>
      <w:r>
        <w:rPr>
          <w:rFonts w:hint="eastAsia" w:ascii="仿宋_GB2312" w:hAnsi="仿宋_GB2312" w:eastAsia="仿宋_GB2312" w:cs="仿宋_GB2312"/>
          <w:sz w:val="32"/>
          <w:szCs w:val="32"/>
          <w:lang w:eastAsia="zh-CN"/>
        </w:rPr>
        <w:t>。持续推进“旅游厕所革命”。提高餐饮住宿服务接待水平，</w:t>
      </w:r>
      <w:r>
        <w:rPr>
          <w:rFonts w:hint="eastAsia" w:ascii="仿宋_GB2312" w:hAnsi="仿宋_GB2312" w:eastAsia="仿宋_GB2312" w:cs="仿宋_GB2312"/>
          <w:sz w:val="32"/>
          <w:szCs w:val="32"/>
          <w:lang w:val="en-US" w:eastAsia="zh-CN"/>
        </w:rPr>
        <w:t>加快发展酒店、宾馆、民宿等适合不同消费群体的住宿体系</w:t>
      </w:r>
      <w:r>
        <w:rPr>
          <w:rFonts w:hint="eastAsia" w:ascii="仿宋_GB2312" w:hAnsi="仿宋_GB2312" w:eastAsia="仿宋_GB2312" w:cs="仿宋_GB2312"/>
          <w:sz w:val="32"/>
          <w:szCs w:val="32"/>
          <w:lang w:eastAsia="zh-CN"/>
        </w:rPr>
        <w:t>，打造本地特色菜系。加强旅游市场综合监管，切实维护旅游市场秩序和广大游客合法权益。</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rPr>
          <w:rFonts w:hint="eastAsia"/>
          <w:kern w:val="44"/>
          <w:lang w:val="en-US" w:eastAsia="zh-CN"/>
        </w:rPr>
      </w:pPr>
      <w:bookmarkStart w:id="199" w:name="_Toc7192"/>
      <w:r>
        <w:rPr>
          <w:rFonts w:hint="eastAsia"/>
          <w:kern w:val="44"/>
          <w:lang w:val="en-US" w:eastAsia="zh-CN"/>
        </w:rPr>
        <w:t>第十章 加快新型基础设施建设 提高综合承载能力</w:t>
      </w:r>
      <w:bookmarkEnd w:id="196"/>
      <w:bookmarkEnd w:id="197"/>
      <w:bookmarkEnd w:id="198"/>
      <w:bookmarkEnd w:id="199"/>
    </w:p>
    <w:p>
      <w:pPr>
        <w:pStyle w:val="19"/>
        <w:pageBreakBefore w:val="0"/>
        <w:numPr>
          <w:ilvl w:val="0"/>
          <w:numId w:val="0"/>
        </w:numPr>
        <w:kinsoku/>
        <w:wordWrap/>
        <w:overflowPunct/>
        <w:topLinePunct w:val="0"/>
        <w:autoSpaceDE/>
        <w:autoSpaceDN/>
        <w:bidi w:val="0"/>
        <w:spacing w:line="600" w:lineRule="exact"/>
        <w:ind w:firstLine="666"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坚持服务发展、惠及民生、引领未来的目标导向，统筹产业布局和区域战略需要，抓住国家和省、市重大政策机遇，建设内畅、外联、互通的基础设施网络，打造高效实用、智能绿色、安全可靠的现代化基础设施体系。  </w:t>
      </w:r>
    </w:p>
    <w:p>
      <w:pPr>
        <w:pStyle w:val="36"/>
        <w:pageBreakBefore w:val="0"/>
        <w:kinsoku/>
        <w:wordWrap/>
        <w:overflowPunct/>
        <w:topLinePunct w:val="0"/>
        <w:autoSpaceDE/>
        <w:autoSpaceDN/>
        <w:bidi w:val="0"/>
        <w:spacing w:before="240" w:after="240" w:line="600" w:lineRule="exact"/>
        <w:textAlignment w:val="auto"/>
        <w:rPr>
          <w:rFonts w:hint="eastAsia"/>
          <w:sz w:val="32"/>
          <w:szCs w:val="32"/>
          <w:lang w:val="en-US" w:eastAsia="zh-CN"/>
        </w:rPr>
      </w:pPr>
      <w:bookmarkStart w:id="200" w:name="_Toc16702"/>
      <w:bookmarkStart w:id="201" w:name="_Toc4217"/>
      <w:bookmarkStart w:id="202" w:name="_Toc20584"/>
      <w:r>
        <w:rPr>
          <w:rFonts w:hint="eastAsia"/>
          <w:sz w:val="32"/>
          <w:szCs w:val="32"/>
          <w:lang w:val="en-US" w:eastAsia="zh-CN"/>
        </w:rPr>
        <w:t>第一节 加快新型基础设施建设</w:t>
      </w:r>
      <w:bookmarkEnd w:id="200"/>
      <w:bookmarkEnd w:id="201"/>
      <w:bookmarkEnd w:id="202"/>
    </w:p>
    <w:p>
      <w:pPr>
        <w:pStyle w:val="19"/>
        <w:pageBreakBefore w:val="0"/>
        <w:numPr>
          <w:ilvl w:val="0"/>
          <w:numId w:val="0"/>
        </w:numPr>
        <w:kinsoku/>
        <w:wordWrap/>
        <w:overflowPunct/>
        <w:topLinePunct w:val="0"/>
        <w:autoSpaceDE/>
        <w:autoSpaceDN/>
        <w:bidi w:val="0"/>
        <w:spacing w:line="600" w:lineRule="exact"/>
        <w:ind w:firstLine="666" w:firstLineChars="200"/>
        <w:textAlignment w:val="auto"/>
        <w:rPr>
          <w:rFonts w:hint="eastAsia" w:ascii="仿宋_GB2312" w:hAnsi="仿宋_GB2312" w:eastAsia="仿宋_GB2312" w:cs="仿宋_GB2312"/>
          <w:b w:val="0"/>
          <w:bCs/>
          <w:sz w:val="32"/>
          <w:szCs w:val="32"/>
          <w:lang w:val="en-US" w:eastAsia="zh-CN"/>
        </w:rPr>
      </w:pPr>
      <w:r>
        <w:rPr>
          <w:rFonts w:hint="eastAsia" w:ascii="楷体" w:hAnsi="楷体" w:eastAsia="楷体" w:cs="黑体"/>
          <w:b/>
          <w:color w:val="000000"/>
          <w:kern w:val="0"/>
          <w:sz w:val="32"/>
          <w:szCs w:val="32"/>
          <w:lang w:val="en-US" w:eastAsia="zh-CN" w:bidi="ar-SA"/>
        </w:rPr>
        <w:t>优化提升公路建设。</w:t>
      </w:r>
      <w:r>
        <w:rPr>
          <w:rFonts w:hint="eastAsia" w:ascii="仿宋_GB2312" w:hAnsi="仿宋_GB2312" w:eastAsia="仿宋_GB2312" w:cs="仿宋_GB2312"/>
          <w:b w:val="0"/>
          <w:bCs/>
          <w:sz w:val="32"/>
          <w:szCs w:val="32"/>
          <w:lang w:val="en-US" w:eastAsia="zh-CN"/>
        </w:rPr>
        <w:t>对农村公路进行维修、养护，</w:t>
      </w:r>
      <w:r>
        <w:rPr>
          <w:rFonts w:hint="eastAsia" w:ascii="仿宋_GB2312" w:hAnsi="仿宋_GB2312" w:eastAsia="仿宋_GB2312" w:cs="仿宋_GB2312"/>
          <w:i w:val="0"/>
          <w:caps w:val="0"/>
          <w:color w:val="auto"/>
          <w:spacing w:val="0"/>
          <w:sz w:val="32"/>
          <w:szCs w:val="32"/>
          <w:shd w:val="clear" w:color="auto" w:fill="FFFFFF"/>
        </w:rPr>
        <w:t>推进</w:t>
      </w:r>
      <w:r>
        <w:rPr>
          <w:rFonts w:hint="eastAsia" w:ascii="仿宋_GB2312" w:hAnsi="仿宋_GB2312" w:eastAsia="仿宋_GB2312" w:cs="仿宋_GB2312"/>
          <w:i w:val="0"/>
          <w:caps w:val="0"/>
          <w:color w:val="auto"/>
          <w:spacing w:val="0"/>
          <w:sz w:val="32"/>
          <w:szCs w:val="32"/>
          <w:shd w:val="clear" w:color="auto" w:fill="FFFFFF"/>
          <w:lang w:eastAsia="zh-CN"/>
        </w:rPr>
        <w:t>我区“四好农村路”高质量发展。</w:t>
      </w:r>
      <w:r>
        <w:rPr>
          <w:rFonts w:hint="eastAsia" w:ascii="仿宋_GB2312" w:hAnsi="仿宋_GB2312" w:eastAsia="仿宋_GB2312" w:cs="仿宋_GB2312"/>
          <w:b w:val="0"/>
          <w:bCs/>
          <w:sz w:val="32"/>
          <w:szCs w:val="32"/>
          <w:lang w:val="en-US" w:eastAsia="zh-CN"/>
        </w:rPr>
        <w:t>进一步推进农村联网公路建设，将长胜村大坝至防火点联网公路建设工程、南风井至畜牧场联网公路建设工程、峻德矿矸石山至实验农场改建工程、新农村西山牛场至长胜村改建工程、铁索桥至红旗镇林场美丽乡村路建设工程、兴长路至长胜村道路建设工程等6条农村公路新建、改建工程纳入规划布局。</w:t>
      </w:r>
    </w:p>
    <w:p>
      <w:pPr>
        <w:pStyle w:val="19"/>
        <w:pageBreakBefore w:val="0"/>
        <w:numPr>
          <w:ilvl w:val="0"/>
          <w:numId w:val="0"/>
        </w:numPr>
        <w:kinsoku/>
        <w:wordWrap/>
        <w:overflowPunct/>
        <w:topLinePunct w:val="0"/>
        <w:autoSpaceDE/>
        <w:autoSpaceDN/>
        <w:bidi w:val="0"/>
        <w:spacing w:line="600" w:lineRule="exact"/>
        <w:ind w:firstLine="666" w:firstLineChars="200"/>
        <w:textAlignment w:val="auto"/>
        <w:rPr>
          <w:rFonts w:hint="eastAsia" w:ascii="黑体" w:hAnsi="黑体" w:eastAsia="黑体" w:cs="黑体"/>
          <w:b w:val="0"/>
          <w:bCs w:val="0"/>
          <w:sz w:val="32"/>
          <w:szCs w:val="32"/>
          <w:lang w:val="en-US" w:eastAsia="zh-CN"/>
        </w:rPr>
      </w:pPr>
      <w:bookmarkStart w:id="203" w:name="_Toc29793"/>
      <w:bookmarkStart w:id="204" w:name="_Toc11942"/>
      <w:r>
        <w:rPr>
          <w:rFonts w:hint="eastAsia" w:ascii="楷体" w:hAnsi="楷体" w:eastAsia="楷体" w:cs="黑体"/>
          <w:b/>
          <w:color w:val="000000"/>
          <w:kern w:val="0"/>
          <w:sz w:val="32"/>
          <w:szCs w:val="32"/>
          <w:lang w:val="en-US" w:eastAsia="zh-CN" w:bidi="ar-SA"/>
        </w:rPr>
        <w:t>完善城市交通网络。</w:t>
      </w:r>
      <w:r>
        <w:rPr>
          <w:rFonts w:hint="eastAsia" w:ascii="仿宋_GB2312" w:hAnsi="仿宋_GB2312" w:eastAsia="仿宋_GB2312" w:cs="仿宋_GB2312"/>
          <w:b w:val="0"/>
          <w:bCs/>
          <w:sz w:val="32"/>
          <w:szCs w:val="32"/>
          <w:lang w:val="en-US" w:eastAsia="zh-CN"/>
        </w:rPr>
        <w:t>维修升级兴东路、兴安路、兴建路、兴长路、峻德路5条城区主要道路，</w:t>
      </w:r>
      <w:r>
        <w:rPr>
          <w:rFonts w:hint="eastAsia" w:ascii="仿宋_GB2312" w:hAnsi="仿宋_GB2312" w:eastAsia="仿宋_GB2312" w:cs="仿宋_GB2312"/>
          <w:b w:val="0"/>
          <w:bCs/>
          <w:sz w:val="32"/>
          <w:szCs w:val="32"/>
          <w:lang w:eastAsia="zh-CN"/>
        </w:rPr>
        <w:t>维修改造南群楼芳林街</w:t>
      </w:r>
      <w:r>
        <w:rPr>
          <w:rFonts w:hint="eastAsia" w:ascii="仿宋_GB2312" w:hAnsi="仿宋_GB2312" w:eastAsia="仿宋_GB2312" w:cs="仿宋_GB2312"/>
          <w:b w:val="0"/>
          <w:bCs/>
          <w:sz w:val="32"/>
          <w:szCs w:val="32"/>
          <w:lang w:val="en-US" w:eastAsia="zh-CN"/>
        </w:rPr>
        <w:t>1条街巷道路</w:t>
      </w:r>
      <w:r>
        <w:rPr>
          <w:rFonts w:hint="eastAsia" w:ascii="仿宋_GB2312" w:hAnsi="仿宋_GB2312" w:eastAsia="仿宋_GB2312" w:cs="仿宋_GB2312"/>
          <w:b w:val="0"/>
          <w:bCs/>
          <w:sz w:val="32"/>
          <w:szCs w:val="32"/>
          <w:lang w:eastAsia="zh-CN"/>
        </w:rPr>
        <w:t>和兴东路、兴安路人行道路，大幅提高城区交通快捷、顺畅、通达程度。</w:t>
      </w:r>
    </w:p>
    <w:p>
      <w:pPr>
        <w:pStyle w:val="36"/>
        <w:pageBreakBefore w:val="0"/>
        <w:kinsoku/>
        <w:wordWrap/>
        <w:overflowPunct/>
        <w:topLinePunct w:val="0"/>
        <w:autoSpaceDE/>
        <w:autoSpaceDN/>
        <w:bidi w:val="0"/>
        <w:spacing w:before="240" w:after="240" w:line="600" w:lineRule="exact"/>
        <w:textAlignment w:val="auto"/>
        <w:rPr>
          <w:rFonts w:hint="eastAsia"/>
          <w:sz w:val="32"/>
          <w:szCs w:val="32"/>
          <w:lang w:val="en-US" w:eastAsia="zh-CN"/>
        </w:rPr>
      </w:pPr>
      <w:bookmarkStart w:id="205" w:name="_Toc12123"/>
      <w:r>
        <w:rPr>
          <w:rFonts w:hint="eastAsia"/>
          <w:sz w:val="32"/>
          <w:szCs w:val="32"/>
          <w:lang w:val="en-US" w:eastAsia="zh-CN"/>
        </w:rPr>
        <w:t>第二节 提升城区承载能力</w:t>
      </w:r>
      <w:bookmarkEnd w:id="203"/>
      <w:bookmarkEnd w:id="204"/>
      <w:bookmarkEnd w:id="205"/>
    </w:p>
    <w:p>
      <w:pPr>
        <w:pStyle w:val="19"/>
        <w:pageBreakBefore w:val="0"/>
        <w:numPr>
          <w:ilvl w:val="0"/>
          <w:numId w:val="0"/>
        </w:numPr>
        <w:kinsoku/>
        <w:wordWrap/>
        <w:overflowPunct/>
        <w:topLinePunct w:val="0"/>
        <w:autoSpaceDE/>
        <w:autoSpaceDN/>
        <w:bidi w:val="0"/>
        <w:spacing w:line="600" w:lineRule="exact"/>
        <w:ind w:firstLine="666" w:firstLineChars="200"/>
        <w:textAlignment w:val="auto"/>
        <w:rPr>
          <w:rFonts w:hint="eastAsia" w:ascii="仿宋_GB2312" w:hAnsi="仿宋_GB2312" w:eastAsia="仿宋_GB2312" w:cs="仿宋_GB2312"/>
          <w:b w:val="0"/>
          <w:bCs w:val="0"/>
          <w:sz w:val="32"/>
          <w:szCs w:val="32"/>
          <w:lang w:val="en-US" w:eastAsia="zh-CN"/>
        </w:rPr>
      </w:pPr>
      <w:bookmarkStart w:id="206" w:name="_Toc3680"/>
      <w:bookmarkStart w:id="207" w:name="_Toc21462"/>
      <w:bookmarkStart w:id="208" w:name="_Toc21753"/>
      <w:r>
        <w:rPr>
          <w:rFonts w:hint="eastAsia" w:ascii="楷体" w:hAnsi="楷体" w:eastAsia="楷体" w:cs="黑体"/>
          <w:b/>
          <w:color w:val="000000"/>
          <w:kern w:val="0"/>
          <w:sz w:val="32"/>
          <w:szCs w:val="32"/>
          <w:lang w:val="en-US" w:eastAsia="zh-CN" w:bidi="ar-SA"/>
        </w:rPr>
        <w:t>加快城市环境改造。</w:t>
      </w:r>
      <w:r>
        <w:rPr>
          <w:rFonts w:hint="eastAsia" w:ascii="仿宋_GB2312" w:hAnsi="仿宋_GB2312" w:eastAsia="仿宋_GB2312" w:cs="仿宋_GB2312"/>
          <w:b w:val="0"/>
          <w:bCs w:val="0"/>
          <w:sz w:val="32"/>
          <w:szCs w:val="32"/>
          <w:lang w:val="en-US" w:eastAsia="zh-CN"/>
        </w:rPr>
        <w:t>遵循“铸魂、提品、净水、增绿”理念，保护城市自然山水格局，传承鹤岗历史文脉。加快拆除违章建筑，利用城市腾空区建设更多的公园广场、口袋绿地。统筹城区给排水、供热、燃气、消防等设施规划建设。持续推进老旧小区改造，完善老旧小区路网及地下管网、集中供热网、燃气管网和排水管网。</w:t>
      </w:r>
      <w:r>
        <w:rPr>
          <w:rFonts w:hint="eastAsia" w:ascii="仿宋_GB2312" w:hAnsi="仿宋_GB2312" w:eastAsia="仿宋_GB2312" w:cs="仿宋_GB2312"/>
          <w:b w:val="0"/>
          <w:bCs/>
          <w:sz w:val="32"/>
          <w:szCs w:val="32"/>
          <w:lang w:eastAsia="zh-CN"/>
        </w:rPr>
        <w:t>更新、更换兴东路、兴安路、兴长路等主要路段路灯，对全区下水井、雨水井进行维修、改造。</w:t>
      </w:r>
    </w:p>
    <w:p>
      <w:pPr>
        <w:pStyle w:val="19"/>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sz w:val="32"/>
          <w:szCs w:val="32"/>
          <w:lang w:val="en-US" w:eastAsia="zh-CN"/>
        </w:rPr>
      </w:pPr>
      <w:r>
        <w:rPr>
          <w:rFonts w:hint="eastAsia" w:ascii="楷体" w:hAnsi="楷体" w:eastAsia="楷体" w:cs="黑体"/>
          <w:b/>
          <w:color w:val="000000"/>
          <w:kern w:val="0"/>
          <w:sz w:val="32"/>
          <w:szCs w:val="32"/>
          <w:lang w:val="en-US" w:eastAsia="zh-CN" w:bidi="ar-SA"/>
        </w:rPr>
        <w:t>实施城市精细管理。</w:t>
      </w:r>
      <w:r>
        <w:rPr>
          <w:rFonts w:hint="eastAsia" w:ascii="仿宋_GB2312" w:hAnsi="仿宋_GB2312" w:eastAsia="仿宋_GB2312" w:cs="仿宋_GB2312"/>
          <w:b w:val="0"/>
          <w:bCs w:val="0"/>
          <w:sz w:val="32"/>
          <w:szCs w:val="32"/>
          <w:lang w:val="en-US" w:eastAsia="zh-CN"/>
        </w:rPr>
        <w:t>加大环境卫生整治，稳步推进生活垃圾分类，</w:t>
      </w:r>
      <w:r>
        <w:rPr>
          <w:rFonts w:hint="eastAsia" w:ascii="仿宋_GB2312" w:hAnsi="仿宋_GB2312" w:eastAsia="仿宋_GB2312" w:cs="仿宋_GB2312"/>
          <w:b w:val="0"/>
          <w:bCs/>
          <w:kern w:val="2"/>
          <w:sz w:val="32"/>
          <w:szCs w:val="32"/>
          <w:lang w:val="en-US" w:eastAsia="zh-CN" w:bidi="ar-SA"/>
        </w:rPr>
        <w:t>增加大型清扫车辆和冬季清雪设备，</w:t>
      </w:r>
      <w:r>
        <w:rPr>
          <w:rFonts w:hint="eastAsia" w:ascii="仿宋_GB2312" w:hAnsi="仿宋_GB2312" w:eastAsia="仿宋_GB2312" w:cs="仿宋_GB2312"/>
          <w:b w:val="0"/>
          <w:bCs w:val="0"/>
          <w:sz w:val="32"/>
          <w:szCs w:val="32"/>
          <w:lang w:val="en-US" w:eastAsia="zh-CN"/>
        </w:rPr>
        <w:t>提高道路机械化清扫率，提升环境卫生管理水平。加强城市管理综合执法力度，持续整治影响区容区貌行为。规范市场经营秩序，规划建设惠民便民的集贸市场，方便群众生活需求。加快推进“烂尾楼”专项整治工作。</w:t>
      </w:r>
      <w:r>
        <w:rPr>
          <w:rFonts w:hint="eastAsia" w:ascii="仿宋_GB2312" w:hAnsi="仿宋_GB2312" w:eastAsia="仿宋_GB2312" w:cs="仿宋_GB2312"/>
          <w:b w:val="0"/>
          <w:bCs/>
          <w:sz w:val="32"/>
          <w:szCs w:val="32"/>
          <w:lang w:val="en-US" w:eastAsia="zh-CN"/>
        </w:rPr>
        <w:t xml:space="preserve">引领创新物业管理模式，提高物业管理水平，将206栋弃管楼纳入专业化物业管理体系，并着力打造一批物业服务管理示范单位。 </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rPr>
          <w:rFonts w:hint="eastAsia" w:ascii="仿宋_GB2312" w:hAnsi="仿宋_GB2312" w:eastAsia="仿宋_GB2312" w:cs="仿宋_GB2312"/>
          <w:b w:val="0"/>
          <w:bCs w:val="0"/>
          <w:sz w:val="32"/>
          <w:szCs w:val="32"/>
          <w:lang w:eastAsia="zh-CN"/>
        </w:rPr>
      </w:pPr>
      <w:bookmarkStart w:id="209" w:name="_Toc2261"/>
      <w:r>
        <w:rPr>
          <w:rFonts w:hint="eastAsia"/>
          <w:kern w:val="44"/>
          <w:lang w:eastAsia="zh-CN"/>
        </w:rPr>
        <w:t>第十一章</w:t>
      </w:r>
      <w:r>
        <w:rPr>
          <w:rFonts w:hint="eastAsia"/>
          <w:kern w:val="44"/>
          <w:lang w:val="en-US" w:eastAsia="zh-CN"/>
        </w:rPr>
        <w:t xml:space="preserve"> </w:t>
      </w:r>
      <w:r>
        <w:rPr>
          <w:rFonts w:hint="eastAsia"/>
          <w:kern w:val="44"/>
        </w:rPr>
        <w:t>提升社会建设水平</w:t>
      </w:r>
      <w:r>
        <w:rPr>
          <w:rFonts w:hint="eastAsia"/>
          <w:kern w:val="44"/>
          <w:lang w:val="en-US" w:eastAsia="zh-CN"/>
        </w:rPr>
        <w:t xml:space="preserve"> </w:t>
      </w:r>
      <w:r>
        <w:rPr>
          <w:rFonts w:hint="eastAsia"/>
          <w:kern w:val="44"/>
        </w:rPr>
        <w:t>全面增进民生福祉</w:t>
      </w:r>
      <w:bookmarkEnd w:id="209"/>
      <w:r>
        <w:rPr>
          <w:rFonts w:hint="eastAsia"/>
          <w:kern w:val="44"/>
          <w:lang w:val="en-US" w:eastAsia="zh-CN"/>
        </w:rPr>
        <w:t xml:space="preserve"> </w:t>
      </w:r>
      <w:bookmarkEnd w:id="206"/>
      <w:bookmarkEnd w:id="207"/>
      <w:bookmarkEnd w:id="208"/>
    </w:p>
    <w:p>
      <w:pPr>
        <w:spacing w:line="600" w:lineRule="exact"/>
        <w:ind w:firstLine="666" w:firstLineChars="200"/>
        <w:rPr>
          <w:rFonts w:ascii="黑体" w:hAnsi="黑体" w:eastAsia="黑体"/>
          <w:sz w:val="32"/>
          <w:szCs w:val="32"/>
        </w:rPr>
      </w:pPr>
      <w:bookmarkStart w:id="210" w:name="_Toc25065"/>
      <w:bookmarkStart w:id="211" w:name="_Toc781"/>
      <w:r>
        <w:rPr>
          <w:rFonts w:hint="eastAsia" w:ascii="仿宋_GB2312" w:hAnsi="仿宋_GB2312" w:eastAsia="仿宋_GB2312" w:cs="仿宋_GB2312"/>
          <w:sz w:val="32"/>
          <w:szCs w:val="32"/>
        </w:rPr>
        <w:t>坚持以人民为中心的发展思想，逐步完善基本公共服务体系，强化政策兜底，引导社会投入，增强民生福祉，努力提高人民生活质量水平。</w:t>
      </w:r>
    </w:p>
    <w:p>
      <w:pPr>
        <w:pStyle w:val="36"/>
        <w:pageBreakBefore w:val="0"/>
        <w:widowControl/>
        <w:kinsoku/>
        <w:wordWrap/>
        <w:overflowPunct/>
        <w:topLinePunct w:val="0"/>
        <w:autoSpaceDE/>
        <w:autoSpaceDN/>
        <w:bidi w:val="0"/>
        <w:adjustRightInd w:val="0"/>
        <w:snapToGrid w:val="0"/>
        <w:spacing w:before="240" w:after="240" w:line="600" w:lineRule="exact"/>
        <w:textAlignment w:val="auto"/>
        <w:rPr>
          <w:rFonts w:hint="eastAsia" w:ascii="楷体_GB2312" w:hAnsi="楷体_GB2312" w:eastAsia="楷体_GB2312" w:cs="楷体_GB2312"/>
          <w:b/>
          <w:bCs/>
          <w:sz w:val="32"/>
          <w:szCs w:val="32"/>
          <w:lang w:eastAsia="zh-CN"/>
        </w:rPr>
      </w:pPr>
      <w:bookmarkStart w:id="212" w:name="_Toc32025"/>
      <w:bookmarkStart w:id="213" w:name="_Toc7026"/>
      <w:r>
        <w:rPr>
          <w:rFonts w:hint="eastAsia"/>
          <w:kern w:val="0"/>
          <w:lang w:eastAsia="zh-CN"/>
        </w:rPr>
        <w:t>第一节</w:t>
      </w:r>
      <w:r>
        <w:rPr>
          <w:rFonts w:hint="eastAsia"/>
          <w:kern w:val="0"/>
          <w:lang w:val="en-US" w:eastAsia="zh-CN"/>
        </w:rPr>
        <w:t xml:space="preserve"> 健全社会保障体系</w:t>
      </w:r>
      <w:bookmarkEnd w:id="210"/>
      <w:bookmarkEnd w:id="211"/>
      <w:bookmarkEnd w:id="212"/>
      <w:bookmarkEnd w:id="213"/>
    </w:p>
    <w:p>
      <w:pPr>
        <w:spacing w:line="600" w:lineRule="exact"/>
        <w:ind w:firstLine="666" w:firstLineChars="200"/>
        <w:rPr>
          <w:rFonts w:ascii="仿宋_GB2312" w:hAnsi="仿宋_GB2312" w:eastAsia="仿宋_GB2312" w:cs="仿宋_GB2312"/>
          <w:sz w:val="32"/>
          <w:szCs w:val="32"/>
        </w:rPr>
      </w:pPr>
      <w:bookmarkStart w:id="214" w:name="_Toc21654"/>
      <w:bookmarkStart w:id="215" w:name="_Toc10519"/>
      <w:r>
        <w:rPr>
          <w:rFonts w:hint="eastAsia" w:ascii="楷体" w:hAnsi="楷体" w:eastAsia="楷体" w:cs="黑体"/>
          <w:b/>
          <w:color w:val="000000"/>
          <w:kern w:val="0"/>
          <w:sz w:val="32"/>
          <w:szCs w:val="32"/>
          <w:lang w:val="en-US" w:eastAsia="zh-CN" w:bidi="ar-SA"/>
        </w:rPr>
        <w:t>完善社会救助体系。</w:t>
      </w:r>
      <w:r>
        <w:rPr>
          <w:rFonts w:hint="eastAsia" w:ascii="仿宋_GB2312" w:hAnsi="仿宋_GB2312" w:eastAsia="仿宋_GB2312" w:cs="仿宋_GB2312"/>
          <w:sz w:val="32"/>
          <w:szCs w:val="32"/>
        </w:rPr>
        <w:t>完善最低生活保障、特困人员救助供养、临时救助等社会救助体系。建立健全城乡低保标准动态调整机制。健全优化乡镇（街道）临时救助备用金制度。扩大保障覆盖面，适度扩大低收入人群认定范围，落实好低收入人群保障政策。</w:t>
      </w:r>
    </w:p>
    <w:p>
      <w:pPr>
        <w:spacing w:line="600" w:lineRule="exact"/>
        <w:ind w:firstLine="666" w:firstLineChars="200"/>
        <w:jc w:val="left"/>
        <w:rPr>
          <w:rFonts w:ascii="仿宋_GB2312" w:hAnsi="仿宋_GB2312" w:eastAsia="仿宋_GB2312" w:cs="仿宋_GB2312"/>
          <w:sz w:val="32"/>
          <w:szCs w:val="32"/>
        </w:rPr>
      </w:pPr>
      <w:r>
        <w:rPr>
          <w:rFonts w:hint="eastAsia" w:ascii="楷体" w:hAnsi="楷体" w:eastAsia="楷体" w:cs="黑体"/>
          <w:b/>
          <w:color w:val="000000"/>
          <w:kern w:val="0"/>
          <w:sz w:val="32"/>
          <w:szCs w:val="32"/>
          <w:lang w:val="en-US" w:eastAsia="zh-CN" w:bidi="ar-SA"/>
        </w:rPr>
        <w:t>推进智慧社区建设。</w:t>
      </w:r>
      <w:r>
        <w:rPr>
          <w:rFonts w:hint="eastAsia" w:ascii="仿宋_GB2312" w:hAnsi="仿宋_GB2312" w:eastAsia="仿宋_GB2312" w:cs="仿宋_GB2312"/>
          <w:sz w:val="32"/>
          <w:szCs w:val="32"/>
        </w:rPr>
        <w:t>坚持以居民需求为导向，以推进智慧社区建设为目标，以信息化技术推进基层公共服务管理创新为重点，着力打造社区基础设施标准化、政府服务协同化、社区管理智能化、公共服务网络化的社区公共服务综合信息平台。</w:t>
      </w:r>
    </w:p>
    <w:p>
      <w:pPr>
        <w:pageBreakBefore w:val="0"/>
        <w:numPr>
          <w:ilvl w:val="0"/>
          <w:numId w:val="0"/>
        </w:numPr>
        <w:kinsoku/>
        <w:wordWrap/>
        <w:overflowPunct/>
        <w:topLinePunct w:val="0"/>
        <w:autoSpaceDE/>
        <w:autoSpaceDN/>
        <w:bidi w:val="0"/>
        <w:spacing w:line="600" w:lineRule="exact"/>
        <w:ind w:firstLine="666"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黑体"/>
          <w:b/>
          <w:color w:val="000000"/>
          <w:kern w:val="0"/>
          <w:sz w:val="32"/>
          <w:szCs w:val="32"/>
          <w:lang w:val="en-US" w:eastAsia="zh-CN" w:bidi="ar-SA"/>
        </w:rPr>
        <w:t>持续提高社会保障水平。</w:t>
      </w:r>
      <w:r>
        <w:rPr>
          <w:rFonts w:hint="eastAsia" w:ascii="仿宋_GB2312" w:hAnsi="仿宋_GB2312" w:eastAsia="仿宋_GB2312" w:cs="仿宋_GB2312"/>
          <w:sz w:val="32"/>
          <w:szCs w:val="32"/>
          <w:lang w:eastAsia="zh-CN"/>
        </w:rPr>
        <w:t>落实基本养老保险制度。落实基本养老保险全国统筹政策。落实实施渐进式延迟法定退休年龄。落实居民基本养老保险与职工基本养老保险衔接制度。深入落实机关事业单位养老保险制度改革。落实灵活就业人员社保政策。</w:t>
      </w:r>
      <w:r>
        <w:rPr>
          <w:rFonts w:hint="eastAsia" w:ascii="仿宋_GB2312" w:hAnsi="仿宋_GB2312" w:eastAsia="仿宋_GB2312" w:cs="仿宋_GB2312"/>
          <w:color w:val="auto"/>
          <w:sz w:val="32"/>
          <w:szCs w:val="32"/>
        </w:rPr>
        <w:t>建立困难职工帮扶常态化机制，为困难职工扰提供直接方便的帮助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大力优化数字化环境，强化数据安全管理，推动数据安全与协同共享可控发展，构建职能高效与安全可靠的数据管理体系</w:t>
      </w:r>
      <w:r>
        <w:rPr>
          <w:rFonts w:hint="eastAsia" w:ascii="仿宋_GB2312" w:hAnsi="仿宋_GB2312" w:eastAsia="仿宋_GB2312" w:cs="仿宋_GB2312"/>
          <w:color w:val="auto"/>
          <w:sz w:val="32"/>
          <w:szCs w:val="32"/>
          <w:lang w:eastAsia="zh-CN"/>
        </w:rPr>
        <w:t>；重点抓好“促进妇女全面发展”“保障儿童优先发展”“支持家庭发展”等工作，</w:t>
      </w:r>
      <w:r>
        <w:rPr>
          <w:rFonts w:hint="eastAsia" w:ascii="仿宋_GB2312" w:hAnsi="仿宋_GB2312" w:eastAsia="仿宋_GB2312" w:cs="仿宋_GB2312"/>
          <w:color w:val="auto"/>
          <w:sz w:val="32"/>
          <w:szCs w:val="32"/>
          <w:lang w:val="en-US" w:eastAsia="zh-CN"/>
        </w:rPr>
        <w:t>提升妇女儿童服务水平；加强困难职工解困脱困工作力度</w:t>
      </w:r>
      <w:r>
        <w:rPr>
          <w:rFonts w:hint="eastAsia" w:ascii="仿宋" w:hAnsi="仿宋" w:eastAsia="仿宋" w:cs="仿宋"/>
          <w:sz w:val="32"/>
          <w:szCs w:val="32"/>
          <w:lang w:val="en-US" w:eastAsia="zh-CN"/>
        </w:rPr>
        <w:t>，</w:t>
      </w:r>
      <w:r>
        <w:rPr>
          <w:rFonts w:hint="eastAsia" w:ascii="仿宋_GB2312" w:hAnsi="仿宋_GB2312" w:eastAsia="仿宋_GB2312" w:cs="仿宋_GB2312"/>
          <w:color w:val="auto"/>
          <w:sz w:val="32"/>
          <w:szCs w:val="32"/>
          <w:lang w:val="en-US" w:eastAsia="zh-CN"/>
        </w:rPr>
        <w:t>提高残疾人社会救助水平，推动残疾人事业现代化；</w:t>
      </w:r>
      <w:r>
        <w:rPr>
          <w:rFonts w:hint="eastAsia" w:ascii="仿宋_GB2312" w:hAnsi="仿宋_GB2312" w:eastAsia="仿宋_GB2312" w:cs="仿宋_GB2312"/>
          <w:color w:val="auto"/>
          <w:sz w:val="32"/>
          <w:szCs w:val="32"/>
          <w:lang w:eastAsia="zh-CN"/>
        </w:rPr>
        <w:t>健全退役将军人工作体系和保障制度，为退役军人提供各项服务。通过建设退役军人实训基地，培训专业技能，提高工作科学化、规范化、制度化水平。区、镇（街道）、社区服务站全部达到全国示范型服务站标准。</w:t>
      </w:r>
    </w:p>
    <w:p>
      <w:pPr>
        <w:pStyle w:val="36"/>
        <w:pageBreakBefore w:val="0"/>
        <w:widowControl/>
        <w:kinsoku/>
        <w:wordWrap/>
        <w:overflowPunct/>
        <w:topLinePunct w:val="0"/>
        <w:autoSpaceDE/>
        <w:autoSpaceDN/>
        <w:bidi w:val="0"/>
        <w:adjustRightInd w:val="0"/>
        <w:snapToGrid w:val="0"/>
        <w:spacing w:before="240" w:after="240" w:line="600" w:lineRule="exact"/>
        <w:jc w:val="center"/>
        <w:textAlignment w:val="auto"/>
        <w:rPr>
          <w:rFonts w:hint="eastAsia" w:ascii="仿宋_GB2312" w:hAnsi="仿宋_GB2312" w:eastAsia="仿宋_GB2312" w:cs="仿宋_GB2312"/>
          <w:b/>
          <w:bCs/>
          <w:color w:val="auto"/>
          <w:sz w:val="32"/>
          <w:szCs w:val="32"/>
          <w:lang w:eastAsia="zh-CN"/>
        </w:rPr>
      </w:pPr>
      <w:bookmarkStart w:id="216" w:name="_Toc13823"/>
      <w:bookmarkStart w:id="217" w:name="_Toc554"/>
      <w:r>
        <w:rPr>
          <w:rFonts w:hint="eastAsia"/>
          <w:kern w:val="0"/>
          <w:lang w:eastAsia="zh-CN"/>
        </w:rPr>
        <w:t>第二</w:t>
      </w:r>
      <w:r>
        <w:rPr>
          <w:rFonts w:hint="eastAsia" w:ascii="黑体" w:hAnsi="黑体" w:eastAsia="黑体" w:cs="黑体"/>
          <w:b w:val="0"/>
          <w:bCs w:val="0"/>
          <w:sz w:val="32"/>
          <w:szCs w:val="32"/>
          <w:lang w:eastAsia="zh-CN"/>
        </w:rPr>
        <w:t>节</w:t>
      </w:r>
      <w:r>
        <w:rPr>
          <w:rFonts w:hint="eastAsia" w:ascii="黑体" w:hAnsi="黑体" w:eastAsia="黑体" w:cs="黑体"/>
          <w:b w:val="0"/>
          <w:bCs w:val="0"/>
          <w:sz w:val="32"/>
          <w:szCs w:val="32"/>
          <w:lang w:val="en-US" w:eastAsia="zh-CN"/>
        </w:rPr>
        <w:t xml:space="preserve"> 强化就业优先政策</w:t>
      </w:r>
      <w:bookmarkEnd w:id="214"/>
      <w:bookmarkEnd w:id="215"/>
      <w:bookmarkEnd w:id="216"/>
      <w:bookmarkEnd w:id="217"/>
    </w:p>
    <w:p>
      <w:pPr>
        <w:pageBreakBefore w:val="0"/>
        <w:numPr>
          <w:ilvl w:val="0"/>
          <w:numId w:val="0"/>
        </w:numPr>
        <w:kinsoku/>
        <w:wordWrap/>
        <w:overflowPunct/>
        <w:topLinePunct w:val="0"/>
        <w:autoSpaceDE/>
        <w:autoSpaceDN/>
        <w:bidi w:val="0"/>
        <w:spacing w:line="600" w:lineRule="exact"/>
        <w:ind w:firstLine="666" w:firstLineChars="200"/>
        <w:textAlignment w:val="auto"/>
        <w:rPr>
          <w:rFonts w:hint="eastAsia" w:ascii="仿宋_GB2312" w:hAnsi="仿宋_GB2312" w:eastAsia="仿宋_GB2312" w:cs="仿宋_GB2312"/>
          <w:color w:val="auto"/>
          <w:sz w:val="32"/>
          <w:szCs w:val="32"/>
          <w:lang w:eastAsia="zh-CN"/>
        </w:rPr>
      </w:pPr>
      <w:bookmarkStart w:id="218" w:name="_Toc16200"/>
      <w:bookmarkStart w:id="219" w:name="_Toc2699"/>
      <w:bookmarkStart w:id="220" w:name="_Toc461"/>
      <w:bookmarkStart w:id="221" w:name="_Toc11226"/>
      <w:r>
        <w:rPr>
          <w:rFonts w:hint="eastAsia" w:ascii="仿宋_GB2312" w:hAnsi="仿宋_GB2312" w:eastAsia="仿宋_GB2312" w:cs="仿宋_GB2312"/>
          <w:color w:val="auto"/>
          <w:sz w:val="32"/>
          <w:szCs w:val="32"/>
          <w:lang w:eastAsia="zh-CN"/>
        </w:rPr>
        <w:t>落实就业政策体系，缓解结构性就业矛盾，积极引导农村劳动力就业，完善促进创业带动就业、多渠道灵活就业的保障制度。</w:t>
      </w:r>
      <w:r>
        <w:rPr>
          <w:rFonts w:hint="eastAsia" w:ascii="仿宋_GB2312" w:hAnsi="仿宋_GB2312" w:eastAsia="仿宋_GB2312" w:cs="仿宋_GB2312"/>
          <w:color w:val="auto"/>
          <w:sz w:val="32"/>
          <w:szCs w:val="32"/>
          <w:lang w:val="en-US" w:eastAsia="zh-CN"/>
        </w:rPr>
        <w:t>深化青年就业创业服务，落实高校毕业生就业、创业促进计划；开展青年农民工职业技能培训计划；</w:t>
      </w:r>
      <w:r>
        <w:rPr>
          <w:rFonts w:hint="eastAsia" w:ascii="仿宋_GB2312" w:hAnsi="仿宋_GB2312" w:eastAsia="仿宋_GB2312" w:cs="仿宋_GB2312"/>
          <w:color w:val="auto"/>
          <w:sz w:val="32"/>
          <w:szCs w:val="32"/>
          <w:lang w:eastAsia="zh-CN"/>
        </w:rPr>
        <w:t>全面推进公共就业服务专业化、信息化、标准化。加强劳动保护，维护职工和企业合法权益。健全就业促进机制。深入开展“援企助区促就业”“五型就业社区”创建活动，实施鹤岗市万名党员干部“一帮一”就业创业行动。做好职业技能培训工作，积极落实“鹤岗工匠”打造计划。</w:t>
      </w:r>
    </w:p>
    <w:p>
      <w:pPr>
        <w:pStyle w:val="36"/>
        <w:pageBreakBefore w:val="0"/>
        <w:widowControl/>
        <w:kinsoku/>
        <w:wordWrap/>
        <w:overflowPunct/>
        <w:topLinePunct w:val="0"/>
        <w:autoSpaceDE/>
        <w:autoSpaceDN/>
        <w:bidi w:val="0"/>
        <w:adjustRightInd w:val="0"/>
        <w:snapToGrid w:val="0"/>
        <w:spacing w:before="240" w:after="240" w:line="600" w:lineRule="exact"/>
        <w:jc w:val="center"/>
        <w:textAlignment w:val="auto"/>
        <w:rPr>
          <w:rFonts w:hint="eastAsia" w:ascii="仿宋" w:hAnsi="仿宋" w:eastAsia="仿宋" w:cs="仿宋"/>
          <w:b/>
          <w:bCs/>
          <w:sz w:val="32"/>
          <w:szCs w:val="32"/>
        </w:rPr>
      </w:pPr>
      <w:r>
        <w:rPr>
          <w:rFonts w:hint="eastAsia"/>
          <w:kern w:val="0"/>
          <w:lang w:val="en-US" w:eastAsia="zh-CN"/>
        </w:rPr>
        <w:t>第三节 加快推进教育现代化</w:t>
      </w:r>
      <w:bookmarkEnd w:id="218"/>
      <w:bookmarkEnd w:id="219"/>
      <w:bookmarkEnd w:id="220"/>
      <w:bookmarkEnd w:id="221"/>
    </w:p>
    <w:p>
      <w:pPr>
        <w:pageBreakBefore w:val="0"/>
        <w:numPr>
          <w:ilvl w:val="0"/>
          <w:numId w:val="0"/>
        </w:numPr>
        <w:kinsoku/>
        <w:wordWrap/>
        <w:overflowPunct/>
        <w:topLinePunct w:val="0"/>
        <w:autoSpaceDE/>
        <w:autoSpaceDN/>
        <w:bidi w:val="0"/>
        <w:spacing w:line="600" w:lineRule="exact"/>
        <w:ind w:firstLine="666" w:firstLineChars="200"/>
        <w:textAlignment w:val="auto"/>
        <w:rPr>
          <w:rFonts w:hint="eastAsia" w:ascii="仿宋_GB2312" w:hAnsi="仿宋_GB2312" w:eastAsia="仿宋_GB2312" w:cs="仿宋_GB2312"/>
          <w:color w:val="auto"/>
          <w:sz w:val="32"/>
          <w:szCs w:val="32"/>
          <w:lang w:val="en-US" w:eastAsia="zh-CN"/>
        </w:rPr>
      </w:pPr>
      <w:bookmarkStart w:id="222" w:name="_Toc29668"/>
      <w:r>
        <w:rPr>
          <w:rFonts w:hint="eastAsia" w:ascii="仿宋_GB2312" w:hAnsi="仿宋_GB2312" w:eastAsia="仿宋_GB2312" w:cs="仿宋_GB2312"/>
          <w:color w:val="auto"/>
          <w:sz w:val="32"/>
          <w:szCs w:val="32"/>
          <w:lang w:eastAsia="zh-CN"/>
        </w:rPr>
        <w:t>全面落实党的教育方针，落实市委“加快推进教育现代化”的要求，坚持优先发展教育事业，保障教育资金投入，以少年军校为载体，积极打造特色学校；强化学校党建工作，大力推动校园思政课建设，坚持为党育才、为国育才，努力办好人民满意的教育。坚持以习近平新时代中国特色社会主义思想为指导，以兴安区委、区政府重点工作为遵循，以“立德树人”为依托，全面加强和改进学校德育工作，增强全体教师的育人意识和育人能力；进一步巩固义务教育均衡发展成果,不断加大教育投入，提升内涵建设，确保义务教育阶段适龄儿童就近入学，入学率、巩固率分别达到100%、99%；注重教师队伍建设，采取交流培训等多种方式，不断提高教师业务能力和专业水平，为实现义务教育优质均衡发展打下坚实基础。</w:t>
      </w:r>
      <w:r>
        <w:rPr>
          <w:rFonts w:hint="eastAsia" w:ascii="仿宋_GB2312" w:hAnsi="仿宋_GB2312" w:eastAsia="仿宋_GB2312" w:cs="仿宋_GB2312"/>
          <w:color w:val="auto"/>
          <w:sz w:val="32"/>
          <w:szCs w:val="32"/>
          <w:lang w:val="en-US" w:eastAsia="zh-CN"/>
        </w:rPr>
        <w:t>切实维护青年合法权益，贯彻落实《黑龙江省未成年人保护条例》；</w:t>
      </w:r>
    </w:p>
    <w:p>
      <w:pPr>
        <w:pageBreakBefore w:val="0"/>
        <w:numPr>
          <w:ilvl w:val="0"/>
          <w:numId w:val="0"/>
        </w:numPr>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实施青少年权益保护工程；深入推进“护校安园”行动。</w:t>
      </w:r>
      <w:r>
        <w:rPr>
          <w:rFonts w:hint="eastAsia" w:ascii="仿宋_GB2312" w:hAnsi="仿宋_GB2312" w:eastAsia="仿宋_GB2312" w:cs="仿宋_GB2312"/>
          <w:color w:val="auto"/>
          <w:sz w:val="32"/>
          <w:szCs w:val="32"/>
          <w:lang w:eastAsia="zh-CN"/>
        </w:rPr>
        <w:t>加强幼儿园管理，规范办园行为，加大对普惠性民办幼儿园的扶持力度，争取“十四五”期间普惠性民办幼儿园认定率达到90%以上。</w:t>
      </w:r>
    </w:p>
    <w:p>
      <w:pPr>
        <w:pStyle w:val="36"/>
        <w:pageBreakBefore w:val="0"/>
        <w:widowControl/>
        <w:kinsoku/>
        <w:wordWrap/>
        <w:overflowPunct/>
        <w:topLinePunct w:val="0"/>
        <w:autoSpaceDE/>
        <w:autoSpaceDN/>
        <w:bidi w:val="0"/>
        <w:adjustRightInd w:val="0"/>
        <w:snapToGrid w:val="0"/>
        <w:spacing w:before="240" w:after="240" w:line="600" w:lineRule="exact"/>
        <w:jc w:val="center"/>
        <w:textAlignment w:val="auto"/>
        <w:rPr>
          <w:rFonts w:hint="eastAsia" w:ascii="仿宋_GB2312" w:hAnsi="仿宋_GB2312" w:eastAsia="仿宋_GB2312" w:cs="仿宋_GB2312"/>
          <w:b/>
          <w:bCs w:val="0"/>
          <w:sz w:val="32"/>
          <w:szCs w:val="32"/>
        </w:rPr>
      </w:pPr>
      <w:bookmarkStart w:id="223" w:name="_Toc3408"/>
      <w:bookmarkStart w:id="224" w:name="_Toc9184"/>
      <w:r>
        <w:rPr>
          <w:rFonts w:hint="eastAsia"/>
          <w:kern w:val="0"/>
          <w:lang w:val="en-US" w:eastAsia="zh-CN"/>
        </w:rPr>
        <w:t>第四节 推进“健康兴安”建设</w:t>
      </w:r>
      <w:bookmarkEnd w:id="222"/>
      <w:bookmarkEnd w:id="223"/>
      <w:bookmarkEnd w:id="224"/>
    </w:p>
    <w:p>
      <w:pPr>
        <w:spacing w:line="600" w:lineRule="exact"/>
        <w:ind w:firstLine="666" w:firstLineChars="200"/>
        <w:rPr>
          <w:rFonts w:ascii="仿宋_GB2312" w:hAnsi="仿宋_GB2312" w:eastAsia="仿宋_GB2312" w:cs="仿宋_GB2312"/>
          <w:sz w:val="32"/>
          <w:szCs w:val="32"/>
        </w:rPr>
      </w:pPr>
      <w:bookmarkStart w:id="225" w:name="_Toc24060"/>
      <w:bookmarkStart w:id="226" w:name="_Toc15920"/>
      <w:r>
        <w:rPr>
          <w:rFonts w:hint="eastAsia" w:ascii="仿宋_GB2312" w:hAnsi="仿宋_GB2312" w:eastAsia="仿宋_GB2312" w:cs="仿宋_GB2312"/>
          <w:sz w:val="32"/>
          <w:szCs w:val="32"/>
        </w:rPr>
        <w:t>织牢公共卫生防护网，为人民提供全方位周期健康服务。逐步开展健康促进机关、健康促进社区、健康促进校园等创建“省级健康促进区”工作。逐步完成健康文化、健康环境、培育健康人群工作。完善医疗机构管理工作，加强对医疗机构的监督检查工作。加强卫生突发事件应急能力建设，尤其是突发急性传染病综合监测、风险评估和及时预警能力建设，完善相关预案体系和预案管理办法，探索应急预案的信息化、智能化演练方法，开展常态化公共卫生风险沟通，提升重大传染病疫情应对的社会协同水平，构建起联防联控和群防群治的工作体制。提升基层医疗卫生机构的服务能力，加大卫生专业人员队伍建设，推进以全科医生为重点的基层医疗卫生队伍建设。做实做细家庭医生签约服务，健康体检、慢性病管理等公共卫生服务。持续开展人口家庭工作、老年健康工作及妇幼保健工作。</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rPr>
          <w:rFonts w:hint="eastAsia"/>
          <w:lang w:val="en-US" w:eastAsia="zh-CN"/>
        </w:rPr>
      </w:pPr>
      <w:bookmarkStart w:id="227" w:name="_Toc18303"/>
      <w:bookmarkStart w:id="228" w:name="_Toc5353"/>
      <w:r>
        <w:rPr>
          <w:rFonts w:hint="eastAsia"/>
          <w:kern w:val="44"/>
          <w:lang w:eastAsia="zh-CN"/>
        </w:rPr>
        <w:t>第十二章</w:t>
      </w:r>
      <w:r>
        <w:rPr>
          <w:rFonts w:hint="eastAsia"/>
          <w:kern w:val="44"/>
          <w:lang w:val="en-US" w:eastAsia="zh-CN"/>
        </w:rPr>
        <w:t xml:space="preserve"> </w:t>
      </w:r>
      <w:r>
        <w:rPr>
          <w:rFonts w:hint="eastAsia"/>
          <w:kern w:val="44"/>
          <w:lang w:eastAsia="zh-CN"/>
        </w:rPr>
        <w:t>统筹发展和安全</w:t>
      </w:r>
      <w:r>
        <w:rPr>
          <w:rFonts w:hint="eastAsia"/>
          <w:kern w:val="44"/>
          <w:lang w:val="en-US" w:eastAsia="zh-CN"/>
        </w:rPr>
        <w:t xml:space="preserve"> </w:t>
      </w:r>
      <w:r>
        <w:rPr>
          <w:rFonts w:hint="eastAsia"/>
          <w:kern w:val="44"/>
          <w:lang w:eastAsia="zh-CN"/>
        </w:rPr>
        <w:t>打造宜居宜业新兴安</w:t>
      </w:r>
      <w:bookmarkEnd w:id="225"/>
      <w:bookmarkEnd w:id="226"/>
      <w:bookmarkEnd w:id="227"/>
      <w:bookmarkEnd w:id="228"/>
    </w:p>
    <w:p>
      <w:pPr>
        <w:spacing w:line="600" w:lineRule="exact"/>
        <w:ind w:firstLine="666" w:firstLineChars="200"/>
        <w:rPr>
          <w:rFonts w:hint="eastAsia" w:ascii="仿宋_GB2312" w:hAnsi="仿宋_GB2312" w:eastAsia="仿宋_GB2312" w:cs="仿宋_GB2312"/>
          <w:sz w:val="32"/>
          <w:szCs w:val="32"/>
        </w:rPr>
      </w:pPr>
      <w:bookmarkStart w:id="229" w:name="_Toc8985"/>
      <w:bookmarkStart w:id="230" w:name="_Toc32637"/>
      <w:r>
        <w:rPr>
          <w:rFonts w:hint="eastAsia" w:ascii="仿宋_GB2312" w:hAnsi="仿宋_GB2312" w:eastAsia="仿宋_GB2312" w:cs="仿宋_GB2312"/>
          <w:sz w:val="32"/>
          <w:szCs w:val="32"/>
        </w:rPr>
        <w:t>坚持总体国家安全观，把安全发展观贯穿发展各领域和全过程，坚决杜绝安全生产类和自然类导致较大人员伤亡事故、有效防范和减少一般安全事故，实现安全事故起数、死亡人数同比“双下降”，确保全区安全生产形势持续稳定好转。</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outlineLvl w:val="1"/>
        <w:rPr>
          <w:rFonts w:hint="eastAsia" w:ascii="仿宋_GB2312" w:hAnsi="仿宋_GB2312" w:eastAsia="仿宋_GB2312" w:cs="仿宋_GB2312"/>
          <w:b/>
          <w:bCs/>
          <w:kern w:val="2"/>
          <w:sz w:val="32"/>
          <w:szCs w:val="32"/>
          <w:lang w:val="en-US" w:eastAsia="zh-CN" w:bidi="ar-SA"/>
        </w:rPr>
      </w:pPr>
      <w:bookmarkStart w:id="231" w:name="_Toc20168"/>
      <w:bookmarkStart w:id="232" w:name="_Toc17635"/>
      <w:r>
        <w:rPr>
          <w:rFonts w:hint="eastAsia" w:ascii="黑体" w:hAnsi="黑体" w:eastAsia="黑体" w:cs="黑体"/>
          <w:b w:val="0"/>
          <w:bCs/>
          <w:color w:val="000000"/>
          <w:sz w:val="32"/>
          <w:szCs w:val="32"/>
          <w:lang w:val="en-US" w:eastAsia="zh-CN"/>
        </w:rPr>
        <w:t xml:space="preserve">第一节 </w:t>
      </w:r>
      <w:bookmarkEnd w:id="229"/>
      <w:bookmarkEnd w:id="230"/>
      <w:r>
        <w:rPr>
          <w:rFonts w:hint="eastAsia" w:ascii="黑体" w:hAnsi="黑体" w:eastAsia="黑体" w:cs="黑体"/>
          <w:b w:val="0"/>
          <w:bCs/>
          <w:color w:val="000000"/>
          <w:sz w:val="32"/>
          <w:szCs w:val="32"/>
        </w:rPr>
        <w:t>维护国家</w:t>
      </w:r>
      <w:r>
        <w:rPr>
          <w:rFonts w:hint="eastAsia" w:ascii="黑体" w:hAnsi="黑体" w:eastAsia="黑体" w:cs="黑体"/>
          <w:b w:val="0"/>
          <w:bCs/>
          <w:color w:val="000000"/>
          <w:sz w:val="32"/>
          <w:szCs w:val="32"/>
          <w:lang w:val="en-US" w:eastAsia="zh-CN"/>
        </w:rPr>
        <w:t>五大</w:t>
      </w:r>
      <w:r>
        <w:rPr>
          <w:rFonts w:hint="eastAsia" w:ascii="黑体" w:hAnsi="黑体" w:eastAsia="黑体" w:cs="黑体"/>
          <w:b w:val="0"/>
          <w:bCs/>
          <w:color w:val="000000"/>
          <w:sz w:val="32"/>
          <w:szCs w:val="32"/>
        </w:rPr>
        <w:t>安全</w:t>
      </w:r>
      <w:bookmarkEnd w:id="231"/>
      <w:bookmarkEnd w:id="232"/>
    </w:p>
    <w:p>
      <w:pPr>
        <w:spacing w:line="600" w:lineRule="exact"/>
        <w:ind w:firstLine="666" w:firstLineChars="200"/>
        <w:rPr>
          <w:rFonts w:hint="eastAsia" w:ascii="仿宋_GB2312" w:hAnsi="仿宋_GB2312" w:eastAsia="仿宋_GB2312" w:cs="仿宋_GB2312"/>
          <w:b w:val="0"/>
          <w:color w:val="auto"/>
          <w:kern w:val="2"/>
          <w:sz w:val="32"/>
          <w:szCs w:val="32"/>
          <w:lang w:val="en-US" w:eastAsia="zh-CN" w:bidi="ar-SA"/>
        </w:rPr>
      </w:pPr>
      <w:bookmarkStart w:id="233" w:name="_Toc30849"/>
      <w:bookmarkStart w:id="234" w:name="_Toc18504"/>
      <w:r>
        <w:rPr>
          <w:rFonts w:hint="eastAsia" w:ascii="仿宋_GB2312" w:hAnsi="仿宋_GB2312" w:eastAsia="仿宋_GB2312" w:cs="仿宋_GB2312"/>
          <w:b/>
          <w:bCs/>
          <w:sz w:val="32"/>
          <w:szCs w:val="32"/>
        </w:rPr>
        <w:t>维护国家国防安全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color w:val="auto"/>
          <w:kern w:val="2"/>
          <w:sz w:val="32"/>
          <w:szCs w:val="32"/>
          <w:lang w:val="en-US" w:eastAsia="zh-CN" w:bidi="ar-SA"/>
        </w:rPr>
        <w:t>加强国家安全人民防线建设，增强维护国家安全能力。完善国防动员体系，提高国防动员能力。</w:t>
      </w:r>
      <w:r>
        <w:rPr>
          <w:rFonts w:hint="eastAsia" w:ascii="仿宋_GB2312" w:hAnsi="仿宋_GB2312" w:eastAsia="仿宋_GB2312" w:cs="仿宋_GB2312"/>
          <w:b/>
          <w:bCs/>
          <w:sz w:val="32"/>
          <w:szCs w:val="32"/>
        </w:rPr>
        <w:t>维护国家</w:t>
      </w:r>
      <w:r>
        <w:rPr>
          <w:rFonts w:hint="eastAsia" w:ascii="仿宋_GB2312" w:hAnsi="仿宋_GB2312" w:eastAsia="仿宋_GB2312" w:cs="仿宋_GB2312"/>
          <w:b/>
          <w:bCs/>
          <w:sz w:val="32"/>
          <w:szCs w:val="32"/>
          <w:lang w:eastAsia="zh-CN"/>
        </w:rPr>
        <w:t>粮食</w:t>
      </w:r>
      <w:r>
        <w:rPr>
          <w:rFonts w:hint="eastAsia" w:ascii="仿宋_GB2312" w:hAnsi="仿宋_GB2312" w:eastAsia="仿宋_GB2312" w:cs="仿宋_GB2312"/>
          <w:b/>
          <w:bCs/>
          <w:sz w:val="32"/>
          <w:szCs w:val="32"/>
        </w:rPr>
        <w:t>安全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color w:val="auto"/>
          <w:kern w:val="2"/>
          <w:sz w:val="32"/>
          <w:szCs w:val="32"/>
          <w:lang w:val="en-US" w:eastAsia="zh-CN" w:bidi="ar-SA"/>
        </w:rPr>
        <w:t>巩固国家粮食生产地位，稳定粮食播种面积，确保全区耕地保有量不减少、基本农田保护率不降低。推进高标准农田建设，补齐农田基础设施短板弱项，提高农业防灾减灾能力。提高生猪生产能力，构建科学合理、安全高效的重要农产品供给保障体系。</w:t>
      </w:r>
      <w:bookmarkStart w:id="235" w:name="_Toc53493957"/>
      <w:r>
        <w:rPr>
          <w:rFonts w:hint="eastAsia" w:ascii="仿宋_GB2312" w:hAnsi="仿宋_GB2312" w:eastAsia="仿宋_GB2312" w:cs="仿宋_GB2312"/>
          <w:b/>
          <w:bCs/>
          <w:sz w:val="32"/>
          <w:szCs w:val="32"/>
        </w:rPr>
        <w:t>维护国家生态安全</w:t>
      </w:r>
      <w:bookmarkEnd w:id="235"/>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color w:val="auto"/>
          <w:kern w:val="2"/>
          <w:sz w:val="32"/>
          <w:szCs w:val="32"/>
          <w:lang w:val="en-US" w:eastAsia="zh-CN" w:bidi="ar-SA"/>
        </w:rPr>
        <w:t>推进重点生态功能区建设，深化“国家森林城市”创建和“山水林田湖草”生态修复保护工程，实施退耕还林还草还湿。建立健全风险评价和应急处理机制。融入区域生态保护与治理协作机制。</w:t>
      </w:r>
      <w:bookmarkStart w:id="236" w:name="_Toc53493958"/>
      <w:r>
        <w:rPr>
          <w:rFonts w:hint="eastAsia" w:ascii="仿宋_GB2312" w:hAnsi="仿宋_GB2312" w:eastAsia="仿宋_GB2312" w:cs="仿宋_GB2312"/>
          <w:b/>
          <w:bCs/>
          <w:sz w:val="32"/>
          <w:szCs w:val="32"/>
        </w:rPr>
        <w:t>维护国家能源安全</w:t>
      </w:r>
      <w:bookmarkEnd w:id="236"/>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color w:val="auto"/>
          <w:kern w:val="2"/>
          <w:sz w:val="32"/>
          <w:szCs w:val="32"/>
          <w:lang w:val="en-US" w:eastAsia="zh-CN" w:bidi="ar-SA"/>
        </w:rPr>
        <w:t>提高煤炭清洁高效开发利用水平，加速释放优质产能。以“煤头电尾”为抓手，加快煤电行业优化升级。构建安全可靠电力系统，加快农村电网改造。增强天然气和油品供应保障能力，全面融入“气化龙江”战略。抓好风能、太阳能、生物质能项目建设。</w:t>
      </w:r>
      <w:bookmarkStart w:id="237" w:name="_Toc53493959"/>
      <w:r>
        <w:rPr>
          <w:rFonts w:hint="eastAsia" w:ascii="仿宋_GB2312" w:hAnsi="仿宋_GB2312" w:eastAsia="仿宋_GB2312" w:cs="仿宋_GB2312"/>
          <w:b/>
          <w:bCs/>
          <w:sz w:val="32"/>
          <w:szCs w:val="32"/>
        </w:rPr>
        <w:t>维护国家产业安全</w:t>
      </w:r>
      <w:bookmarkEnd w:id="237"/>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color w:val="auto"/>
          <w:kern w:val="2"/>
          <w:sz w:val="32"/>
          <w:szCs w:val="32"/>
          <w:lang w:val="en-US" w:eastAsia="zh-CN" w:bidi="ar-SA"/>
        </w:rPr>
        <w:t>坚决兜住民生产业安全底线，确保极端情况下产业安全运行、产品稳定供应。推进自主产品研发推广应用，强化以应用为导向的前瞻性、颠覆性技术战略布局，以石墨烯研发应用等本地优势企业为主体，突破关键核心技术及产品，扩大自主生产能力，提高本地配套率，形成产业备份系统，为国家产业安全作出兴安贡献。</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outlineLvl w:val="1"/>
        <w:rPr>
          <w:rFonts w:hint="eastAsia" w:ascii="黑体" w:hAnsi="黑体" w:eastAsia="黑体" w:cs="黑体"/>
          <w:b w:val="0"/>
          <w:bCs/>
          <w:color w:val="000000"/>
          <w:sz w:val="32"/>
          <w:szCs w:val="32"/>
          <w:lang w:val="en-US" w:eastAsia="zh-CN"/>
        </w:rPr>
      </w:pPr>
      <w:bookmarkStart w:id="238" w:name="_Toc28509"/>
      <w:bookmarkStart w:id="239" w:name="_Toc15652"/>
      <w:r>
        <w:rPr>
          <w:rFonts w:hint="eastAsia" w:ascii="黑体" w:hAnsi="黑体" w:eastAsia="黑体" w:cs="黑体"/>
          <w:b w:val="0"/>
          <w:bCs/>
          <w:color w:val="000000"/>
          <w:sz w:val="32"/>
          <w:szCs w:val="32"/>
          <w:lang w:val="en-US" w:eastAsia="zh-CN"/>
        </w:rPr>
        <w:t xml:space="preserve">第二节 </w:t>
      </w:r>
      <w:bookmarkEnd w:id="233"/>
      <w:bookmarkEnd w:id="234"/>
      <w:r>
        <w:rPr>
          <w:rFonts w:hint="eastAsia" w:ascii="黑体" w:hAnsi="黑体" w:eastAsia="黑体" w:cs="黑体"/>
          <w:b w:val="0"/>
          <w:bCs/>
          <w:color w:val="000000"/>
          <w:sz w:val="32"/>
          <w:szCs w:val="32"/>
          <w:lang w:val="en-US" w:eastAsia="zh-CN"/>
        </w:rPr>
        <w:t>确保全区人民生命财产安全</w:t>
      </w:r>
      <w:bookmarkEnd w:id="238"/>
      <w:bookmarkEnd w:id="239"/>
    </w:p>
    <w:p>
      <w:pPr>
        <w:spacing w:line="600" w:lineRule="exact"/>
        <w:ind w:firstLine="666" w:firstLineChars="200"/>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建立健全安全生产责任和管理制度体系、隐患排查和风险防控体系，加强监管执法和安全服务，坚决遏制重特大安全事故。强化生物安全保护，提高食品药品等民生直接相关产品和服务的安全保障水平。加强防灾备灾体系和能力建设，推进应急管理体系和能力现代化。加强灾害事故风险监测预警。巩固对黑恶犯罪的压倒性态势，严厉打击各类突出违法犯罪。助推本质安全型矿井建设，夯实煤矿安全基础。加强道路交通安全整治，消减交通事故总量、控制重特大交通事故发生。</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outlineLvl w:val="1"/>
        <w:rPr>
          <w:rFonts w:hint="eastAsia" w:ascii="黑体" w:hAnsi="黑体" w:eastAsia="黑体" w:cs="黑体"/>
          <w:b w:val="0"/>
          <w:bCs/>
          <w:color w:val="000000"/>
          <w:sz w:val="32"/>
          <w:szCs w:val="32"/>
          <w:lang w:val="en-US" w:eastAsia="zh-CN"/>
        </w:rPr>
      </w:pPr>
      <w:bookmarkStart w:id="240" w:name="_Toc8831"/>
      <w:bookmarkStart w:id="241" w:name="_Toc18307"/>
      <w:r>
        <w:rPr>
          <w:rFonts w:hint="eastAsia" w:ascii="黑体" w:hAnsi="黑体" w:eastAsia="黑体" w:cs="黑体"/>
          <w:b w:val="0"/>
          <w:bCs/>
          <w:color w:val="000000"/>
          <w:sz w:val="32"/>
          <w:szCs w:val="32"/>
          <w:lang w:val="en-US" w:eastAsia="zh-CN"/>
        </w:rPr>
        <w:t>第三节 确保全区社会和谐稳定安全</w:t>
      </w:r>
      <w:bookmarkEnd w:id="240"/>
      <w:bookmarkEnd w:id="241"/>
    </w:p>
    <w:p>
      <w:pPr>
        <w:spacing w:line="600" w:lineRule="exact"/>
        <w:ind w:firstLine="666" w:firstLineChars="200"/>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畅通和规范群众诉求表达、利益协调、权益保障通道，完善信访制度，完善各类调解联动工作体系。健全社会心理服务体系和危机干预机制。加强矛盾纠纷和风险隐患的源头治理。推进立体化、智能化社会治安防控体系建设，打造“发案少、秩序好、群众满意、社会稳定”的最具安全感城区。</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rPr>
          <w:rFonts w:hint="eastAsia" w:ascii="仿宋_GB2312" w:hAnsi="仿宋_GB2312" w:eastAsia="仿宋_GB2312" w:cs="仿宋_GB2312"/>
          <w:b w:val="0"/>
          <w:bCs w:val="0"/>
          <w:sz w:val="32"/>
          <w:szCs w:val="32"/>
          <w:highlight w:val="none"/>
          <w:lang w:val="en-US" w:eastAsia="zh-CN"/>
        </w:rPr>
      </w:pPr>
      <w:bookmarkStart w:id="242" w:name="_Toc16368"/>
      <w:bookmarkStart w:id="243" w:name="_Toc26379"/>
      <w:bookmarkStart w:id="244" w:name="_Toc27630"/>
      <w:bookmarkStart w:id="245" w:name="_Toc25066"/>
      <w:r>
        <w:rPr>
          <w:rFonts w:hint="eastAsia"/>
          <w:kern w:val="44"/>
          <w:lang w:eastAsia="zh-CN"/>
        </w:rPr>
        <w:t>第十三章</w:t>
      </w:r>
      <w:r>
        <w:rPr>
          <w:rFonts w:hint="eastAsia"/>
          <w:kern w:val="44"/>
          <w:lang w:val="en-US" w:eastAsia="zh-CN"/>
        </w:rPr>
        <w:t xml:space="preserve"> </w:t>
      </w:r>
      <w:bookmarkEnd w:id="242"/>
      <w:bookmarkEnd w:id="243"/>
      <w:bookmarkEnd w:id="244"/>
      <w:r>
        <w:rPr>
          <w:rFonts w:hint="eastAsia"/>
          <w:kern w:val="44"/>
          <w:lang w:val="en-US" w:eastAsia="zh-CN"/>
        </w:rPr>
        <w:t>努力实现“十四五”规划目标任务</w:t>
      </w:r>
      <w:bookmarkEnd w:id="245"/>
    </w:p>
    <w:p>
      <w:pPr>
        <w:spacing w:line="600" w:lineRule="exact"/>
        <w:ind w:firstLine="666" w:firstLineChars="200"/>
        <w:rPr>
          <w:rFonts w:ascii="仿宋_GB2312" w:hAnsi="仿宋_GB2312" w:eastAsia="仿宋_GB2312" w:cs="仿宋_GB2312"/>
          <w:sz w:val="32"/>
          <w:szCs w:val="32"/>
        </w:rPr>
      </w:pPr>
      <w:bookmarkStart w:id="246" w:name="_Toc7579"/>
      <w:bookmarkStart w:id="247" w:name="_Toc5396"/>
      <w:r>
        <w:rPr>
          <w:rFonts w:hint="eastAsia" w:ascii="仿宋_GB2312" w:hAnsi="仿宋_GB2312" w:eastAsia="仿宋_GB2312" w:cs="仿宋_GB2312"/>
          <w:sz w:val="32"/>
          <w:szCs w:val="32"/>
        </w:rPr>
        <w:t>“十四五”规划是我国开启全面建设社会主义现代化国家新征程的第一个五年规划，保障“十四五”规划有效实施，要在中央和省市委的领导下，深入贯彻落实中央和省市委各项部署，更好履行各级政府职责，凝聚各方力量，推动兴安经济高质量转型发展。</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outlineLvl w:val="1"/>
        <w:rPr>
          <w:rFonts w:hint="eastAsia" w:ascii="黑体" w:hAnsi="黑体" w:eastAsia="黑体" w:cs="黑体"/>
          <w:b w:val="0"/>
          <w:bCs/>
          <w:color w:val="000000"/>
          <w:sz w:val="32"/>
          <w:szCs w:val="32"/>
          <w:lang w:val="en-US" w:eastAsia="zh-CN"/>
        </w:rPr>
      </w:pPr>
      <w:bookmarkStart w:id="248" w:name="_Toc4835"/>
      <w:bookmarkStart w:id="249" w:name="_Toc7493"/>
      <w:r>
        <w:rPr>
          <w:rFonts w:hint="eastAsia" w:ascii="黑体" w:hAnsi="黑体" w:eastAsia="黑体" w:cs="黑体"/>
          <w:b w:val="0"/>
          <w:bCs/>
          <w:color w:val="000000"/>
          <w:sz w:val="32"/>
          <w:szCs w:val="32"/>
          <w:lang w:val="en-US" w:eastAsia="zh-CN"/>
        </w:rPr>
        <w:t>第一节 坚持和加强党的全面领导</w:t>
      </w:r>
      <w:bookmarkEnd w:id="246"/>
      <w:bookmarkEnd w:id="247"/>
      <w:bookmarkEnd w:id="248"/>
      <w:bookmarkEnd w:id="249"/>
    </w:p>
    <w:p>
      <w:pPr>
        <w:spacing w:line="600" w:lineRule="exact"/>
        <w:ind w:firstLine="666" w:firstLineChars="200"/>
        <w:rPr>
          <w:rFonts w:ascii="仿宋_GB2312" w:hAnsi="仿宋_GB2312" w:eastAsia="仿宋_GB2312" w:cs="仿宋_GB2312"/>
          <w:sz w:val="32"/>
          <w:szCs w:val="32"/>
        </w:rPr>
      </w:pPr>
      <w:bookmarkStart w:id="250" w:name="_Toc18452"/>
      <w:bookmarkStart w:id="251" w:name="_Toc2756"/>
      <w:r>
        <w:rPr>
          <w:rFonts w:hint="eastAsia" w:ascii="仿宋_GB2312" w:hAnsi="仿宋_GB2312" w:eastAsia="仿宋_GB2312" w:cs="仿宋_GB2312"/>
          <w:sz w:val="32"/>
          <w:szCs w:val="32"/>
        </w:rPr>
        <w:t>坚特党的集中统一领导，贯彻党把方向、谋大局、定政策、促改革的要求，增强“四个意识”、坚定“四个自信”、做到“两个维护”，</w:t>
      </w:r>
      <w:r>
        <w:rPr>
          <w:rFonts w:hint="eastAsia" w:ascii="仿宋_GB2312" w:hAnsi="仿宋_GB2312" w:eastAsia="仿宋_GB2312" w:cs="仿宋_GB2312"/>
          <w:sz w:val="32"/>
          <w:szCs w:val="32"/>
          <w:lang w:eastAsia="zh-CN"/>
        </w:rPr>
        <w:t>党员和青年干部</w:t>
      </w:r>
      <w:r>
        <w:rPr>
          <w:rFonts w:hint="eastAsia" w:ascii="仿宋_GB2312" w:hAnsi="仿宋_GB2312" w:eastAsia="仿宋_GB2312" w:cs="仿宋_GB2312"/>
          <w:sz w:val="32"/>
          <w:szCs w:val="32"/>
        </w:rPr>
        <w:t>自觉在思想上政治上行动上同以习近平同志为核心的党中央保持高度一致，为兴安高质量转型发展提供坚强政治保证。完善党领导各项事业的具体制度，把党的领导落实到统筹推进“五位一体”总体布局、协调推进“四个全面”战略布局各方面。完善教育培养制度，促进各级领导干部增强“八种本领”，发扬斗争精神，增强斗争本领。完善担当作为激励机制，健全容错纠错机制。</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jc w:val="center"/>
        <w:textAlignment w:val="auto"/>
        <w:outlineLvl w:val="1"/>
        <w:rPr>
          <w:rFonts w:hint="eastAsia" w:ascii="黑体" w:hAnsi="黑体" w:eastAsia="黑体" w:cs="黑体"/>
          <w:b w:val="0"/>
          <w:bCs/>
          <w:color w:val="000000"/>
          <w:sz w:val="32"/>
          <w:szCs w:val="32"/>
          <w:lang w:val="en-US" w:eastAsia="zh-CN"/>
        </w:rPr>
      </w:pPr>
      <w:bookmarkStart w:id="252" w:name="_Toc1342"/>
      <w:bookmarkStart w:id="253" w:name="_Toc12782"/>
      <w:r>
        <w:rPr>
          <w:rFonts w:hint="eastAsia" w:ascii="黑体" w:hAnsi="黑体" w:eastAsia="黑体" w:cs="黑体"/>
          <w:b w:val="0"/>
          <w:bCs/>
          <w:color w:val="000000"/>
          <w:sz w:val="32"/>
          <w:szCs w:val="32"/>
          <w:lang w:val="en-US" w:eastAsia="zh-CN"/>
        </w:rPr>
        <w:t xml:space="preserve">第二节 </w:t>
      </w:r>
      <w:bookmarkEnd w:id="250"/>
      <w:bookmarkEnd w:id="251"/>
      <w:r>
        <w:rPr>
          <w:rFonts w:hint="eastAsia" w:ascii="黑体" w:hAnsi="黑体" w:eastAsia="黑体" w:cs="黑体"/>
          <w:b w:val="0"/>
          <w:bCs/>
          <w:color w:val="000000"/>
          <w:sz w:val="32"/>
          <w:szCs w:val="32"/>
          <w:lang w:val="en-US" w:eastAsia="zh-CN"/>
        </w:rPr>
        <w:t>推进全面从严治党</w:t>
      </w:r>
      <w:bookmarkEnd w:id="252"/>
      <w:bookmarkEnd w:id="253"/>
    </w:p>
    <w:p>
      <w:pPr>
        <w:rPr>
          <w:rFonts w:hint="eastAsia" w:ascii="仿宋" w:hAnsi="仿宋" w:eastAsia="仿宋" w:cs="仿宋"/>
          <w:sz w:val="32"/>
          <w:szCs w:val="32"/>
          <w:lang w:val="en-US" w:eastAsia="zh-CN"/>
        </w:rPr>
      </w:pPr>
      <w:bookmarkStart w:id="254" w:name="_Toc3597"/>
      <w:bookmarkStart w:id="255" w:name="_Toc8225"/>
      <w:bookmarkStart w:id="256" w:name="_Toc25989"/>
      <w:bookmarkStart w:id="257" w:name="_Toc11419"/>
      <w:r>
        <w:rPr>
          <w:rFonts w:hint="eastAsia" w:ascii="仿宋" w:hAnsi="仿宋" w:eastAsia="仿宋" w:cs="仿宋"/>
          <w:sz w:val="32"/>
          <w:szCs w:val="32"/>
          <w:lang w:val="en-US" w:eastAsia="zh-CN"/>
        </w:rPr>
        <w:t xml:space="preserve">    坚持稳中求进工作总基调，以推动高质量发展为主题，坚定不移全面从严治党。深入落实习近平总书记关于全面从严治党首先要从政治上看的重要要求，不断提高政治判断力、政治领悟力、政治执行力，充分发挥全面从严治党引领保障作用，把“严”的主基调长期坚持下去，围绕“两个维护”强化政治监督，坚定不移推进反腐败斗争，持之以恒正风肃纪。深入贯彻落实中央八项规定及其实施细则精神，防止和纠治形式主义、官僚主义，改进文风会风，建立和落实为基层减负长效机制。统筹推进党内法规制度建设，深化党的建设制度改革，建立健全以党的政治建设为统领、全面推进党的各方面建设的体制改革。完善党和国家监督体系，加强政治监督，强化对公权力运行的制约和监督，推动监督体系转化为治理效能。坚持零容忍、全覆盖、无禁区一体推进不敢腐、不能腐、不想腐，营造风清气正的良好政治生态。</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outlineLvl w:val="1"/>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 xml:space="preserve">第三节 </w:t>
      </w:r>
      <w:bookmarkEnd w:id="254"/>
      <w:bookmarkEnd w:id="255"/>
      <w:r>
        <w:rPr>
          <w:rFonts w:hint="eastAsia" w:ascii="黑体" w:hAnsi="黑体" w:eastAsia="黑体" w:cs="黑体"/>
          <w:b w:val="0"/>
          <w:bCs/>
          <w:color w:val="000000"/>
          <w:sz w:val="32"/>
          <w:szCs w:val="32"/>
          <w:lang w:val="en-US" w:eastAsia="zh-CN"/>
        </w:rPr>
        <w:t>推进社会主义民主政治建设</w:t>
      </w:r>
      <w:bookmarkEnd w:id="256"/>
      <w:bookmarkEnd w:id="257"/>
    </w:p>
    <w:p>
      <w:pPr>
        <w:spacing w:line="600" w:lineRule="exact"/>
        <w:ind w:firstLine="66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坚持人民当家作主，推进社会主义民主政治法治化、制度化、规范化。坚持党的领导、人民当家作主、依法治国有机统一，支持和保证人民通过人民代表大会行使国家权力，不断丰富人民代表大会制度在我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的实践特色、时代特色。加强中国特色社会主义政党制度建设，完善支持民主党派、工商联和无党派人士履行职能，提高政治协商、民主监督、参政议政水平。巩固和发展最广泛的爱国统一战线，充分发挥民主党派、工商联和无党派人士作用，最大限度凝聚推进改革发展、维护社会和谐稳定的共识和力量。保障少数民族合法权益。健全充满活力的基层群众自治制度，保证人民依法参与经济社会治理。注重发挥工会、共青团、妇联等群团组织的作用。加快推进法治</w:t>
      </w:r>
      <w:r>
        <w:rPr>
          <w:rFonts w:hint="eastAsia" w:ascii="仿宋_GB2312" w:hAnsi="仿宋_GB2312" w:eastAsia="仿宋_GB2312" w:cs="仿宋_GB2312"/>
          <w:sz w:val="32"/>
          <w:szCs w:val="32"/>
          <w:lang w:eastAsia="zh-CN"/>
        </w:rPr>
        <w:t>兴安</w:t>
      </w:r>
      <w:r>
        <w:rPr>
          <w:rFonts w:hint="eastAsia" w:ascii="仿宋_GB2312" w:hAnsi="仿宋_GB2312" w:eastAsia="仿宋_GB2312" w:cs="仿宋_GB2312"/>
          <w:sz w:val="32"/>
          <w:szCs w:val="32"/>
        </w:rPr>
        <w:t>建设。加强党对武装事业的领导，做好</w:t>
      </w:r>
      <w:r>
        <w:rPr>
          <w:rFonts w:hint="eastAsia" w:ascii="仿宋_GB2312" w:hAnsi="仿宋_GB2312" w:eastAsia="仿宋_GB2312" w:cs="仿宋_GB2312"/>
          <w:sz w:val="32"/>
          <w:szCs w:val="32"/>
          <w:lang w:eastAsia="zh-CN"/>
        </w:rPr>
        <w:t>“拥军优属，拥政爱民”</w:t>
      </w:r>
      <w:r>
        <w:rPr>
          <w:rFonts w:hint="eastAsia" w:ascii="仿宋_GB2312" w:hAnsi="仿宋_GB2312" w:eastAsia="仿宋_GB2312" w:cs="仿宋_GB2312"/>
          <w:sz w:val="32"/>
          <w:szCs w:val="32"/>
        </w:rPr>
        <w:t>工作。</w:t>
      </w:r>
    </w:p>
    <w:p>
      <w:pPr>
        <w:pStyle w:val="37"/>
        <w:keepNext/>
        <w:keepLines/>
        <w:pageBreakBefore w:val="0"/>
        <w:widowControl/>
        <w:kinsoku/>
        <w:wordWrap/>
        <w:overflowPunct/>
        <w:topLinePunct w:val="0"/>
        <w:autoSpaceDE/>
        <w:autoSpaceDN/>
        <w:bidi w:val="0"/>
        <w:adjustRightInd w:val="0"/>
        <w:snapToGrid w:val="0"/>
        <w:spacing w:before="240" w:after="240" w:line="600" w:lineRule="exact"/>
        <w:ind w:left="0" w:firstLine="0"/>
        <w:textAlignment w:val="auto"/>
        <w:outlineLvl w:val="1"/>
        <w:rPr>
          <w:rFonts w:hint="eastAsia" w:ascii="黑体" w:hAnsi="黑体" w:eastAsia="黑体" w:cs="黑体"/>
          <w:b w:val="0"/>
          <w:bCs/>
          <w:color w:val="000000"/>
          <w:sz w:val="32"/>
          <w:szCs w:val="32"/>
          <w:lang w:val="en-US" w:eastAsia="zh-CN"/>
        </w:rPr>
      </w:pPr>
      <w:bookmarkStart w:id="258" w:name="_Toc7025"/>
      <w:bookmarkStart w:id="259" w:name="_Toc14983"/>
      <w:bookmarkStart w:id="260" w:name="_Toc2328"/>
      <w:bookmarkStart w:id="261" w:name="_Toc16135"/>
      <w:r>
        <w:rPr>
          <w:rFonts w:hint="eastAsia" w:ascii="黑体" w:hAnsi="黑体" w:eastAsia="黑体" w:cs="黑体"/>
          <w:b w:val="0"/>
          <w:bCs/>
          <w:color w:val="000000"/>
          <w:sz w:val="32"/>
          <w:szCs w:val="32"/>
          <w:lang w:val="en-US" w:eastAsia="zh-CN"/>
        </w:rPr>
        <w:t>第四节 健全规划制定和落实机制</w:t>
      </w:r>
      <w:bookmarkEnd w:id="258"/>
      <w:bookmarkEnd w:id="259"/>
      <w:bookmarkEnd w:id="260"/>
      <w:bookmarkEnd w:id="261"/>
    </w:p>
    <w:p>
      <w:pPr>
        <w:spacing w:line="600" w:lineRule="exact"/>
        <w:ind w:firstLine="66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本规划经</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人民代表大会审议批准，是政府履行职责的重要依据，具有法律效力。要建立规划体系，落实规划实施责任，完善监测评估，强化分类实施，强化政策协同和工作协同，提升规划实施效能，保障中央和省市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委的决策部署落到实处。</w:t>
      </w:r>
    </w:p>
    <w:p>
      <w:pPr>
        <w:spacing w:after="0" w:line="600" w:lineRule="exact"/>
        <w:ind w:firstLine="666" w:firstLineChars="200"/>
        <w:contextualSpacing/>
        <w:jc w:val="both"/>
        <w:rPr>
          <w:rFonts w:hint="eastAsia" w:ascii="仿宋_GB2312" w:hAnsi="仿宋_GB2312" w:eastAsia="仿宋_GB2312" w:cs="仿宋_GB2312"/>
          <w:sz w:val="32"/>
          <w:szCs w:val="32"/>
        </w:rPr>
      </w:pPr>
      <w:r>
        <w:rPr>
          <w:rFonts w:hint="eastAsia" w:ascii="楷体" w:hAnsi="楷体" w:eastAsia="楷体"/>
          <w:b/>
          <w:color w:val="000000" w:themeColor="text1"/>
          <w:sz w:val="32"/>
          <w:szCs w:val="32"/>
          <w14:textFill>
            <w14:solidFill>
              <w14:schemeClr w14:val="tx1"/>
            </w14:solidFill>
          </w14:textFill>
        </w:rPr>
        <w:t>建立统一高效的规划体系。</w:t>
      </w:r>
      <w:r>
        <w:rPr>
          <w:rFonts w:hint="eastAsia" w:ascii="仿宋_GB2312" w:hAnsi="仿宋_GB2312" w:eastAsia="仿宋_GB2312" w:cs="仿宋_GB2312"/>
          <w:sz w:val="32"/>
          <w:szCs w:val="32"/>
        </w:rPr>
        <w:t>明确经济社会发展规划的主导地位，坚持下位规划服从上位规划、下级规划服务上级规划、等位规划相互协调，确保在总体要求上方向一致，建立以发展规划为统领，以空间规划为基础，以专项规划为支撑，定位准确、边界清晰、功能互补、统一衔接的规划体系。</w:t>
      </w:r>
    </w:p>
    <w:p>
      <w:pPr>
        <w:spacing w:after="0" w:line="600" w:lineRule="exact"/>
        <w:ind w:firstLine="666" w:firstLineChars="200"/>
        <w:contextualSpacing/>
        <w:jc w:val="both"/>
        <w:rPr>
          <w:rFonts w:hint="eastAsia" w:ascii="仿宋_GB2312" w:hAnsi="仿宋_GB2312" w:eastAsia="仿宋_GB2312" w:cs="仿宋_GB2312"/>
          <w:sz w:val="32"/>
          <w:szCs w:val="32"/>
        </w:rPr>
      </w:pPr>
      <w:r>
        <w:rPr>
          <w:rFonts w:hint="eastAsia" w:ascii="楷体" w:hAnsi="楷体" w:eastAsia="楷体"/>
          <w:b/>
          <w:color w:val="000000" w:themeColor="text1"/>
          <w:sz w:val="32"/>
          <w:szCs w:val="32"/>
          <w14:textFill>
            <w14:solidFill>
              <w14:schemeClr w14:val="tx1"/>
            </w14:solidFill>
          </w14:textFill>
        </w:rPr>
        <w:t>强化规划实施的组织保障。</w:t>
      </w:r>
      <w:r>
        <w:rPr>
          <w:rFonts w:hint="eastAsia" w:ascii="仿宋_GB2312" w:hAnsi="仿宋_GB2312" w:eastAsia="仿宋_GB2312" w:cs="仿宋_GB2312"/>
          <w:sz w:val="32"/>
          <w:szCs w:val="32"/>
        </w:rPr>
        <w:t>建立规划实施领导机制，保障规划实施的权威性。各部门要按照职责，与经济社会发展规划纲要相衔接，编制本级规划和专项规划，明确目标任务，落实分工责任，加强规划实施考核监督和激励约束，将本规划实施成效纳入各部门的年度绩效考评，考核结果作为有关领导干部年度考核、选拔任用的重要依据。规划确定的约束性指标以及重大工程项目、重大政策和重要改革举措，要明确责任主体和进度要求，确保实施质量和效果。</w:t>
      </w:r>
    </w:p>
    <w:p>
      <w:pPr>
        <w:spacing w:after="0" w:line="600" w:lineRule="exact"/>
        <w:ind w:firstLine="666" w:firstLineChars="200"/>
        <w:contextualSpacing/>
        <w:jc w:val="both"/>
        <w:rPr>
          <w:rFonts w:hint="eastAsia" w:ascii="仿宋_GB2312" w:hAnsi="仿宋_GB2312" w:eastAsia="仿宋_GB2312" w:cs="仿宋_GB2312"/>
          <w:sz w:val="32"/>
          <w:szCs w:val="32"/>
        </w:rPr>
      </w:pPr>
      <w:r>
        <w:rPr>
          <w:rFonts w:hint="eastAsia" w:ascii="楷体" w:hAnsi="楷体" w:eastAsia="楷体"/>
          <w:b/>
          <w:color w:val="000000" w:themeColor="text1"/>
          <w:sz w:val="32"/>
          <w:szCs w:val="32"/>
          <w14:textFill>
            <w14:solidFill>
              <w14:schemeClr w14:val="tx1"/>
            </w14:solidFill>
          </w14:textFill>
        </w:rPr>
        <w:t>健全规划实施监测评估机制。</w:t>
      </w:r>
      <w:r>
        <w:rPr>
          <w:rFonts w:hint="eastAsia" w:ascii="仿宋_GB2312" w:hAnsi="仿宋_GB2312" w:eastAsia="仿宋_GB2312" w:cs="仿宋_GB2312"/>
          <w:sz w:val="32"/>
          <w:szCs w:val="32"/>
        </w:rPr>
        <w:t>对规划实施情况适时组织开展专项检查，实施年度监测分析、中期评估和总结评估，鼓励开展第三方评估，强化监测评估结果应用。对规划确定的重点任务、重大工程等进展情况进行定期督查和通报，督促各方面加快推进落实。建立健全规划实施纠偏制度，不得随意调整更改各类规划，经评估确需对规划进行调整修订时，须按程序调整。建立规划实施群众监督制度，鼓励人民群众通过互联网等多种途径提出对规划实施的意见和建议。</w:t>
      </w:r>
    </w:p>
    <w:p>
      <w:pPr>
        <w:spacing w:after="0" w:line="600" w:lineRule="exact"/>
        <w:ind w:firstLine="666" w:firstLineChars="200"/>
        <w:contextualSpacing/>
        <w:jc w:val="both"/>
        <w:rPr>
          <w:rFonts w:hint="eastAsia" w:ascii="仿宋_GB2312" w:hAnsi="仿宋_GB2312" w:eastAsia="仿宋_GB2312" w:cs="仿宋_GB2312"/>
          <w:sz w:val="32"/>
          <w:szCs w:val="32"/>
        </w:rPr>
      </w:pPr>
      <w:r>
        <w:rPr>
          <w:rFonts w:hint="eastAsia" w:ascii="楷体" w:hAnsi="楷体" w:eastAsia="楷体"/>
          <w:b/>
          <w:color w:val="000000" w:themeColor="text1"/>
          <w:sz w:val="32"/>
          <w:szCs w:val="32"/>
          <w14:textFill>
            <w14:solidFill>
              <w14:schemeClr w14:val="tx1"/>
            </w14:solidFill>
          </w14:textFill>
        </w:rPr>
        <w:t>强化政策协同和工作协同。</w:t>
      </w:r>
      <w:r>
        <w:rPr>
          <w:rFonts w:hint="eastAsia" w:ascii="仿宋_GB2312" w:hAnsi="仿宋_GB2312" w:eastAsia="仿宋_GB2312" w:cs="仿宋_GB2312"/>
          <w:sz w:val="32"/>
          <w:szCs w:val="32"/>
        </w:rPr>
        <w:t>年度计划要将规划提出的主要指标分解纳入年度指标体系，设置年度目标并做好年度间综合平衡。加强财政预算与规划实施的衔接协调，统筹财力可能，合理安排财政支出规模和结构，</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财政性资金优先投向规划确定的重大任务和重大工程项目。引导金融要素资源支持规划确定的重大项目和重大改革举措。产业政策、区域政策，以及土地、人口、环境、社会等公共政策的制定，也要服从和服务于规划，强化政策间协调配合，形成政策合力。</w:t>
      </w:r>
    </w:p>
    <w:p>
      <w:pPr>
        <w:spacing w:after="0" w:line="600" w:lineRule="exact"/>
        <w:ind w:firstLine="666" w:firstLineChars="200"/>
        <w:contextualSpacing/>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实现“十四五”规划和二〇三五年远景目标，意义重大，任务艰巨、前景光明。要紧密团结在以习近平同志为核心的党中央周围，同心同德、顽强奋斗，夺取全面建设社会主义现代化新</w:t>
      </w:r>
      <w:r>
        <w:rPr>
          <w:rFonts w:hint="eastAsia" w:ascii="仿宋_GB2312" w:hAnsi="仿宋_GB2312" w:eastAsia="仿宋_GB2312" w:cs="仿宋_GB2312"/>
          <w:sz w:val="32"/>
          <w:szCs w:val="32"/>
          <w:lang w:eastAsia="zh-CN"/>
        </w:rPr>
        <w:t>兴安</w:t>
      </w:r>
      <w:r>
        <w:rPr>
          <w:rFonts w:hint="eastAsia" w:ascii="仿宋_GB2312" w:hAnsi="仿宋_GB2312" w:eastAsia="仿宋_GB2312" w:cs="仿宋_GB2312"/>
          <w:sz w:val="32"/>
          <w:szCs w:val="32"/>
        </w:rPr>
        <w:t>新胜利！</w:t>
      </w:r>
    </w:p>
    <w:sectPr>
      <w:footerReference r:id="rId5" w:type="default"/>
      <w:pgSz w:w="11900" w:h="16838"/>
      <w:pgMar w:top="1440" w:right="1803" w:bottom="1440" w:left="1803" w:header="709" w:footer="1247" w:gutter="0"/>
      <w:pgNumType w:fmt="decimal" w:start="1"/>
      <w:cols w:space="0" w:num="1"/>
      <w:rtlGutter w:val="0"/>
      <w:docGrid w:type="linesAndChars" w:linePitch="297" w:charSpace="2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posOffset>2600960</wp:posOffset>
              </wp:positionH>
              <wp:positionV relativeFrom="paragraph">
                <wp:posOffset>-147320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8pt;margin-top:-11.6pt;height:144pt;width:144pt;mso-position-horizontal-relative:margin;mso-wrap-style:none;z-index:251659264;mso-width-relative:page;mso-height-relative:page;" filled="f" stroked="f" coordsize="21600,21600" o:gfxdata="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wfRyi2QAAAAs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D4837"/>
    <w:multiLevelType w:val="singleLevel"/>
    <w:tmpl w:val="CA7D4837"/>
    <w:lvl w:ilvl="0" w:tentative="0">
      <w:start w:val="4"/>
      <w:numFmt w:val="chineseCounting"/>
      <w:suff w:val="space"/>
      <w:lvlText w:val="第%1节"/>
      <w:lvlJc w:val="left"/>
      <w:rPr>
        <w:rFonts w:hint="eastAsia"/>
      </w:rPr>
    </w:lvl>
  </w:abstractNum>
  <w:abstractNum w:abstractNumId="1">
    <w:nsid w:val="00000001"/>
    <w:multiLevelType w:val="multilevel"/>
    <w:tmpl w:val="00000001"/>
    <w:lvl w:ilvl="0" w:tentative="0">
      <w:start w:val="1"/>
      <w:numFmt w:val="chineseCountingThousand"/>
      <w:pStyle w:val="43"/>
      <w:suff w:val="space"/>
      <w:lvlText w:val="(%1)"/>
      <w:lvlJc w:val="left"/>
      <w:pPr>
        <w:ind w:left="113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405DCC41"/>
    <w:multiLevelType w:val="singleLevel"/>
    <w:tmpl w:val="405DCC41"/>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12"/>
  <w:drawingGridVerticalSpacing w:val="14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MGFhMGZiMWU1MzQ1MTRjM2JkM2YxOTM2OWMxOTMifQ=="/>
  </w:docVars>
  <w:rsids>
    <w:rsidRoot w:val="00000000"/>
    <w:rsid w:val="003A4C03"/>
    <w:rsid w:val="00F912B4"/>
    <w:rsid w:val="012A69D6"/>
    <w:rsid w:val="014F79EE"/>
    <w:rsid w:val="018A5A1B"/>
    <w:rsid w:val="02C6615C"/>
    <w:rsid w:val="02C80011"/>
    <w:rsid w:val="02F62654"/>
    <w:rsid w:val="037458FF"/>
    <w:rsid w:val="038A5B18"/>
    <w:rsid w:val="049E0794"/>
    <w:rsid w:val="04A94939"/>
    <w:rsid w:val="050375A8"/>
    <w:rsid w:val="05162015"/>
    <w:rsid w:val="05224484"/>
    <w:rsid w:val="05554AC7"/>
    <w:rsid w:val="055914C4"/>
    <w:rsid w:val="056B0CDC"/>
    <w:rsid w:val="05773F7A"/>
    <w:rsid w:val="05DA494F"/>
    <w:rsid w:val="0671707D"/>
    <w:rsid w:val="06BC1CFB"/>
    <w:rsid w:val="06DA7172"/>
    <w:rsid w:val="06F65B95"/>
    <w:rsid w:val="071054DD"/>
    <w:rsid w:val="07220B4C"/>
    <w:rsid w:val="074E666F"/>
    <w:rsid w:val="07831E6B"/>
    <w:rsid w:val="07A37F01"/>
    <w:rsid w:val="07ED1C15"/>
    <w:rsid w:val="08EA1CFC"/>
    <w:rsid w:val="0A917B8E"/>
    <w:rsid w:val="0AA80100"/>
    <w:rsid w:val="0AC01158"/>
    <w:rsid w:val="0B4F7500"/>
    <w:rsid w:val="0C290CFE"/>
    <w:rsid w:val="0C2C5089"/>
    <w:rsid w:val="0CBF2BD7"/>
    <w:rsid w:val="0CD05613"/>
    <w:rsid w:val="0D0E73BF"/>
    <w:rsid w:val="0D8F058A"/>
    <w:rsid w:val="0E222DF6"/>
    <w:rsid w:val="0E551B84"/>
    <w:rsid w:val="0EBA0E3A"/>
    <w:rsid w:val="0EF517E9"/>
    <w:rsid w:val="10642822"/>
    <w:rsid w:val="10A20110"/>
    <w:rsid w:val="10D06C6E"/>
    <w:rsid w:val="11202305"/>
    <w:rsid w:val="128827F2"/>
    <w:rsid w:val="12962834"/>
    <w:rsid w:val="12E8603A"/>
    <w:rsid w:val="13CC41CE"/>
    <w:rsid w:val="14891B65"/>
    <w:rsid w:val="14EF7367"/>
    <w:rsid w:val="152115EE"/>
    <w:rsid w:val="15215B96"/>
    <w:rsid w:val="152D204C"/>
    <w:rsid w:val="155340FE"/>
    <w:rsid w:val="158E34C7"/>
    <w:rsid w:val="15974F4E"/>
    <w:rsid w:val="15A87EB1"/>
    <w:rsid w:val="15D95B97"/>
    <w:rsid w:val="16420ECE"/>
    <w:rsid w:val="164C6CDE"/>
    <w:rsid w:val="166B4198"/>
    <w:rsid w:val="16A509DB"/>
    <w:rsid w:val="1742653C"/>
    <w:rsid w:val="178B46AF"/>
    <w:rsid w:val="1806491B"/>
    <w:rsid w:val="180F39AE"/>
    <w:rsid w:val="185815D2"/>
    <w:rsid w:val="186272E8"/>
    <w:rsid w:val="18CD36A6"/>
    <w:rsid w:val="18D05271"/>
    <w:rsid w:val="18D067EC"/>
    <w:rsid w:val="19E5689F"/>
    <w:rsid w:val="1A295046"/>
    <w:rsid w:val="1BC13C9D"/>
    <w:rsid w:val="1C0F09E7"/>
    <w:rsid w:val="1C5458E0"/>
    <w:rsid w:val="1C6B6D98"/>
    <w:rsid w:val="1C715ED2"/>
    <w:rsid w:val="1D0214D4"/>
    <w:rsid w:val="1D5D1A75"/>
    <w:rsid w:val="1DB42689"/>
    <w:rsid w:val="1E862D91"/>
    <w:rsid w:val="204369F9"/>
    <w:rsid w:val="20626A31"/>
    <w:rsid w:val="220848B4"/>
    <w:rsid w:val="222674FF"/>
    <w:rsid w:val="225A23C8"/>
    <w:rsid w:val="228A2260"/>
    <w:rsid w:val="22973B5A"/>
    <w:rsid w:val="22FD1A3D"/>
    <w:rsid w:val="232C503C"/>
    <w:rsid w:val="23782D9E"/>
    <w:rsid w:val="2389346B"/>
    <w:rsid w:val="23F345A6"/>
    <w:rsid w:val="24054E6C"/>
    <w:rsid w:val="241C3707"/>
    <w:rsid w:val="2452430E"/>
    <w:rsid w:val="25554330"/>
    <w:rsid w:val="25F51950"/>
    <w:rsid w:val="2608728C"/>
    <w:rsid w:val="268E7791"/>
    <w:rsid w:val="26B23B83"/>
    <w:rsid w:val="273B6C04"/>
    <w:rsid w:val="2845578A"/>
    <w:rsid w:val="28583155"/>
    <w:rsid w:val="28F02E9F"/>
    <w:rsid w:val="2A572DF9"/>
    <w:rsid w:val="2AA06D2E"/>
    <w:rsid w:val="2AB61B7F"/>
    <w:rsid w:val="2AF520C9"/>
    <w:rsid w:val="2B4F6310"/>
    <w:rsid w:val="2C513CF0"/>
    <w:rsid w:val="2CF32C76"/>
    <w:rsid w:val="2D013879"/>
    <w:rsid w:val="2D815477"/>
    <w:rsid w:val="2E687192"/>
    <w:rsid w:val="2ED35706"/>
    <w:rsid w:val="2EE54693"/>
    <w:rsid w:val="2F3151DC"/>
    <w:rsid w:val="2F505416"/>
    <w:rsid w:val="2F7503EC"/>
    <w:rsid w:val="2FED5418"/>
    <w:rsid w:val="30DF0ABE"/>
    <w:rsid w:val="3140612C"/>
    <w:rsid w:val="33231B30"/>
    <w:rsid w:val="33491075"/>
    <w:rsid w:val="343E1C14"/>
    <w:rsid w:val="34A61AED"/>
    <w:rsid w:val="3545649A"/>
    <w:rsid w:val="360C54A1"/>
    <w:rsid w:val="367A71C7"/>
    <w:rsid w:val="36DD696F"/>
    <w:rsid w:val="371A2D72"/>
    <w:rsid w:val="374F02F2"/>
    <w:rsid w:val="375B1F3B"/>
    <w:rsid w:val="380C2383"/>
    <w:rsid w:val="383A4123"/>
    <w:rsid w:val="38846DAF"/>
    <w:rsid w:val="39852E73"/>
    <w:rsid w:val="39941989"/>
    <w:rsid w:val="39AC6146"/>
    <w:rsid w:val="39B1111E"/>
    <w:rsid w:val="39C056E1"/>
    <w:rsid w:val="39F74C4F"/>
    <w:rsid w:val="3B1E538E"/>
    <w:rsid w:val="3BC54FD2"/>
    <w:rsid w:val="3C5625EF"/>
    <w:rsid w:val="3C5E1A78"/>
    <w:rsid w:val="3C7A2BF1"/>
    <w:rsid w:val="3CE832D3"/>
    <w:rsid w:val="3D415FFD"/>
    <w:rsid w:val="3D567660"/>
    <w:rsid w:val="3DE61FA8"/>
    <w:rsid w:val="3DFA0411"/>
    <w:rsid w:val="3E922087"/>
    <w:rsid w:val="3F0F0D3C"/>
    <w:rsid w:val="3F7F40E0"/>
    <w:rsid w:val="40040DAA"/>
    <w:rsid w:val="42242C0E"/>
    <w:rsid w:val="42986D84"/>
    <w:rsid w:val="42AA4645"/>
    <w:rsid w:val="43116026"/>
    <w:rsid w:val="432A134D"/>
    <w:rsid w:val="441366AF"/>
    <w:rsid w:val="4437338C"/>
    <w:rsid w:val="45065FD6"/>
    <w:rsid w:val="45383165"/>
    <w:rsid w:val="45B244F4"/>
    <w:rsid w:val="45FE447E"/>
    <w:rsid w:val="460309B3"/>
    <w:rsid w:val="46091F3C"/>
    <w:rsid w:val="461E4EA9"/>
    <w:rsid w:val="46B17D6E"/>
    <w:rsid w:val="47175794"/>
    <w:rsid w:val="48467FA8"/>
    <w:rsid w:val="48F23E21"/>
    <w:rsid w:val="48F60802"/>
    <w:rsid w:val="49177531"/>
    <w:rsid w:val="4A516525"/>
    <w:rsid w:val="4B662A2D"/>
    <w:rsid w:val="4B753EF9"/>
    <w:rsid w:val="4BFB4746"/>
    <w:rsid w:val="4C860762"/>
    <w:rsid w:val="4D744E77"/>
    <w:rsid w:val="4E487299"/>
    <w:rsid w:val="4FE87A09"/>
    <w:rsid w:val="508B53C5"/>
    <w:rsid w:val="510A644B"/>
    <w:rsid w:val="52B445BD"/>
    <w:rsid w:val="532B17FD"/>
    <w:rsid w:val="54E43651"/>
    <w:rsid w:val="54E96FFB"/>
    <w:rsid w:val="551B4790"/>
    <w:rsid w:val="56162E82"/>
    <w:rsid w:val="56B76E24"/>
    <w:rsid w:val="56C5186B"/>
    <w:rsid w:val="56F87F1B"/>
    <w:rsid w:val="57045803"/>
    <w:rsid w:val="574E4E3B"/>
    <w:rsid w:val="57511A10"/>
    <w:rsid w:val="58254ACB"/>
    <w:rsid w:val="583413B2"/>
    <w:rsid w:val="59680D53"/>
    <w:rsid w:val="59760150"/>
    <w:rsid w:val="5978583C"/>
    <w:rsid w:val="5A5B7CBD"/>
    <w:rsid w:val="5A8C7D8B"/>
    <w:rsid w:val="5AB044C7"/>
    <w:rsid w:val="5B7B5097"/>
    <w:rsid w:val="5B887DC9"/>
    <w:rsid w:val="5C0A593C"/>
    <w:rsid w:val="5C223F52"/>
    <w:rsid w:val="5C3614A5"/>
    <w:rsid w:val="5C620072"/>
    <w:rsid w:val="5D282F0E"/>
    <w:rsid w:val="5D466E76"/>
    <w:rsid w:val="5D83039A"/>
    <w:rsid w:val="5D930E86"/>
    <w:rsid w:val="5D9A07D2"/>
    <w:rsid w:val="5E8339E1"/>
    <w:rsid w:val="5F077966"/>
    <w:rsid w:val="60C67205"/>
    <w:rsid w:val="616D4A48"/>
    <w:rsid w:val="624C4C30"/>
    <w:rsid w:val="62B862EA"/>
    <w:rsid w:val="636C0874"/>
    <w:rsid w:val="64117F3A"/>
    <w:rsid w:val="648C4618"/>
    <w:rsid w:val="65454B7B"/>
    <w:rsid w:val="654B2DF3"/>
    <w:rsid w:val="655B1255"/>
    <w:rsid w:val="65F862F5"/>
    <w:rsid w:val="66080E47"/>
    <w:rsid w:val="66355AFD"/>
    <w:rsid w:val="66C67CD3"/>
    <w:rsid w:val="675B1167"/>
    <w:rsid w:val="67E42573"/>
    <w:rsid w:val="68144487"/>
    <w:rsid w:val="683476F1"/>
    <w:rsid w:val="683A7928"/>
    <w:rsid w:val="68945C0F"/>
    <w:rsid w:val="69035C0A"/>
    <w:rsid w:val="696C7369"/>
    <w:rsid w:val="69AF65D5"/>
    <w:rsid w:val="69C13D38"/>
    <w:rsid w:val="6A122493"/>
    <w:rsid w:val="6A1A5997"/>
    <w:rsid w:val="6A6E0732"/>
    <w:rsid w:val="6B1E11F1"/>
    <w:rsid w:val="6CC85636"/>
    <w:rsid w:val="6D19696D"/>
    <w:rsid w:val="6D1A1B1C"/>
    <w:rsid w:val="6D5038C4"/>
    <w:rsid w:val="6D5A425B"/>
    <w:rsid w:val="6DE103C7"/>
    <w:rsid w:val="6E2B1C3F"/>
    <w:rsid w:val="6E70344E"/>
    <w:rsid w:val="6F3B5832"/>
    <w:rsid w:val="6F6B1B10"/>
    <w:rsid w:val="6FF14023"/>
    <w:rsid w:val="6FF449A1"/>
    <w:rsid w:val="70392358"/>
    <w:rsid w:val="7049699F"/>
    <w:rsid w:val="70545D9A"/>
    <w:rsid w:val="71031D5D"/>
    <w:rsid w:val="72D70482"/>
    <w:rsid w:val="72F8188D"/>
    <w:rsid w:val="73B5471F"/>
    <w:rsid w:val="741A485E"/>
    <w:rsid w:val="743D745C"/>
    <w:rsid w:val="74704B4A"/>
    <w:rsid w:val="74D61CCE"/>
    <w:rsid w:val="752F3F5E"/>
    <w:rsid w:val="75323147"/>
    <w:rsid w:val="77582E94"/>
    <w:rsid w:val="77AC0D8D"/>
    <w:rsid w:val="77ED0EFC"/>
    <w:rsid w:val="78711A77"/>
    <w:rsid w:val="794818C9"/>
    <w:rsid w:val="79496180"/>
    <w:rsid w:val="799F58B6"/>
    <w:rsid w:val="79C96817"/>
    <w:rsid w:val="79F33842"/>
    <w:rsid w:val="7A9D78B7"/>
    <w:rsid w:val="7B4C754B"/>
    <w:rsid w:val="7BB44090"/>
    <w:rsid w:val="7BE43DCD"/>
    <w:rsid w:val="7BFD6171"/>
    <w:rsid w:val="7BFE33F9"/>
    <w:rsid w:val="7BFF13A2"/>
    <w:rsid w:val="7C07426F"/>
    <w:rsid w:val="7D583324"/>
    <w:rsid w:val="7DA80DB5"/>
    <w:rsid w:val="7DAE0B71"/>
    <w:rsid w:val="7DD26E7B"/>
    <w:rsid w:val="7F736476"/>
    <w:rsid w:val="7FC017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40"/>
    <w:qFormat/>
    <w:uiPriority w:val="9"/>
    <w:pPr>
      <w:ind w:left="1207" w:hanging="483"/>
      <w:outlineLvl w:val="0"/>
    </w:pPr>
    <w:rPr>
      <w:rFonts w:ascii="楷体" w:hAnsi="楷体" w:eastAsia="楷体"/>
      <w:b/>
      <w:bCs/>
      <w:sz w:val="32"/>
      <w:szCs w:val="32"/>
    </w:rPr>
  </w:style>
  <w:style w:type="paragraph" w:styleId="4">
    <w:name w:val="heading 2"/>
    <w:basedOn w:val="1"/>
    <w:next w:val="1"/>
    <w:link w:val="41"/>
    <w:unhideWhenUsed/>
    <w:qFormat/>
    <w:uiPriority w:val="9"/>
    <w:pPr>
      <w:keepNext/>
      <w:keepLines/>
      <w:spacing w:before="260" w:after="260" w:line="416" w:lineRule="auto"/>
      <w:outlineLvl w:val="1"/>
    </w:pPr>
    <w:rPr>
      <w:rFonts w:ascii="Calibri Light" w:hAnsi="Calibri Light" w:eastAsia="宋体" w:cs="黑体"/>
      <w:b/>
      <w:bCs/>
      <w:sz w:val="32"/>
      <w:szCs w:val="32"/>
    </w:rPr>
  </w:style>
  <w:style w:type="paragraph" w:styleId="5">
    <w:name w:val="heading 3"/>
    <w:basedOn w:val="1"/>
    <w:next w:val="1"/>
    <w:link w:val="42"/>
    <w:unhideWhenUsed/>
    <w:qFormat/>
    <w:uiPriority w:val="0"/>
    <w:pPr>
      <w:keepNext/>
      <w:keepLines/>
      <w:spacing w:before="260" w:beforeAutospacing="0" w:after="260" w:afterAutospacing="0" w:line="413" w:lineRule="auto"/>
      <w:outlineLvl w:val="2"/>
    </w:pPr>
    <w:rPr>
      <w:b/>
      <w:sz w:val="32"/>
    </w:rPr>
  </w:style>
  <w:style w:type="paragraph" w:styleId="6">
    <w:name w:val="heading 4"/>
    <w:basedOn w:val="1"/>
    <w:next w:val="1"/>
    <w:unhideWhenUsed/>
    <w:qFormat/>
    <w:uiPriority w:val="0"/>
    <w:pPr>
      <w:keepNext/>
      <w:keepLines/>
      <w:spacing w:before="280" w:beforeAutospacing="0" w:after="290" w:afterAutospacing="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beforeAutospacing="0" w:after="290" w:afterAutospacing="0" w:line="372" w:lineRule="auto"/>
      <w:outlineLvl w:val="4"/>
    </w:pPr>
    <w:rPr>
      <w:b/>
      <w:sz w:val="28"/>
    </w:rPr>
  </w:style>
  <w:style w:type="paragraph" w:styleId="8">
    <w:name w:val="heading 6"/>
    <w:basedOn w:val="1"/>
    <w:next w:val="1"/>
    <w:unhideWhenUsed/>
    <w:qFormat/>
    <w:uiPriority w:val="0"/>
    <w:pPr>
      <w:keepNext/>
      <w:keepLines/>
      <w:spacing w:before="240" w:beforeAutospacing="0" w:after="64" w:afterAutospacing="0" w:line="317" w:lineRule="auto"/>
      <w:outlineLvl w:val="5"/>
    </w:pPr>
    <w:rPr>
      <w:rFonts w:ascii="Arial" w:hAnsi="Arial" w:eastAsia="黑体"/>
      <w:b/>
      <w:sz w:val="24"/>
    </w:rPr>
  </w:style>
  <w:style w:type="paragraph" w:styleId="9">
    <w:name w:val="heading 7"/>
    <w:basedOn w:val="1"/>
    <w:next w:val="1"/>
    <w:unhideWhenUsed/>
    <w:qFormat/>
    <w:uiPriority w:val="0"/>
    <w:pPr>
      <w:keepNext/>
      <w:keepLines/>
      <w:spacing w:before="240" w:beforeAutospacing="0" w:after="64" w:afterAutospacing="0" w:line="317" w:lineRule="auto"/>
      <w:outlineLvl w:val="6"/>
    </w:pPr>
    <w:rPr>
      <w:b/>
      <w:sz w:val="24"/>
    </w:rPr>
  </w:style>
  <w:style w:type="paragraph" w:styleId="10">
    <w:name w:val="heading 8"/>
    <w:basedOn w:val="1"/>
    <w:next w:val="1"/>
    <w:unhideWhenUsed/>
    <w:qFormat/>
    <w:uiPriority w:val="0"/>
    <w:pPr>
      <w:keepNext/>
      <w:keepLines/>
      <w:spacing w:before="240" w:beforeAutospacing="0" w:after="64" w:afterAutospacing="0" w:line="317" w:lineRule="auto"/>
      <w:outlineLvl w:val="7"/>
    </w:pPr>
    <w:rPr>
      <w:rFonts w:ascii="Arial" w:hAnsi="Arial" w:eastAsia="黑体"/>
      <w:sz w:val="24"/>
    </w:rPr>
  </w:style>
  <w:style w:type="paragraph" w:styleId="11">
    <w:name w:val="heading 9"/>
    <w:basedOn w:val="1"/>
    <w:next w:val="1"/>
    <w:unhideWhenUsed/>
    <w:qFormat/>
    <w:uiPriority w:val="0"/>
    <w:pPr>
      <w:keepNext/>
      <w:keepLines/>
      <w:spacing w:before="240" w:beforeAutospacing="0" w:after="64" w:afterAutospacing="0" w:line="317" w:lineRule="auto"/>
      <w:outlineLvl w:val="8"/>
    </w:pPr>
    <w:rPr>
      <w:rFonts w:ascii="Arial" w:hAnsi="Arial" w:eastAsia="黑体"/>
      <w:sz w:val="21"/>
    </w:rPr>
  </w:style>
  <w:style w:type="character" w:default="1" w:styleId="22">
    <w:name w:val="Default Paragraph Font"/>
    <w:link w:val="23"/>
    <w:semiHidden/>
    <w:qFormat/>
    <w:uiPriority w:val="0"/>
    <w:rPr>
      <w:rFonts w:eastAsia="仿宋_GB2312"/>
      <w:sz w:val="24"/>
    </w:rPr>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12">
    <w:name w:val="Body Text"/>
    <w:basedOn w:val="1"/>
    <w:qFormat/>
    <w:uiPriority w:val="99"/>
  </w:style>
  <w:style w:type="paragraph" w:styleId="13">
    <w:name w:val="Plain Text"/>
    <w:basedOn w:val="1"/>
    <w:unhideWhenUsed/>
    <w:qFormat/>
    <w:uiPriority w:val="99"/>
    <w:rPr>
      <w:rFonts w:ascii="宋体" w:hAnsi="Courier New" w:cs="Courier New"/>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w:basedOn w:val="12"/>
    <w:qFormat/>
    <w:uiPriority w:val="99"/>
    <w:pPr>
      <w:ind w:firstLine="640" w:firstLineChars="200"/>
    </w:pPr>
    <w:rPr>
      <w:rFonts w:ascii="Times New Roman" w:hAnsi="Times New Roman"/>
    </w:rPr>
  </w:style>
  <w:style w:type="table" w:styleId="21">
    <w:name w:val="Table Grid"/>
    <w:basedOn w:val="2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har Char Char Char Char Char Char"/>
    <w:basedOn w:val="1"/>
    <w:link w:val="22"/>
    <w:qFormat/>
    <w:uiPriority w:val="0"/>
    <w:pPr>
      <w:tabs>
        <w:tab w:val="left" w:pos="1723"/>
      </w:tabs>
      <w:ind w:left="1723" w:hanging="1080"/>
    </w:pPr>
    <w:rPr>
      <w:rFonts w:eastAsia="仿宋_GB2312"/>
      <w:sz w:val="24"/>
    </w:rPr>
  </w:style>
  <w:style w:type="character" w:styleId="24">
    <w:name w:val="Hyperlink"/>
    <w:basedOn w:val="22"/>
    <w:unhideWhenUsed/>
    <w:qFormat/>
    <w:uiPriority w:val="99"/>
    <w:rPr>
      <w:color w:val="0000FF"/>
      <w:u w:val="single"/>
    </w:rPr>
  </w:style>
  <w:style w:type="paragraph" w:customStyle="1" w:styleId="25">
    <w:name w:val="WPSOffice手动目录 1"/>
    <w:qFormat/>
    <w:uiPriority w:val="0"/>
    <w:pPr>
      <w:ind w:leftChars="0"/>
    </w:pPr>
    <w:rPr>
      <w:rFonts w:ascii="Times New Roman" w:hAnsi="Times New Roman" w:eastAsia="Times New Roman" w:cs="Times New Roman"/>
      <w:sz w:val="20"/>
      <w:szCs w:val="20"/>
      <w:lang w:val="en-US" w:eastAsia="zh-CN" w:bidi="ar-SA"/>
    </w:rPr>
  </w:style>
  <w:style w:type="paragraph" w:customStyle="1" w:styleId="26">
    <w:name w:val="WPSOffice手动目录 2"/>
    <w:qFormat/>
    <w:uiPriority w:val="0"/>
    <w:pPr>
      <w:ind w:leftChars="200"/>
    </w:pPr>
    <w:rPr>
      <w:rFonts w:ascii="Times New Roman" w:hAnsi="Times New Roman" w:eastAsia="Times New Roman" w:cs="Times New Roman"/>
      <w:sz w:val="20"/>
      <w:szCs w:val="20"/>
      <w:lang w:val="en-US" w:eastAsia="zh-CN" w:bidi="ar-SA"/>
    </w:rPr>
  </w:style>
  <w:style w:type="paragraph" w:customStyle="1" w:styleId="27">
    <w:name w:val="Body text|4"/>
    <w:basedOn w:val="1"/>
    <w:qFormat/>
    <w:uiPriority w:val="0"/>
    <w:pPr>
      <w:widowControl w:val="0"/>
      <w:shd w:val="clear" w:color="auto" w:fill="auto"/>
      <w:jc w:val="center"/>
    </w:pPr>
    <w:rPr>
      <w:color w:val="272727"/>
      <w:sz w:val="32"/>
      <w:szCs w:val="32"/>
      <w:u w:val="none"/>
      <w:shd w:val="clear" w:color="auto" w:fill="auto"/>
      <w:lang w:val="zh-TW" w:eastAsia="zh-TW" w:bidi="zh-TW"/>
    </w:rPr>
  </w:style>
  <w:style w:type="paragraph" w:customStyle="1" w:styleId="28">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9">
    <w:name w:val="Body text|1"/>
    <w:basedOn w:val="1"/>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 w:type="paragraph" w:customStyle="1" w:styleId="30">
    <w:name w:val="Header or footer|1"/>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 w:type="paragraph" w:customStyle="1" w:styleId="32">
    <w:name w:val="Other|2"/>
    <w:basedOn w:val="1"/>
    <w:qFormat/>
    <w:uiPriority w:val="0"/>
    <w:pPr>
      <w:widowControl w:val="0"/>
      <w:shd w:val="clear" w:color="auto" w:fill="auto"/>
      <w:ind w:firstLine="200"/>
    </w:pPr>
    <w:rPr>
      <w:rFonts w:ascii="宋体" w:hAnsi="宋体" w:eastAsia="宋体" w:cs="宋体"/>
      <w:u w:val="none"/>
      <w:shd w:val="clear" w:color="auto" w:fill="auto"/>
      <w:lang w:val="zh-TW" w:eastAsia="zh-TW" w:bidi="zh-TW"/>
    </w:rPr>
  </w:style>
  <w:style w:type="paragraph" w:customStyle="1" w:styleId="33">
    <w:name w:val="List Paragraph"/>
    <w:basedOn w:val="1"/>
    <w:qFormat/>
    <w:uiPriority w:val="34"/>
    <w:pPr>
      <w:ind w:firstLine="420" w:firstLineChars="200"/>
    </w:pPr>
  </w:style>
  <w:style w:type="paragraph" w:customStyle="1" w:styleId="34">
    <w:name w:val="List Paragraph1"/>
    <w:basedOn w:val="1"/>
    <w:qFormat/>
    <w:uiPriority w:val="0"/>
    <w:pPr>
      <w:ind w:left="108" w:firstLine="616"/>
    </w:pPr>
  </w:style>
  <w:style w:type="paragraph" w:customStyle="1" w:styleId="35">
    <w:name w:val="专栏标题"/>
    <w:basedOn w:val="1"/>
    <w:qFormat/>
    <w:uiPriority w:val="0"/>
    <w:pPr>
      <w:keepNext/>
      <w:spacing w:after="0" w:line="500" w:lineRule="exact"/>
      <w:jc w:val="center"/>
    </w:pPr>
    <w:rPr>
      <w:rFonts w:ascii="宋体" w:hAnsi="宋体" w:eastAsia="宋体" w:cs="宋体"/>
      <w:b/>
      <w:color w:val="000000"/>
      <w:sz w:val="28"/>
      <w:szCs w:val="28"/>
    </w:rPr>
  </w:style>
  <w:style w:type="paragraph" w:customStyle="1" w:styleId="36">
    <w:name w:val="节"/>
    <w:basedOn w:val="4"/>
    <w:qFormat/>
    <w:uiPriority w:val="0"/>
    <w:pPr>
      <w:spacing w:beforeLines="100" w:afterLines="100" w:line="600" w:lineRule="exact"/>
      <w:jc w:val="center"/>
    </w:pPr>
    <w:rPr>
      <w:rFonts w:ascii="黑体" w:hAnsi="黑体" w:eastAsia="黑体"/>
      <w:b w:val="0"/>
      <w:bCs w:val="0"/>
      <w:color w:val="000000"/>
    </w:rPr>
  </w:style>
  <w:style w:type="paragraph" w:customStyle="1" w:styleId="37">
    <w:name w:val="章"/>
    <w:basedOn w:val="3"/>
    <w:qFormat/>
    <w:uiPriority w:val="0"/>
    <w:pPr>
      <w:spacing w:beforeLines="100" w:afterLines="100" w:line="600" w:lineRule="exact"/>
      <w:jc w:val="center"/>
    </w:pPr>
    <w:rPr>
      <w:rFonts w:ascii="宋体" w:hAnsi="宋体" w:eastAsia="宋体"/>
      <w:color w:val="000000"/>
      <w:sz w:val="32"/>
      <w:szCs w:val="32"/>
    </w:rPr>
  </w:style>
  <w:style w:type="paragraph" w:customStyle="1" w:styleId="38">
    <w:name w:val="p0"/>
    <w:basedOn w:val="1"/>
    <w:qFormat/>
    <w:uiPriority w:val="0"/>
    <w:pPr>
      <w:widowControl/>
    </w:pPr>
    <w:rPr>
      <w:kern w:val="0"/>
      <w:szCs w:val="21"/>
    </w:rPr>
  </w:style>
  <w:style w:type="character" w:customStyle="1" w:styleId="39">
    <w:name w:val="apple-converted-space"/>
    <w:basedOn w:val="22"/>
    <w:qFormat/>
    <w:uiPriority w:val="0"/>
  </w:style>
  <w:style w:type="character" w:customStyle="1" w:styleId="40">
    <w:name w:val="标题 1 Char Char"/>
    <w:link w:val="3"/>
    <w:qFormat/>
    <w:uiPriority w:val="9"/>
    <w:rPr>
      <w:rFonts w:ascii="楷体" w:hAnsi="楷体" w:eastAsia="楷体"/>
      <w:b/>
      <w:bCs/>
      <w:sz w:val="32"/>
      <w:szCs w:val="32"/>
    </w:rPr>
  </w:style>
  <w:style w:type="character" w:customStyle="1" w:styleId="41">
    <w:name w:val="标题 2 Char Char"/>
    <w:link w:val="4"/>
    <w:qFormat/>
    <w:uiPriority w:val="9"/>
    <w:rPr>
      <w:rFonts w:ascii="Calibri Light" w:hAnsi="Calibri Light" w:eastAsia="宋体" w:cs="黑体"/>
      <w:b/>
      <w:bCs/>
      <w:sz w:val="32"/>
      <w:szCs w:val="32"/>
    </w:rPr>
  </w:style>
  <w:style w:type="character" w:customStyle="1" w:styleId="42">
    <w:name w:val="标题 3 Char Char"/>
    <w:link w:val="5"/>
    <w:qFormat/>
    <w:uiPriority w:val="0"/>
    <w:rPr>
      <w:b/>
      <w:sz w:val="32"/>
    </w:rPr>
  </w:style>
  <w:style w:type="paragraph" w:customStyle="1" w:styleId="43">
    <w:name w:val="（一）"/>
    <w:basedOn w:val="1"/>
    <w:qFormat/>
    <w:uiPriority w:val="99"/>
    <w:pPr>
      <w:keepNext/>
      <w:numPr>
        <w:ilvl w:val="0"/>
        <w:numId w:val="1"/>
      </w:numPr>
      <w:spacing w:line="600" w:lineRule="exact"/>
      <w:ind w:left="0" w:firstLine="643" w:firstLineChars="200"/>
      <w:outlineLvl w:val="1"/>
    </w:pPr>
    <w:rPr>
      <w:rFonts w:ascii="楷体" w:hAnsi="楷体" w:eastAsia="楷体" w:cs="Times New Roman"/>
      <w:b/>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29497</Words>
  <Characters>30037</Characters>
  <Lines>0</Lines>
  <Paragraphs>0</Paragraphs>
  <TotalTime>8</TotalTime>
  <ScaleCrop>false</ScaleCrop>
  <LinksUpToDate>false</LinksUpToDate>
  <CharactersWithSpaces>31606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2020-11-02T01:24:00Z</dcterms:created>
  <dc:creator>Lenovo</dc:creator>
  <cp:lastModifiedBy>冯科强</cp:lastModifiedBy>
  <cp:lastPrinted>2020-12-31T08:49:00Z</cp:lastPrinted>
  <dcterms:modified xsi:type="dcterms:W3CDTF">2023-11-15T01:14:38Z</dcterms:modified>
  <dc:title>兴安区国民经济和社会发展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04C6CB220591442ABAEEBC0BDF75CF2F_13</vt:lpwstr>
  </property>
</Properties>
</file>